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DFAE41" w14:textId="44EC48FC" w:rsidR="000A132E" w:rsidRPr="008C0ED4" w:rsidRDefault="008C0ED4" w:rsidP="008C0ED4">
      <w:pPr>
        <w:jc w:val="center"/>
        <w:rPr>
          <w:b/>
          <w:sz w:val="36"/>
          <w:szCs w:val="36"/>
        </w:rPr>
      </w:pPr>
      <w:r w:rsidRPr="008C0ED4">
        <w:rPr>
          <w:b/>
          <w:sz w:val="36"/>
          <w:szCs w:val="36"/>
        </w:rPr>
        <w:t>Juan Sebastian Vacas</w:t>
      </w:r>
    </w:p>
    <w:p w14:paraId="37B8BF2B" w14:textId="1CBAA5B5" w:rsidR="008C0ED4" w:rsidRPr="008C0ED4" w:rsidRDefault="008C0ED4" w:rsidP="008C0ED4">
      <w:pPr>
        <w:jc w:val="center"/>
        <w:rPr>
          <w:b/>
          <w:sz w:val="36"/>
          <w:szCs w:val="36"/>
        </w:rPr>
      </w:pPr>
      <w:r w:rsidRPr="008C0ED4">
        <w:rPr>
          <w:b/>
          <w:sz w:val="36"/>
          <w:szCs w:val="36"/>
        </w:rPr>
        <w:t>P138703</w:t>
      </w:r>
    </w:p>
    <w:p w14:paraId="3F73DF5B" w14:textId="2D205640" w:rsidR="008C0ED4" w:rsidRPr="008C0ED4" w:rsidRDefault="008C0ED4" w:rsidP="008C0ED4">
      <w:pPr>
        <w:jc w:val="center"/>
        <w:rPr>
          <w:b/>
          <w:sz w:val="36"/>
          <w:szCs w:val="36"/>
        </w:rPr>
      </w:pPr>
      <w:r w:rsidRPr="008C0ED4">
        <w:rPr>
          <w:b/>
          <w:sz w:val="36"/>
          <w:szCs w:val="36"/>
        </w:rPr>
        <w:t>Powertrain &amp; Sustainability</w:t>
      </w:r>
    </w:p>
    <w:p w14:paraId="4C9990F8" w14:textId="7C383E6E" w:rsidR="008C0ED4" w:rsidRPr="008C0ED4" w:rsidRDefault="008C0ED4" w:rsidP="008C0ED4">
      <w:pPr>
        <w:jc w:val="center"/>
        <w:rPr>
          <w:b/>
          <w:sz w:val="36"/>
          <w:szCs w:val="36"/>
        </w:rPr>
      </w:pPr>
      <w:r w:rsidRPr="008C0ED4">
        <w:rPr>
          <w:b/>
          <w:sz w:val="36"/>
          <w:szCs w:val="36"/>
        </w:rPr>
        <w:t>Combustion Emissions, Calculations and Mapping for Efficiency</w:t>
      </w:r>
    </w:p>
    <w:p w14:paraId="14BFF487" w14:textId="3443C9E0" w:rsidR="008C0ED4" w:rsidRPr="008C0ED4" w:rsidRDefault="008C0ED4" w:rsidP="008C0ED4">
      <w:pPr>
        <w:jc w:val="center"/>
        <w:rPr>
          <w:b/>
          <w:sz w:val="36"/>
          <w:szCs w:val="36"/>
        </w:rPr>
      </w:pPr>
      <w:r w:rsidRPr="008C0ED4">
        <w:rPr>
          <w:b/>
          <w:sz w:val="36"/>
          <w:szCs w:val="36"/>
        </w:rPr>
        <w:t>M6X01206</w:t>
      </w:r>
    </w:p>
    <w:p w14:paraId="2E629D41" w14:textId="1837A254" w:rsidR="000A132E" w:rsidRDefault="000A132E"/>
    <w:p w14:paraId="295B3095" w14:textId="2A638338" w:rsidR="000A132E" w:rsidRDefault="000A132E"/>
    <w:p w14:paraId="46ADD2EF" w14:textId="158201A1" w:rsidR="000A132E" w:rsidRDefault="000A132E"/>
    <w:p w14:paraId="3785390F" w14:textId="0CEAB770" w:rsidR="000A132E" w:rsidRDefault="000A132E"/>
    <w:p w14:paraId="238C0600" w14:textId="4DCEFE53" w:rsidR="000A132E" w:rsidRDefault="000A132E"/>
    <w:p w14:paraId="18FF8534" w14:textId="1DA5E792" w:rsidR="000A132E" w:rsidRDefault="000A132E"/>
    <w:p w14:paraId="00B1910D" w14:textId="37165E5D" w:rsidR="000A132E" w:rsidRDefault="000A132E"/>
    <w:p w14:paraId="702EE9EE" w14:textId="52D13417" w:rsidR="000A132E" w:rsidRDefault="000A132E"/>
    <w:p w14:paraId="3EC82E19" w14:textId="209D4376" w:rsidR="000A132E" w:rsidRDefault="000A132E"/>
    <w:p w14:paraId="4C31B931" w14:textId="2A9A76E7" w:rsidR="000A132E" w:rsidRDefault="000A132E"/>
    <w:p w14:paraId="02D03731" w14:textId="08E1F9EB" w:rsidR="000A132E" w:rsidRDefault="000A132E"/>
    <w:p w14:paraId="603D58CE" w14:textId="2C84BCA8" w:rsidR="000A132E" w:rsidRDefault="000A132E"/>
    <w:p w14:paraId="7B463DD0" w14:textId="50BE4B06" w:rsidR="000A132E" w:rsidRDefault="000A132E"/>
    <w:p w14:paraId="2F5105C3" w14:textId="5256E8D9" w:rsidR="000A132E" w:rsidRDefault="000A132E"/>
    <w:p w14:paraId="6B2FB2F5" w14:textId="1FF150F3" w:rsidR="000A132E" w:rsidRDefault="000A132E"/>
    <w:p w14:paraId="07BB3C25" w14:textId="34FEFDF5" w:rsidR="000A132E" w:rsidRDefault="000A132E"/>
    <w:p w14:paraId="3561616B" w14:textId="73E30F4C" w:rsidR="000A132E" w:rsidRDefault="000A132E"/>
    <w:p w14:paraId="68CED71C" w14:textId="621F3ACA" w:rsidR="000A132E" w:rsidRDefault="000A132E"/>
    <w:p w14:paraId="631F4D9E" w14:textId="42F1985D" w:rsidR="000A132E" w:rsidRDefault="000A132E"/>
    <w:p w14:paraId="498EFB5B" w14:textId="0D4D9C17" w:rsidR="000A132E" w:rsidRDefault="000A132E"/>
    <w:p w14:paraId="7569E383" w14:textId="7A4A0B87" w:rsidR="000A132E" w:rsidRDefault="000A132E"/>
    <w:p w14:paraId="05A92C76" w14:textId="461B6C6E" w:rsidR="000A132E" w:rsidRDefault="000A132E"/>
    <w:sdt>
      <w:sdtPr>
        <w:id w:val="189793921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46E752C" w14:textId="46F925EB" w:rsidR="000B4EDC" w:rsidRDefault="000B4EDC">
          <w:pPr>
            <w:pStyle w:val="TOCHeading"/>
          </w:pPr>
          <w:r>
            <w:t>Contents</w:t>
          </w:r>
        </w:p>
        <w:p w14:paraId="0EBA39B5" w14:textId="19E200AA" w:rsidR="00A752EE" w:rsidRDefault="000B4EDC">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8825995" w:history="1">
            <w:r w:rsidR="00A752EE" w:rsidRPr="006F6CEC">
              <w:rPr>
                <w:rStyle w:val="Hyperlink"/>
                <w:noProof/>
              </w:rPr>
              <w:t>Chapter 1 – Introduction</w:t>
            </w:r>
            <w:r w:rsidR="00A752EE">
              <w:rPr>
                <w:noProof/>
                <w:webHidden/>
              </w:rPr>
              <w:tab/>
            </w:r>
            <w:r w:rsidR="00A752EE">
              <w:rPr>
                <w:noProof/>
                <w:webHidden/>
              </w:rPr>
              <w:fldChar w:fldCharType="begin"/>
            </w:r>
            <w:r w:rsidR="00A752EE">
              <w:rPr>
                <w:noProof/>
                <w:webHidden/>
              </w:rPr>
              <w:instrText xml:space="preserve"> PAGEREF _Toc508825995 \h </w:instrText>
            </w:r>
            <w:r w:rsidR="00A752EE">
              <w:rPr>
                <w:noProof/>
                <w:webHidden/>
              </w:rPr>
            </w:r>
            <w:r w:rsidR="00A752EE">
              <w:rPr>
                <w:noProof/>
                <w:webHidden/>
              </w:rPr>
              <w:fldChar w:fldCharType="separate"/>
            </w:r>
            <w:r w:rsidR="00A752EE">
              <w:rPr>
                <w:noProof/>
                <w:webHidden/>
              </w:rPr>
              <w:t>3</w:t>
            </w:r>
            <w:r w:rsidR="00A752EE">
              <w:rPr>
                <w:noProof/>
                <w:webHidden/>
              </w:rPr>
              <w:fldChar w:fldCharType="end"/>
            </w:r>
          </w:hyperlink>
        </w:p>
        <w:p w14:paraId="19449665" w14:textId="1DC48E8A" w:rsidR="00A752EE" w:rsidRDefault="00A752EE">
          <w:pPr>
            <w:pStyle w:val="TOC2"/>
            <w:tabs>
              <w:tab w:val="right" w:leader="dot" w:pos="9016"/>
            </w:tabs>
            <w:rPr>
              <w:rFonts w:eastAsiaTheme="minorEastAsia"/>
              <w:noProof/>
              <w:lang w:eastAsia="en-GB"/>
            </w:rPr>
          </w:pPr>
          <w:hyperlink w:anchor="_Toc508825996" w:history="1">
            <w:r w:rsidRPr="006F6CEC">
              <w:rPr>
                <w:rStyle w:val="Hyperlink"/>
                <w:noProof/>
              </w:rPr>
              <w:t>Chapter 2 – Fuelling (N/A Engine)</w:t>
            </w:r>
            <w:r>
              <w:rPr>
                <w:noProof/>
                <w:webHidden/>
              </w:rPr>
              <w:tab/>
            </w:r>
            <w:r>
              <w:rPr>
                <w:noProof/>
                <w:webHidden/>
              </w:rPr>
              <w:fldChar w:fldCharType="begin"/>
            </w:r>
            <w:r>
              <w:rPr>
                <w:noProof/>
                <w:webHidden/>
              </w:rPr>
              <w:instrText xml:space="preserve"> PAGEREF _Toc508825996 \h </w:instrText>
            </w:r>
            <w:r>
              <w:rPr>
                <w:noProof/>
                <w:webHidden/>
              </w:rPr>
            </w:r>
            <w:r>
              <w:rPr>
                <w:noProof/>
                <w:webHidden/>
              </w:rPr>
              <w:fldChar w:fldCharType="separate"/>
            </w:r>
            <w:r>
              <w:rPr>
                <w:noProof/>
                <w:webHidden/>
              </w:rPr>
              <w:t>3</w:t>
            </w:r>
            <w:r>
              <w:rPr>
                <w:noProof/>
                <w:webHidden/>
              </w:rPr>
              <w:fldChar w:fldCharType="end"/>
            </w:r>
          </w:hyperlink>
        </w:p>
        <w:p w14:paraId="774A58A9" w14:textId="4B2CAB38" w:rsidR="00A752EE" w:rsidRDefault="00A752EE">
          <w:pPr>
            <w:pStyle w:val="TOC2"/>
            <w:tabs>
              <w:tab w:val="right" w:leader="dot" w:pos="9016"/>
            </w:tabs>
            <w:rPr>
              <w:rFonts w:eastAsiaTheme="minorEastAsia"/>
              <w:noProof/>
              <w:lang w:eastAsia="en-GB"/>
            </w:rPr>
          </w:pPr>
          <w:hyperlink w:anchor="_Toc508825997" w:history="1">
            <w:r w:rsidRPr="006F6CEC">
              <w:rPr>
                <w:rStyle w:val="Hyperlink"/>
                <w:noProof/>
              </w:rPr>
              <w:t>2.1.1 – Equivalence Ratio Map</w:t>
            </w:r>
            <w:r>
              <w:rPr>
                <w:noProof/>
                <w:webHidden/>
              </w:rPr>
              <w:tab/>
            </w:r>
            <w:r>
              <w:rPr>
                <w:noProof/>
                <w:webHidden/>
              </w:rPr>
              <w:fldChar w:fldCharType="begin"/>
            </w:r>
            <w:r>
              <w:rPr>
                <w:noProof/>
                <w:webHidden/>
              </w:rPr>
              <w:instrText xml:space="preserve"> PAGEREF _Toc508825997 \h </w:instrText>
            </w:r>
            <w:r>
              <w:rPr>
                <w:noProof/>
                <w:webHidden/>
              </w:rPr>
            </w:r>
            <w:r>
              <w:rPr>
                <w:noProof/>
                <w:webHidden/>
              </w:rPr>
              <w:fldChar w:fldCharType="separate"/>
            </w:r>
            <w:r>
              <w:rPr>
                <w:noProof/>
                <w:webHidden/>
              </w:rPr>
              <w:t>3</w:t>
            </w:r>
            <w:r>
              <w:rPr>
                <w:noProof/>
                <w:webHidden/>
              </w:rPr>
              <w:fldChar w:fldCharType="end"/>
            </w:r>
          </w:hyperlink>
        </w:p>
        <w:p w14:paraId="7A383F88" w14:textId="34A02270" w:rsidR="00A752EE" w:rsidRDefault="00A752EE">
          <w:pPr>
            <w:pStyle w:val="TOC2"/>
            <w:tabs>
              <w:tab w:val="right" w:leader="dot" w:pos="9016"/>
            </w:tabs>
            <w:rPr>
              <w:rFonts w:eastAsiaTheme="minorEastAsia"/>
              <w:noProof/>
              <w:lang w:eastAsia="en-GB"/>
            </w:rPr>
          </w:pPr>
          <w:hyperlink w:anchor="_Toc508825998" w:history="1">
            <w:r w:rsidRPr="006F6CEC">
              <w:rPr>
                <w:rStyle w:val="Hyperlink"/>
                <w:noProof/>
              </w:rPr>
              <w:t>2.1.2 – Fuel Consumption</w:t>
            </w:r>
            <w:r>
              <w:rPr>
                <w:noProof/>
                <w:webHidden/>
              </w:rPr>
              <w:tab/>
            </w:r>
            <w:r>
              <w:rPr>
                <w:noProof/>
                <w:webHidden/>
              </w:rPr>
              <w:fldChar w:fldCharType="begin"/>
            </w:r>
            <w:r>
              <w:rPr>
                <w:noProof/>
                <w:webHidden/>
              </w:rPr>
              <w:instrText xml:space="preserve"> PAGEREF _Toc508825998 \h </w:instrText>
            </w:r>
            <w:r>
              <w:rPr>
                <w:noProof/>
                <w:webHidden/>
              </w:rPr>
            </w:r>
            <w:r>
              <w:rPr>
                <w:noProof/>
                <w:webHidden/>
              </w:rPr>
              <w:fldChar w:fldCharType="separate"/>
            </w:r>
            <w:r>
              <w:rPr>
                <w:noProof/>
                <w:webHidden/>
              </w:rPr>
              <w:t>3</w:t>
            </w:r>
            <w:r>
              <w:rPr>
                <w:noProof/>
                <w:webHidden/>
              </w:rPr>
              <w:fldChar w:fldCharType="end"/>
            </w:r>
          </w:hyperlink>
        </w:p>
        <w:p w14:paraId="5AEA3339" w14:textId="0EBA5D09" w:rsidR="00A752EE" w:rsidRDefault="00A752EE">
          <w:pPr>
            <w:pStyle w:val="TOC2"/>
            <w:tabs>
              <w:tab w:val="right" w:leader="dot" w:pos="9016"/>
            </w:tabs>
            <w:rPr>
              <w:rFonts w:eastAsiaTheme="minorEastAsia"/>
              <w:noProof/>
              <w:lang w:eastAsia="en-GB"/>
            </w:rPr>
          </w:pPr>
          <w:hyperlink w:anchor="_Toc508825999" w:history="1">
            <w:r w:rsidRPr="006F6CEC">
              <w:rPr>
                <w:rStyle w:val="Hyperlink"/>
                <w:noProof/>
              </w:rPr>
              <w:t>2.1.3 – Emissions</w:t>
            </w:r>
            <w:r>
              <w:rPr>
                <w:noProof/>
                <w:webHidden/>
              </w:rPr>
              <w:tab/>
            </w:r>
            <w:r>
              <w:rPr>
                <w:noProof/>
                <w:webHidden/>
              </w:rPr>
              <w:fldChar w:fldCharType="begin"/>
            </w:r>
            <w:r>
              <w:rPr>
                <w:noProof/>
                <w:webHidden/>
              </w:rPr>
              <w:instrText xml:space="preserve"> PAGEREF _Toc508825999 \h </w:instrText>
            </w:r>
            <w:r>
              <w:rPr>
                <w:noProof/>
                <w:webHidden/>
              </w:rPr>
            </w:r>
            <w:r>
              <w:rPr>
                <w:noProof/>
                <w:webHidden/>
              </w:rPr>
              <w:fldChar w:fldCharType="separate"/>
            </w:r>
            <w:r>
              <w:rPr>
                <w:noProof/>
                <w:webHidden/>
              </w:rPr>
              <w:t>3</w:t>
            </w:r>
            <w:r>
              <w:rPr>
                <w:noProof/>
                <w:webHidden/>
              </w:rPr>
              <w:fldChar w:fldCharType="end"/>
            </w:r>
          </w:hyperlink>
        </w:p>
        <w:p w14:paraId="65BC046C" w14:textId="29A9330D" w:rsidR="00A752EE" w:rsidRDefault="00A752EE">
          <w:pPr>
            <w:pStyle w:val="TOC2"/>
            <w:tabs>
              <w:tab w:val="right" w:leader="dot" w:pos="9016"/>
            </w:tabs>
            <w:rPr>
              <w:rFonts w:eastAsiaTheme="minorEastAsia"/>
              <w:noProof/>
              <w:lang w:eastAsia="en-GB"/>
            </w:rPr>
          </w:pPr>
          <w:hyperlink w:anchor="_Toc508826000" w:history="1">
            <w:r w:rsidRPr="006F6CEC">
              <w:rPr>
                <w:rStyle w:val="Hyperlink"/>
                <w:noProof/>
              </w:rPr>
              <w:t>2.1.4 – Maximum Power &amp; Temperature Control</w:t>
            </w:r>
            <w:r>
              <w:rPr>
                <w:noProof/>
                <w:webHidden/>
              </w:rPr>
              <w:tab/>
            </w:r>
            <w:r>
              <w:rPr>
                <w:noProof/>
                <w:webHidden/>
              </w:rPr>
              <w:fldChar w:fldCharType="begin"/>
            </w:r>
            <w:r>
              <w:rPr>
                <w:noProof/>
                <w:webHidden/>
              </w:rPr>
              <w:instrText xml:space="preserve"> PAGEREF _Toc508826000 \h </w:instrText>
            </w:r>
            <w:r>
              <w:rPr>
                <w:noProof/>
                <w:webHidden/>
              </w:rPr>
            </w:r>
            <w:r>
              <w:rPr>
                <w:noProof/>
                <w:webHidden/>
              </w:rPr>
              <w:fldChar w:fldCharType="separate"/>
            </w:r>
            <w:r>
              <w:rPr>
                <w:noProof/>
                <w:webHidden/>
              </w:rPr>
              <w:t>4</w:t>
            </w:r>
            <w:r>
              <w:rPr>
                <w:noProof/>
                <w:webHidden/>
              </w:rPr>
              <w:fldChar w:fldCharType="end"/>
            </w:r>
          </w:hyperlink>
        </w:p>
        <w:p w14:paraId="79028098" w14:textId="6478E830" w:rsidR="00A752EE" w:rsidRDefault="00A752EE">
          <w:pPr>
            <w:pStyle w:val="TOC2"/>
            <w:tabs>
              <w:tab w:val="right" w:leader="dot" w:pos="9016"/>
            </w:tabs>
            <w:rPr>
              <w:rFonts w:eastAsiaTheme="minorEastAsia"/>
              <w:noProof/>
              <w:lang w:eastAsia="en-GB"/>
            </w:rPr>
          </w:pPr>
          <w:hyperlink w:anchor="_Toc508826001" w:history="1">
            <w:r w:rsidRPr="006F6CEC">
              <w:rPr>
                <w:rStyle w:val="Hyperlink"/>
                <w:noProof/>
              </w:rPr>
              <w:t>2.2.1 – Cranking Strategy</w:t>
            </w:r>
            <w:r>
              <w:rPr>
                <w:noProof/>
                <w:webHidden/>
              </w:rPr>
              <w:tab/>
            </w:r>
            <w:r>
              <w:rPr>
                <w:noProof/>
                <w:webHidden/>
              </w:rPr>
              <w:fldChar w:fldCharType="begin"/>
            </w:r>
            <w:r>
              <w:rPr>
                <w:noProof/>
                <w:webHidden/>
              </w:rPr>
              <w:instrText xml:space="preserve"> PAGEREF _Toc508826001 \h </w:instrText>
            </w:r>
            <w:r>
              <w:rPr>
                <w:noProof/>
                <w:webHidden/>
              </w:rPr>
            </w:r>
            <w:r>
              <w:rPr>
                <w:noProof/>
                <w:webHidden/>
              </w:rPr>
              <w:fldChar w:fldCharType="separate"/>
            </w:r>
            <w:r>
              <w:rPr>
                <w:noProof/>
                <w:webHidden/>
              </w:rPr>
              <w:t>4</w:t>
            </w:r>
            <w:r>
              <w:rPr>
                <w:noProof/>
                <w:webHidden/>
              </w:rPr>
              <w:fldChar w:fldCharType="end"/>
            </w:r>
          </w:hyperlink>
        </w:p>
        <w:p w14:paraId="700C2D7E" w14:textId="011DD5AD" w:rsidR="00A752EE" w:rsidRDefault="00A752EE">
          <w:pPr>
            <w:pStyle w:val="TOC2"/>
            <w:tabs>
              <w:tab w:val="right" w:leader="dot" w:pos="9016"/>
            </w:tabs>
            <w:rPr>
              <w:rFonts w:eastAsiaTheme="minorEastAsia"/>
              <w:noProof/>
              <w:lang w:eastAsia="en-GB"/>
            </w:rPr>
          </w:pPr>
          <w:hyperlink w:anchor="_Toc508826002" w:history="1">
            <w:r w:rsidRPr="006F6CEC">
              <w:rPr>
                <w:rStyle w:val="Hyperlink"/>
                <w:noProof/>
              </w:rPr>
              <w:t>Chapter 3 – Ignition (N/A Engine)</w:t>
            </w:r>
            <w:r>
              <w:rPr>
                <w:noProof/>
                <w:webHidden/>
              </w:rPr>
              <w:tab/>
            </w:r>
            <w:r>
              <w:rPr>
                <w:noProof/>
                <w:webHidden/>
              </w:rPr>
              <w:fldChar w:fldCharType="begin"/>
            </w:r>
            <w:r>
              <w:rPr>
                <w:noProof/>
                <w:webHidden/>
              </w:rPr>
              <w:instrText xml:space="preserve"> PAGEREF _Toc508826002 \h </w:instrText>
            </w:r>
            <w:r>
              <w:rPr>
                <w:noProof/>
                <w:webHidden/>
              </w:rPr>
            </w:r>
            <w:r>
              <w:rPr>
                <w:noProof/>
                <w:webHidden/>
              </w:rPr>
              <w:fldChar w:fldCharType="separate"/>
            </w:r>
            <w:r>
              <w:rPr>
                <w:noProof/>
                <w:webHidden/>
              </w:rPr>
              <w:t>5</w:t>
            </w:r>
            <w:r>
              <w:rPr>
                <w:noProof/>
                <w:webHidden/>
              </w:rPr>
              <w:fldChar w:fldCharType="end"/>
            </w:r>
          </w:hyperlink>
        </w:p>
        <w:p w14:paraId="1E3A38BB" w14:textId="2B55E544" w:rsidR="00A752EE" w:rsidRDefault="00A752EE">
          <w:pPr>
            <w:pStyle w:val="TOC2"/>
            <w:tabs>
              <w:tab w:val="right" w:leader="dot" w:pos="9016"/>
            </w:tabs>
            <w:rPr>
              <w:rFonts w:eastAsiaTheme="minorEastAsia"/>
              <w:noProof/>
              <w:lang w:eastAsia="en-GB"/>
            </w:rPr>
          </w:pPr>
          <w:hyperlink w:anchor="_Toc508826003" w:history="1">
            <w:r w:rsidRPr="006F6CEC">
              <w:rPr>
                <w:rStyle w:val="Hyperlink"/>
                <w:noProof/>
              </w:rPr>
              <w:t>3.1.1 – Ignition Timing Map</w:t>
            </w:r>
            <w:r>
              <w:rPr>
                <w:noProof/>
                <w:webHidden/>
              </w:rPr>
              <w:tab/>
            </w:r>
            <w:r>
              <w:rPr>
                <w:noProof/>
                <w:webHidden/>
              </w:rPr>
              <w:fldChar w:fldCharType="begin"/>
            </w:r>
            <w:r>
              <w:rPr>
                <w:noProof/>
                <w:webHidden/>
              </w:rPr>
              <w:instrText xml:space="preserve"> PAGEREF _Toc508826003 \h </w:instrText>
            </w:r>
            <w:r>
              <w:rPr>
                <w:noProof/>
                <w:webHidden/>
              </w:rPr>
            </w:r>
            <w:r>
              <w:rPr>
                <w:noProof/>
                <w:webHidden/>
              </w:rPr>
              <w:fldChar w:fldCharType="separate"/>
            </w:r>
            <w:r>
              <w:rPr>
                <w:noProof/>
                <w:webHidden/>
              </w:rPr>
              <w:t>5</w:t>
            </w:r>
            <w:r>
              <w:rPr>
                <w:noProof/>
                <w:webHidden/>
              </w:rPr>
              <w:fldChar w:fldCharType="end"/>
            </w:r>
          </w:hyperlink>
        </w:p>
        <w:p w14:paraId="3A9F1E73" w14:textId="59CEA355" w:rsidR="00A752EE" w:rsidRDefault="00A752EE">
          <w:pPr>
            <w:pStyle w:val="TOC2"/>
            <w:tabs>
              <w:tab w:val="right" w:leader="dot" w:pos="9016"/>
            </w:tabs>
            <w:rPr>
              <w:rFonts w:eastAsiaTheme="minorEastAsia"/>
              <w:noProof/>
              <w:lang w:eastAsia="en-GB"/>
            </w:rPr>
          </w:pPr>
          <w:hyperlink w:anchor="_Toc508826004" w:history="1">
            <w:r w:rsidRPr="006F6CEC">
              <w:rPr>
                <w:rStyle w:val="Hyperlink"/>
                <w:noProof/>
              </w:rPr>
              <w:t>3.1.2 -  Cranking Strategy (Knock Protection)</w:t>
            </w:r>
            <w:r>
              <w:rPr>
                <w:noProof/>
                <w:webHidden/>
              </w:rPr>
              <w:tab/>
            </w:r>
            <w:r>
              <w:rPr>
                <w:noProof/>
                <w:webHidden/>
              </w:rPr>
              <w:fldChar w:fldCharType="begin"/>
            </w:r>
            <w:r>
              <w:rPr>
                <w:noProof/>
                <w:webHidden/>
              </w:rPr>
              <w:instrText xml:space="preserve"> PAGEREF _Toc508826004 \h </w:instrText>
            </w:r>
            <w:r>
              <w:rPr>
                <w:noProof/>
                <w:webHidden/>
              </w:rPr>
            </w:r>
            <w:r>
              <w:rPr>
                <w:noProof/>
                <w:webHidden/>
              </w:rPr>
              <w:fldChar w:fldCharType="separate"/>
            </w:r>
            <w:r>
              <w:rPr>
                <w:noProof/>
                <w:webHidden/>
              </w:rPr>
              <w:t>5</w:t>
            </w:r>
            <w:r>
              <w:rPr>
                <w:noProof/>
                <w:webHidden/>
              </w:rPr>
              <w:fldChar w:fldCharType="end"/>
            </w:r>
          </w:hyperlink>
        </w:p>
        <w:p w14:paraId="055FE451" w14:textId="792BD10A" w:rsidR="00A752EE" w:rsidRDefault="00A752EE">
          <w:pPr>
            <w:pStyle w:val="TOC2"/>
            <w:tabs>
              <w:tab w:val="right" w:leader="dot" w:pos="9016"/>
            </w:tabs>
            <w:rPr>
              <w:rFonts w:eastAsiaTheme="minorEastAsia"/>
              <w:noProof/>
              <w:lang w:eastAsia="en-GB"/>
            </w:rPr>
          </w:pPr>
          <w:hyperlink w:anchor="_Toc508826005" w:history="1">
            <w:r w:rsidRPr="006F6CEC">
              <w:rPr>
                <w:rStyle w:val="Hyperlink"/>
                <w:noProof/>
              </w:rPr>
              <w:t>3.2. – Reduction of NOx &amp; Hydrocarbons</w:t>
            </w:r>
            <w:r>
              <w:rPr>
                <w:noProof/>
                <w:webHidden/>
              </w:rPr>
              <w:tab/>
            </w:r>
            <w:r>
              <w:rPr>
                <w:noProof/>
                <w:webHidden/>
              </w:rPr>
              <w:fldChar w:fldCharType="begin"/>
            </w:r>
            <w:r>
              <w:rPr>
                <w:noProof/>
                <w:webHidden/>
              </w:rPr>
              <w:instrText xml:space="preserve"> PAGEREF _Toc508826005 \h </w:instrText>
            </w:r>
            <w:r>
              <w:rPr>
                <w:noProof/>
                <w:webHidden/>
              </w:rPr>
            </w:r>
            <w:r>
              <w:rPr>
                <w:noProof/>
                <w:webHidden/>
              </w:rPr>
              <w:fldChar w:fldCharType="separate"/>
            </w:r>
            <w:r>
              <w:rPr>
                <w:noProof/>
                <w:webHidden/>
              </w:rPr>
              <w:t>7</w:t>
            </w:r>
            <w:r>
              <w:rPr>
                <w:noProof/>
                <w:webHidden/>
              </w:rPr>
              <w:fldChar w:fldCharType="end"/>
            </w:r>
          </w:hyperlink>
        </w:p>
        <w:p w14:paraId="4AC6B64A" w14:textId="1863AEDF" w:rsidR="00A752EE" w:rsidRDefault="00A752EE">
          <w:pPr>
            <w:pStyle w:val="TOC2"/>
            <w:tabs>
              <w:tab w:val="right" w:leader="dot" w:pos="9016"/>
            </w:tabs>
            <w:rPr>
              <w:rFonts w:eastAsiaTheme="minorEastAsia"/>
              <w:noProof/>
              <w:lang w:eastAsia="en-GB"/>
            </w:rPr>
          </w:pPr>
          <w:hyperlink w:anchor="_Toc508826006" w:history="1">
            <w:r w:rsidRPr="006F6CEC">
              <w:rPr>
                <w:rStyle w:val="Hyperlink"/>
                <w:noProof/>
              </w:rPr>
              <w:t>3.2.1 – Strategy for Reduction</w:t>
            </w:r>
            <w:r>
              <w:rPr>
                <w:noProof/>
                <w:webHidden/>
              </w:rPr>
              <w:tab/>
            </w:r>
            <w:r>
              <w:rPr>
                <w:noProof/>
                <w:webHidden/>
              </w:rPr>
              <w:fldChar w:fldCharType="begin"/>
            </w:r>
            <w:r>
              <w:rPr>
                <w:noProof/>
                <w:webHidden/>
              </w:rPr>
              <w:instrText xml:space="preserve"> PAGEREF _Toc508826006 \h </w:instrText>
            </w:r>
            <w:r>
              <w:rPr>
                <w:noProof/>
                <w:webHidden/>
              </w:rPr>
            </w:r>
            <w:r>
              <w:rPr>
                <w:noProof/>
                <w:webHidden/>
              </w:rPr>
              <w:fldChar w:fldCharType="separate"/>
            </w:r>
            <w:r>
              <w:rPr>
                <w:noProof/>
                <w:webHidden/>
              </w:rPr>
              <w:t>7</w:t>
            </w:r>
            <w:r>
              <w:rPr>
                <w:noProof/>
                <w:webHidden/>
              </w:rPr>
              <w:fldChar w:fldCharType="end"/>
            </w:r>
          </w:hyperlink>
        </w:p>
        <w:p w14:paraId="444C1DEF" w14:textId="2D7380CB" w:rsidR="00A752EE" w:rsidRDefault="00A752EE">
          <w:pPr>
            <w:pStyle w:val="TOC2"/>
            <w:tabs>
              <w:tab w:val="right" w:leader="dot" w:pos="9016"/>
            </w:tabs>
            <w:rPr>
              <w:rFonts w:eastAsiaTheme="minorEastAsia"/>
              <w:noProof/>
              <w:lang w:eastAsia="en-GB"/>
            </w:rPr>
          </w:pPr>
          <w:hyperlink w:anchor="_Toc508826007" w:history="1">
            <w:r w:rsidRPr="006F6CEC">
              <w:rPr>
                <w:rStyle w:val="Hyperlink"/>
                <w:noProof/>
              </w:rPr>
              <w:t>3.2.2 – Particulate Emissions</w:t>
            </w:r>
            <w:r>
              <w:rPr>
                <w:noProof/>
                <w:webHidden/>
              </w:rPr>
              <w:tab/>
            </w:r>
            <w:r>
              <w:rPr>
                <w:noProof/>
                <w:webHidden/>
              </w:rPr>
              <w:fldChar w:fldCharType="begin"/>
            </w:r>
            <w:r>
              <w:rPr>
                <w:noProof/>
                <w:webHidden/>
              </w:rPr>
              <w:instrText xml:space="preserve"> PAGEREF _Toc508826007 \h </w:instrText>
            </w:r>
            <w:r>
              <w:rPr>
                <w:noProof/>
                <w:webHidden/>
              </w:rPr>
            </w:r>
            <w:r>
              <w:rPr>
                <w:noProof/>
                <w:webHidden/>
              </w:rPr>
              <w:fldChar w:fldCharType="separate"/>
            </w:r>
            <w:r>
              <w:rPr>
                <w:noProof/>
                <w:webHidden/>
              </w:rPr>
              <w:t>7</w:t>
            </w:r>
            <w:r>
              <w:rPr>
                <w:noProof/>
                <w:webHidden/>
              </w:rPr>
              <w:fldChar w:fldCharType="end"/>
            </w:r>
          </w:hyperlink>
        </w:p>
        <w:p w14:paraId="372526A0" w14:textId="61D6F6AD" w:rsidR="00A752EE" w:rsidRDefault="00A752EE">
          <w:pPr>
            <w:pStyle w:val="TOC2"/>
            <w:tabs>
              <w:tab w:val="right" w:leader="dot" w:pos="9016"/>
            </w:tabs>
            <w:rPr>
              <w:rFonts w:eastAsiaTheme="minorEastAsia"/>
              <w:noProof/>
              <w:lang w:eastAsia="en-GB"/>
            </w:rPr>
          </w:pPr>
          <w:hyperlink w:anchor="_Toc508826008" w:history="1">
            <w:r w:rsidRPr="006F6CEC">
              <w:rPr>
                <w:rStyle w:val="Hyperlink"/>
                <w:noProof/>
              </w:rPr>
              <w:t>Chapter 4 – Analysis of 1.2 MAHLE Engine</w:t>
            </w:r>
            <w:r>
              <w:rPr>
                <w:noProof/>
                <w:webHidden/>
              </w:rPr>
              <w:tab/>
            </w:r>
            <w:r>
              <w:rPr>
                <w:noProof/>
                <w:webHidden/>
              </w:rPr>
              <w:fldChar w:fldCharType="begin"/>
            </w:r>
            <w:r>
              <w:rPr>
                <w:noProof/>
                <w:webHidden/>
              </w:rPr>
              <w:instrText xml:space="preserve"> PAGEREF _Toc508826008 \h </w:instrText>
            </w:r>
            <w:r>
              <w:rPr>
                <w:noProof/>
                <w:webHidden/>
              </w:rPr>
            </w:r>
            <w:r>
              <w:rPr>
                <w:noProof/>
                <w:webHidden/>
              </w:rPr>
              <w:fldChar w:fldCharType="separate"/>
            </w:r>
            <w:r>
              <w:rPr>
                <w:noProof/>
                <w:webHidden/>
              </w:rPr>
              <w:t>7</w:t>
            </w:r>
            <w:r>
              <w:rPr>
                <w:noProof/>
                <w:webHidden/>
              </w:rPr>
              <w:fldChar w:fldCharType="end"/>
            </w:r>
          </w:hyperlink>
        </w:p>
        <w:p w14:paraId="2747A8EF" w14:textId="0BD5F34B" w:rsidR="00A752EE" w:rsidRDefault="00A752EE">
          <w:pPr>
            <w:pStyle w:val="TOC2"/>
            <w:tabs>
              <w:tab w:val="right" w:leader="dot" w:pos="9016"/>
            </w:tabs>
            <w:rPr>
              <w:rFonts w:eastAsiaTheme="minorEastAsia"/>
              <w:noProof/>
              <w:lang w:eastAsia="en-GB"/>
            </w:rPr>
          </w:pPr>
          <w:hyperlink w:anchor="_Toc508826009" w:history="1">
            <w:r w:rsidRPr="006F6CEC">
              <w:rPr>
                <w:rStyle w:val="Hyperlink"/>
                <w:noProof/>
              </w:rPr>
              <w:t>4.1 – Introduction</w:t>
            </w:r>
            <w:r>
              <w:rPr>
                <w:noProof/>
                <w:webHidden/>
              </w:rPr>
              <w:tab/>
            </w:r>
            <w:r>
              <w:rPr>
                <w:noProof/>
                <w:webHidden/>
              </w:rPr>
              <w:fldChar w:fldCharType="begin"/>
            </w:r>
            <w:r>
              <w:rPr>
                <w:noProof/>
                <w:webHidden/>
              </w:rPr>
              <w:instrText xml:space="preserve"> PAGEREF _Toc508826009 \h </w:instrText>
            </w:r>
            <w:r>
              <w:rPr>
                <w:noProof/>
                <w:webHidden/>
              </w:rPr>
            </w:r>
            <w:r>
              <w:rPr>
                <w:noProof/>
                <w:webHidden/>
              </w:rPr>
              <w:fldChar w:fldCharType="separate"/>
            </w:r>
            <w:r>
              <w:rPr>
                <w:noProof/>
                <w:webHidden/>
              </w:rPr>
              <w:t>7</w:t>
            </w:r>
            <w:r>
              <w:rPr>
                <w:noProof/>
                <w:webHidden/>
              </w:rPr>
              <w:fldChar w:fldCharType="end"/>
            </w:r>
          </w:hyperlink>
        </w:p>
        <w:p w14:paraId="0328A661" w14:textId="7C705FA2" w:rsidR="00A752EE" w:rsidRDefault="00A752EE">
          <w:pPr>
            <w:pStyle w:val="TOC2"/>
            <w:tabs>
              <w:tab w:val="right" w:leader="dot" w:pos="9016"/>
            </w:tabs>
            <w:rPr>
              <w:rFonts w:eastAsiaTheme="minorEastAsia"/>
              <w:noProof/>
              <w:lang w:eastAsia="en-GB"/>
            </w:rPr>
          </w:pPr>
          <w:hyperlink w:anchor="_Toc508826010" w:history="1">
            <w:r w:rsidRPr="006F6CEC">
              <w:rPr>
                <w:rStyle w:val="Hyperlink"/>
                <w:noProof/>
              </w:rPr>
              <w:t>4.2.1– Control Strategy (Hardware Limit &amp; Knock)</w:t>
            </w:r>
            <w:r>
              <w:rPr>
                <w:noProof/>
                <w:webHidden/>
              </w:rPr>
              <w:tab/>
            </w:r>
            <w:r>
              <w:rPr>
                <w:noProof/>
                <w:webHidden/>
              </w:rPr>
              <w:fldChar w:fldCharType="begin"/>
            </w:r>
            <w:r>
              <w:rPr>
                <w:noProof/>
                <w:webHidden/>
              </w:rPr>
              <w:instrText xml:space="preserve"> PAGEREF _Toc508826010 \h </w:instrText>
            </w:r>
            <w:r>
              <w:rPr>
                <w:noProof/>
                <w:webHidden/>
              </w:rPr>
            </w:r>
            <w:r>
              <w:rPr>
                <w:noProof/>
                <w:webHidden/>
              </w:rPr>
              <w:fldChar w:fldCharType="separate"/>
            </w:r>
            <w:r>
              <w:rPr>
                <w:noProof/>
                <w:webHidden/>
              </w:rPr>
              <w:t>7</w:t>
            </w:r>
            <w:r>
              <w:rPr>
                <w:noProof/>
                <w:webHidden/>
              </w:rPr>
              <w:fldChar w:fldCharType="end"/>
            </w:r>
          </w:hyperlink>
        </w:p>
        <w:p w14:paraId="49838AA4" w14:textId="3E1A9BA9" w:rsidR="00A752EE" w:rsidRDefault="00A752EE">
          <w:pPr>
            <w:pStyle w:val="TOC2"/>
            <w:tabs>
              <w:tab w:val="right" w:leader="dot" w:pos="9016"/>
            </w:tabs>
            <w:rPr>
              <w:rFonts w:eastAsiaTheme="minorEastAsia"/>
              <w:noProof/>
              <w:lang w:eastAsia="en-GB"/>
            </w:rPr>
          </w:pPr>
          <w:hyperlink w:anchor="_Toc508826011" w:history="1">
            <w:r w:rsidRPr="006F6CEC">
              <w:rPr>
                <w:rStyle w:val="Hyperlink"/>
                <w:noProof/>
              </w:rPr>
              <w:t>4.2.2 – Burn Duration &amp; Flame Speed</w:t>
            </w:r>
            <w:r>
              <w:rPr>
                <w:noProof/>
                <w:webHidden/>
              </w:rPr>
              <w:tab/>
            </w:r>
            <w:r>
              <w:rPr>
                <w:noProof/>
                <w:webHidden/>
              </w:rPr>
              <w:fldChar w:fldCharType="begin"/>
            </w:r>
            <w:r>
              <w:rPr>
                <w:noProof/>
                <w:webHidden/>
              </w:rPr>
              <w:instrText xml:space="preserve"> PAGEREF _Toc508826011 \h </w:instrText>
            </w:r>
            <w:r>
              <w:rPr>
                <w:noProof/>
                <w:webHidden/>
              </w:rPr>
            </w:r>
            <w:r>
              <w:rPr>
                <w:noProof/>
                <w:webHidden/>
              </w:rPr>
              <w:fldChar w:fldCharType="separate"/>
            </w:r>
            <w:r>
              <w:rPr>
                <w:noProof/>
                <w:webHidden/>
              </w:rPr>
              <w:t>7</w:t>
            </w:r>
            <w:r>
              <w:rPr>
                <w:noProof/>
                <w:webHidden/>
              </w:rPr>
              <w:fldChar w:fldCharType="end"/>
            </w:r>
          </w:hyperlink>
        </w:p>
        <w:p w14:paraId="566A8048" w14:textId="3CDF95E8" w:rsidR="00A752EE" w:rsidRDefault="00A752EE">
          <w:pPr>
            <w:pStyle w:val="TOC2"/>
            <w:tabs>
              <w:tab w:val="right" w:leader="dot" w:pos="9016"/>
            </w:tabs>
            <w:rPr>
              <w:rFonts w:eastAsiaTheme="minorEastAsia"/>
              <w:noProof/>
              <w:lang w:eastAsia="en-GB"/>
            </w:rPr>
          </w:pPr>
          <w:hyperlink w:anchor="_Toc508826012" w:history="1">
            <w:r w:rsidRPr="006F6CEC">
              <w:rPr>
                <w:rStyle w:val="Hyperlink"/>
                <w:noProof/>
              </w:rPr>
              <w:t>4.2.3 – Fuelling Strategy</w:t>
            </w:r>
            <w:r>
              <w:rPr>
                <w:noProof/>
                <w:webHidden/>
              </w:rPr>
              <w:tab/>
            </w:r>
            <w:r>
              <w:rPr>
                <w:noProof/>
                <w:webHidden/>
              </w:rPr>
              <w:fldChar w:fldCharType="begin"/>
            </w:r>
            <w:r>
              <w:rPr>
                <w:noProof/>
                <w:webHidden/>
              </w:rPr>
              <w:instrText xml:space="preserve"> PAGEREF _Toc508826012 \h </w:instrText>
            </w:r>
            <w:r>
              <w:rPr>
                <w:noProof/>
                <w:webHidden/>
              </w:rPr>
            </w:r>
            <w:r>
              <w:rPr>
                <w:noProof/>
                <w:webHidden/>
              </w:rPr>
              <w:fldChar w:fldCharType="separate"/>
            </w:r>
            <w:r>
              <w:rPr>
                <w:noProof/>
                <w:webHidden/>
              </w:rPr>
              <w:t>7</w:t>
            </w:r>
            <w:r>
              <w:rPr>
                <w:noProof/>
                <w:webHidden/>
              </w:rPr>
              <w:fldChar w:fldCharType="end"/>
            </w:r>
          </w:hyperlink>
        </w:p>
        <w:p w14:paraId="4EC83EAB" w14:textId="6CC61053" w:rsidR="00A752EE" w:rsidRDefault="00A752EE">
          <w:pPr>
            <w:pStyle w:val="TOC2"/>
            <w:tabs>
              <w:tab w:val="right" w:leader="dot" w:pos="9016"/>
            </w:tabs>
            <w:rPr>
              <w:rFonts w:eastAsiaTheme="minorEastAsia"/>
              <w:noProof/>
              <w:lang w:eastAsia="en-GB"/>
            </w:rPr>
          </w:pPr>
          <w:hyperlink w:anchor="_Toc508826013" w:history="1">
            <w:r w:rsidRPr="006F6CEC">
              <w:rPr>
                <w:rStyle w:val="Hyperlink"/>
                <w:noProof/>
              </w:rPr>
              <w:t>4.2.4 – Break Specific Fuel Consumption (BSFC)</w:t>
            </w:r>
            <w:r>
              <w:rPr>
                <w:noProof/>
                <w:webHidden/>
              </w:rPr>
              <w:tab/>
            </w:r>
            <w:r>
              <w:rPr>
                <w:noProof/>
                <w:webHidden/>
              </w:rPr>
              <w:fldChar w:fldCharType="begin"/>
            </w:r>
            <w:r>
              <w:rPr>
                <w:noProof/>
                <w:webHidden/>
              </w:rPr>
              <w:instrText xml:space="preserve"> PAGEREF _Toc508826013 \h </w:instrText>
            </w:r>
            <w:r>
              <w:rPr>
                <w:noProof/>
                <w:webHidden/>
              </w:rPr>
            </w:r>
            <w:r>
              <w:rPr>
                <w:noProof/>
                <w:webHidden/>
              </w:rPr>
              <w:fldChar w:fldCharType="separate"/>
            </w:r>
            <w:r>
              <w:rPr>
                <w:noProof/>
                <w:webHidden/>
              </w:rPr>
              <w:t>7</w:t>
            </w:r>
            <w:r>
              <w:rPr>
                <w:noProof/>
                <w:webHidden/>
              </w:rPr>
              <w:fldChar w:fldCharType="end"/>
            </w:r>
          </w:hyperlink>
        </w:p>
        <w:p w14:paraId="5C91F1FF" w14:textId="37BDFDB1" w:rsidR="000B4EDC" w:rsidRDefault="000B4EDC">
          <w:r>
            <w:rPr>
              <w:b/>
              <w:bCs/>
              <w:noProof/>
            </w:rPr>
            <w:fldChar w:fldCharType="end"/>
          </w:r>
        </w:p>
      </w:sdtContent>
    </w:sdt>
    <w:p w14:paraId="251B8F54" w14:textId="2D565B6A" w:rsidR="000A132E" w:rsidRDefault="000A132E"/>
    <w:p w14:paraId="64FDB970" w14:textId="74BFE5E9" w:rsidR="000A132E" w:rsidRDefault="000A132E"/>
    <w:p w14:paraId="00E40EE3" w14:textId="481BDC07" w:rsidR="000A132E" w:rsidRDefault="000A132E"/>
    <w:p w14:paraId="6FD4CFE8" w14:textId="5238FB01" w:rsidR="000A132E" w:rsidRDefault="000A132E"/>
    <w:p w14:paraId="6F023BCA" w14:textId="43BC99D6" w:rsidR="000A132E" w:rsidRDefault="000A132E"/>
    <w:p w14:paraId="35667E7C" w14:textId="380F296C" w:rsidR="000A132E" w:rsidRDefault="000A132E"/>
    <w:p w14:paraId="38B4EDED" w14:textId="101860D6" w:rsidR="000A132E" w:rsidRDefault="000A132E"/>
    <w:p w14:paraId="1247AD03" w14:textId="62C51990" w:rsidR="000A132E" w:rsidRDefault="000A132E"/>
    <w:p w14:paraId="3E72A279" w14:textId="4ECFCAC8" w:rsidR="000A132E" w:rsidRDefault="000A132E"/>
    <w:p w14:paraId="14A337CC" w14:textId="54A0381E" w:rsidR="000A132E" w:rsidRDefault="000A132E"/>
    <w:p w14:paraId="2195BAC8" w14:textId="082B4302" w:rsidR="000A132E" w:rsidRDefault="000A132E"/>
    <w:p w14:paraId="0104B0CB" w14:textId="2BFF1B23" w:rsidR="000A132E" w:rsidRDefault="000A132E"/>
    <w:p w14:paraId="74C0DAD0" w14:textId="30CD6EC1" w:rsidR="000A132E" w:rsidRDefault="000A132E" w:rsidP="000B4EDC">
      <w:pPr>
        <w:pStyle w:val="Heading2"/>
      </w:pPr>
      <w:bookmarkStart w:id="0" w:name="_Toc508825995"/>
      <w:r>
        <w:lastRenderedPageBreak/>
        <w:t>Chapter 1 – Introduction</w:t>
      </w:r>
      <w:bookmarkEnd w:id="0"/>
    </w:p>
    <w:p w14:paraId="6AD565B5" w14:textId="541EC192" w:rsidR="000A132E" w:rsidRDefault="000A132E" w:rsidP="000B4EDC">
      <w:pPr>
        <w:pStyle w:val="Heading2"/>
      </w:pPr>
    </w:p>
    <w:p w14:paraId="3AF4E79D" w14:textId="07C3514C" w:rsidR="000A132E" w:rsidRDefault="000A132E" w:rsidP="000B4EDC">
      <w:pPr>
        <w:pStyle w:val="Heading2"/>
      </w:pPr>
      <w:bookmarkStart w:id="1" w:name="_Toc508825996"/>
      <w:r>
        <w:t>Chapter 2 – Fuelling</w:t>
      </w:r>
      <w:r w:rsidR="008E5C7C">
        <w:t xml:space="preserve"> (N/A Engine)</w:t>
      </w:r>
      <w:bookmarkEnd w:id="1"/>
    </w:p>
    <w:p w14:paraId="579AB8AD" w14:textId="10C35311" w:rsidR="00E068DC" w:rsidRDefault="000A132E" w:rsidP="000B4EDC">
      <w:pPr>
        <w:pStyle w:val="Heading2"/>
      </w:pPr>
      <w:bookmarkStart w:id="2" w:name="_Toc508825997"/>
      <w:r>
        <w:t>2.1.1 – Equivalence Ratio Map</w:t>
      </w:r>
      <w:bookmarkEnd w:id="2"/>
    </w:p>
    <w:p w14:paraId="04A306BA" w14:textId="11E38EBD" w:rsidR="00E068DC" w:rsidRDefault="00C54E21">
      <w:r>
        <w:rPr>
          <w:noProof/>
        </w:rPr>
        <w:drawing>
          <wp:inline distT="0" distB="0" distL="0" distR="0" wp14:anchorId="46833E3F" wp14:editId="226E855B">
            <wp:extent cx="5760720" cy="2377440"/>
            <wp:effectExtent l="0" t="0" r="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60720" cy="2377440"/>
                    </a:xfrm>
                    <a:prstGeom prst="rect">
                      <a:avLst/>
                    </a:prstGeom>
                    <a:noFill/>
                    <a:ln>
                      <a:noFill/>
                    </a:ln>
                  </pic:spPr>
                </pic:pic>
              </a:graphicData>
            </a:graphic>
          </wp:inline>
        </w:drawing>
      </w:r>
    </w:p>
    <w:p w14:paraId="61E7B11D" w14:textId="2DAB8153" w:rsidR="00A331BE" w:rsidRDefault="00A331BE">
      <w:r>
        <w:t>Figure 1 – Fuel Equivalence Ratio – Vacas, Juan</w:t>
      </w:r>
    </w:p>
    <w:p w14:paraId="5E060B2F" w14:textId="184BE207" w:rsidR="000A132E" w:rsidRDefault="000A132E" w:rsidP="000B4EDC">
      <w:pPr>
        <w:pStyle w:val="Heading2"/>
      </w:pPr>
      <w:bookmarkStart w:id="3" w:name="_Toc508825998"/>
      <w:r>
        <w:t>2.1.2 – Fuel Consumption</w:t>
      </w:r>
      <w:bookmarkEnd w:id="3"/>
    </w:p>
    <w:p w14:paraId="322AF405" w14:textId="34E0369D" w:rsidR="00F85866" w:rsidRDefault="00F85866" w:rsidP="00F85866"/>
    <w:p w14:paraId="339CC648" w14:textId="1C7D1CB9" w:rsidR="004D2D82" w:rsidRDefault="00F85866" w:rsidP="000105FF">
      <w:r>
        <w:t xml:space="preserve">The equivalence ratio chosen </w:t>
      </w:r>
      <w:r w:rsidR="00694531">
        <w:t>for chosen</w:t>
      </w:r>
      <w:r>
        <w:t xml:space="preserve"> for the best fuel consumption is 1.0, though </w:t>
      </w:r>
      <w:r w:rsidR="00A95C31">
        <w:t xml:space="preserve">strictly speaking this could be tweaked to be slightly leaner it would deviate from the </w:t>
      </w:r>
      <w:r w:rsidR="006645B4">
        <w:t>concurrent</w:t>
      </w:r>
      <w:r w:rsidR="00A95C31">
        <w:t xml:space="preserve"> condition needed for the catalysts (stoichiometric).</w:t>
      </w:r>
      <w:r w:rsidR="004D2D82">
        <w:t xml:space="preserve"> Outside of the NEDC it could be advantageous to lean of slightly at low load cruising conditions. </w:t>
      </w:r>
    </w:p>
    <w:p w14:paraId="7F6E847D" w14:textId="77777777" w:rsidR="006645B4" w:rsidRPr="000105FF" w:rsidRDefault="006645B4" w:rsidP="000105FF"/>
    <w:p w14:paraId="34EE069C" w14:textId="4DDDABB7" w:rsidR="000A132E" w:rsidRDefault="000A132E" w:rsidP="000B4EDC">
      <w:pPr>
        <w:pStyle w:val="Heading2"/>
      </w:pPr>
      <w:bookmarkStart w:id="4" w:name="_Toc508825999"/>
      <w:r>
        <w:t>2.1.3 – Emissions</w:t>
      </w:r>
      <w:bookmarkEnd w:id="4"/>
    </w:p>
    <w:p w14:paraId="4C117282" w14:textId="5462B5B3" w:rsidR="006645B4" w:rsidRDefault="006645B4" w:rsidP="006645B4"/>
    <w:p w14:paraId="69E17103" w14:textId="2A7269E1" w:rsidR="006645B4" w:rsidRDefault="006645B4" w:rsidP="006645B4">
      <w:r>
        <w:t xml:space="preserve">As mentioned in chapter 2.1.2, the ideal fuelling strategy to best benefit the emission produced </w:t>
      </w:r>
      <w:r w:rsidR="00583F35">
        <w:t>is 14.7 (Stochiometric)</w:t>
      </w:r>
      <w:r w:rsidR="00A47826">
        <w:t xml:space="preserve">, where stochiometric is ratio at </w:t>
      </w:r>
      <w:r w:rsidR="001B2640">
        <w:t xml:space="preserve">the point </w:t>
      </w:r>
      <w:r w:rsidR="00A47826">
        <w:t xml:space="preserve">which the combustion process </w:t>
      </w:r>
      <w:r w:rsidR="00D33228">
        <w:t>is</w:t>
      </w:r>
      <w:r w:rsidR="00A47826">
        <w:t xml:space="preserve"> chemically complete. </w:t>
      </w:r>
      <w:r w:rsidR="0093770E">
        <w:t>Th</w:t>
      </w:r>
      <w:r w:rsidR="00A47826">
        <w:t>is</w:t>
      </w:r>
      <w:r w:rsidR="0093770E">
        <w:t xml:space="preserve"> </w:t>
      </w:r>
      <w:r w:rsidR="00A47826">
        <w:t xml:space="preserve">fuelling strategy is an important factor in maintaining the service life and correct operation of the catalytic converters, </w:t>
      </w:r>
      <w:r w:rsidR="00D33228">
        <w:t xml:space="preserve">for example – running rich means there is the possibility that the catalyst may be exposed to a certain amount of unburned fuel. With the same effect running lean can also put the </w:t>
      </w:r>
      <w:r w:rsidR="00783A3B">
        <w:t>catalyst</w:t>
      </w:r>
      <w:r w:rsidR="00D33228">
        <w:t xml:space="preserve"> at risk of thermal damage</w:t>
      </w:r>
      <w:r w:rsidR="00783A3B">
        <w:t xml:space="preserve"> when for example the engine may misfire and let through unburnt fuel. Exposing the catalyst to unburned fuel causes it to overheat and become clogged up. Repeated contact with unburned fuel will </w:t>
      </w:r>
      <w:r w:rsidR="00EF3569">
        <w:t>compound this effect</w:t>
      </w:r>
      <w:r w:rsidR="00783A3B">
        <w:t xml:space="preserve"> catalyst becoming clogged up and suffering from thermal </w:t>
      </w:r>
      <w:r w:rsidR="007802A5">
        <w:t>degradation</w:t>
      </w:r>
      <w:r w:rsidR="00783A3B">
        <w:t>.</w:t>
      </w:r>
    </w:p>
    <w:p w14:paraId="75CB060C" w14:textId="1ECF3C98" w:rsidR="007802A5" w:rsidRDefault="00D846DE" w:rsidP="006645B4">
      <w:r>
        <w:t>Whilst the catalyst may still be operable</w:t>
      </w:r>
      <w:r w:rsidR="00681FD1">
        <w:t>,</w:t>
      </w:r>
      <w:r>
        <w:t xml:space="preserve"> its </w:t>
      </w:r>
      <w:r w:rsidR="00376495">
        <w:t>ultimate performance and range of operation is</w:t>
      </w:r>
      <w:r>
        <w:t xml:space="preserve"> likely to become rather more limited. For example, thermal </w:t>
      </w:r>
      <w:r w:rsidR="007802A5">
        <w:t>degradation</w:t>
      </w:r>
      <w:r>
        <w:t xml:space="preserve"> and </w:t>
      </w:r>
      <w:r w:rsidR="007802A5">
        <w:t>contaminated surfaces could cause the catalyst to lose its ability to heat up quickly</w:t>
      </w:r>
      <w:r w:rsidR="00EF3569">
        <w:t xml:space="preserve"> and the ability of the catalyst to heat up is an extremely contentious point – even when the catalyst in ideal condition. </w:t>
      </w:r>
    </w:p>
    <w:p w14:paraId="4350D5B4" w14:textId="2E68259A" w:rsidR="00583F35" w:rsidRDefault="00583F35" w:rsidP="006645B4">
      <w:r>
        <w:rPr>
          <w:noProof/>
        </w:rPr>
        <w:lastRenderedPageBreak/>
        <w:drawing>
          <wp:inline distT="0" distB="0" distL="0" distR="0" wp14:anchorId="3328FA06" wp14:editId="325620D9">
            <wp:extent cx="3581400" cy="3371850"/>
            <wp:effectExtent l="0" t="0" r="0" b="0"/>
            <wp:docPr id="11" name="Picture 11" descr="http://www.endtuning.com/images/airfu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www.endtuning.com/images/airfuel.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81400" cy="3371850"/>
                    </a:xfrm>
                    <a:prstGeom prst="rect">
                      <a:avLst/>
                    </a:prstGeom>
                    <a:noFill/>
                    <a:ln>
                      <a:noFill/>
                    </a:ln>
                  </pic:spPr>
                </pic:pic>
              </a:graphicData>
            </a:graphic>
          </wp:inline>
        </w:drawing>
      </w:r>
    </w:p>
    <w:p w14:paraId="6C775544" w14:textId="6CE71266" w:rsidR="00583F35" w:rsidRDefault="00583F35" w:rsidP="006645B4">
      <w:r>
        <w:t xml:space="preserve">Figure </w:t>
      </w:r>
      <w:r w:rsidR="00A331BE">
        <w:t>2</w:t>
      </w:r>
      <w:r>
        <w:t xml:space="preserve"> – Toyota Motor Company (</w:t>
      </w:r>
      <w:r w:rsidRPr="00583F35">
        <w:t>endtuning.com</w:t>
      </w:r>
      <w:r>
        <w:t xml:space="preserve"> – 10/03/2018)</w:t>
      </w:r>
    </w:p>
    <w:p w14:paraId="631C5247" w14:textId="508D59C4" w:rsidR="00694531" w:rsidRDefault="00694531" w:rsidP="006645B4"/>
    <w:p w14:paraId="51D96F86" w14:textId="2F157ADC" w:rsidR="000105FF" w:rsidRPr="000105FF" w:rsidRDefault="00694531" w:rsidP="000105FF">
      <w:r>
        <w:t xml:space="preserve">Figure </w:t>
      </w:r>
      <w:r w:rsidR="00A331BE">
        <w:t>2</w:t>
      </w:r>
      <w:r>
        <w:t xml:space="preserve"> is a good illustration of how the ideal AFR for emissions is a compromise between power and fuel </w:t>
      </w:r>
      <w:r w:rsidR="007802A5">
        <w:t>economy.</w:t>
      </w:r>
    </w:p>
    <w:p w14:paraId="02C90B88" w14:textId="697AACA8" w:rsidR="000A132E" w:rsidRDefault="000A132E" w:rsidP="000B4EDC">
      <w:pPr>
        <w:pStyle w:val="Heading2"/>
      </w:pPr>
      <w:bookmarkStart w:id="5" w:name="_Toc508826000"/>
      <w:r>
        <w:t>2.1.4 – Maximum Power</w:t>
      </w:r>
      <w:r w:rsidR="007802A5">
        <w:t xml:space="preserve"> &amp; Temperature Control</w:t>
      </w:r>
      <w:bookmarkEnd w:id="5"/>
    </w:p>
    <w:p w14:paraId="41A838DB" w14:textId="6D99EFEA" w:rsidR="007802A5" w:rsidRDefault="007802A5" w:rsidP="007802A5"/>
    <w:p w14:paraId="4595D35A" w14:textId="7567D896" w:rsidR="007802A5" w:rsidRPr="007802A5" w:rsidRDefault="007802A5" w:rsidP="007802A5">
      <w:r>
        <w:t xml:space="preserve">When aiming for maximum power the rule idea is to run around 10% rich. Whilst the stochiometric AFR </w:t>
      </w:r>
      <w:r w:rsidR="00940E5A">
        <w:t>is considered to be a</w:t>
      </w:r>
      <w:r>
        <w:t xml:space="preserve"> chemically complete combustion, it ignores the fact that the mixture may not be perfectly mixed. The mixture is likely to contain free pockets of oxygen, hence making the mixture richer by adding more fuel increases the chance of reactions between the </w:t>
      </w:r>
      <w:r w:rsidR="00940E5A">
        <w:t>two-respective</w:t>
      </w:r>
      <w:r>
        <w:t xml:space="preserve"> species.</w:t>
      </w:r>
    </w:p>
    <w:p w14:paraId="76BCE9F9" w14:textId="77777777" w:rsidR="000105FF" w:rsidRPr="000105FF" w:rsidRDefault="000105FF" w:rsidP="000105FF"/>
    <w:p w14:paraId="7BB6B08E" w14:textId="520D7BB5" w:rsidR="000A132E" w:rsidRDefault="000A132E" w:rsidP="000B4EDC">
      <w:pPr>
        <w:pStyle w:val="Heading2"/>
      </w:pPr>
      <w:bookmarkStart w:id="6" w:name="_Toc508826001"/>
      <w:r>
        <w:t>2.2.1 – Cranking Strategy</w:t>
      </w:r>
      <w:bookmarkEnd w:id="6"/>
    </w:p>
    <w:p w14:paraId="6A4FBA20" w14:textId="0FA442A2" w:rsidR="00FD0AA7" w:rsidRDefault="00FD0AA7" w:rsidP="00FD0AA7"/>
    <w:p w14:paraId="2B9CEEA2" w14:textId="5DDDF431" w:rsidR="00FD0AA7" w:rsidRDefault="00FD0AA7" w:rsidP="00FD0AA7">
      <w:r>
        <w:t>There are two dilemmas that are the drivers for the chosen cranking strategy;</w:t>
      </w:r>
    </w:p>
    <w:p w14:paraId="283AFE8B" w14:textId="469ABDE2" w:rsidR="00FD0AA7" w:rsidRDefault="00FD0AA7" w:rsidP="00FD0AA7">
      <w:r>
        <w:t>1 – Low air speed doesn’t promote good atomization, hence the significant increase in fuel quantity.</w:t>
      </w:r>
    </w:p>
    <w:p w14:paraId="39737313" w14:textId="1D126FEE" w:rsidR="00FD0AA7" w:rsidRDefault="00FD0AA7" w:rsidP="00FD0AA7"/>
    <w:p w14:paraId="675CB0A3" w14:textId="26CE6430" w:rsidR="00FD0AA7" w:rsidRDefault="00FD0AA7" w:rsidP="00FD0AA7">
      <w:r>
        <w:t xml:space="preserve">2 – When cranking the temperature of the incoming air or the wall temperatures can </w:t>
      </w:r>
      <w:r w:rsidR="00DC734E">
        <w:t>affect</w:t>
      </w:r>
      <w:r>
        <w:t xml:space="preserve"> the atomization of the fuel spray, hence the </w:t>
      </w:r>
      <w:r w:rsidR="00C76B08">
        <w:t>increase</w:t>
      </w:r>
      <w:r>
        <w:t xml:space="preserve"> in </w:t>
      </w:r>
      <w:r w:rsidR="00C76B08">
        <w:t>fuelling</w:t>
      </w:r>
      <w:r>
        <w:t xml:space="preserve"> is </w:t>
      </w:r>
      <w:r w:rsidR="00C76B08">
        <w:t>to combat this.</w:t>
      </w:r>
    </w:p>
    <w:p w14:paraId="56E65217" w14:textId="5CE80F3A" w:rsidR="008913E7" w:rsidRDefault="008913E7" w:rsidP="00FD0AA7"/>
    <w:p w14:paraId="1B2108D7" w14:textId="6D536562" w:rsidR="00C76B08" w:rsidRDefault="008913E7" w:rsidP="00FD0AA7">
      <w:r>
        <w:t>In both points 1 and 2 the aim condensation is the main concern.</w:t>
      </w:r>
    </w:p>
    <w:p w14:paraId="4F9AB0DE" w14:textId="09540489" w:rsidR="00C76B08" w:rsidRDefault="00C76B08" w:rsidP="00FD0AA7">
      <w:r>
        <w:lastRenderedPageBreak/>
        <w:t>Although 2 main points are discussed briefly, it isn’t as simple as just increasing the fuel – it is also important to note that whilst the fuelling is noticeably increased, care must be taken to phase this out correctly. Upon cranking the fuel equivalence ratio may be extreme at “2.0”, but this highly elevated level of fuelling must be phased out and not continue for longer than say 20 cycles. Continuing this strategy for too long a duration risks fouling the plugs (excessive soot deposits).</w:t>
      </w:r>
    </w:p>
    <w:p w14:paraId="773EBDC8" w14:textId="5E088A6B" w:rsidR="00CE50FB" w:rsidRDefault="00CE50FB" w:rsidP="00FD0AA7">
      <w:r>
        <w:t>As a contributing factor to this strategy there should also be corresponding correction table which varies the strategy according to temperature.</w:t>
      </w:r>
    </w:p>
    <w:p w14:paraId="08B3168C" w14:textId="5974AD02" w:rsidR="00CE50FB" w:rsidRDefault="00CE50FB" w:rsidP="00FD0AA7"/>
    <w:p w14:paraId="6C1E0FBF" w14:textId="025A2A0E" w:rsidR="00CE50FB" w:rsidRDefault="00CE50FB" w:rsidP="00FD0AA7">
      <w:r>
        <w:t>Dave Walker – Engine Management “Haynes”, show how start up enrichment may vary from 110% at -10’c down to 10% from 80’c upwards</w:t>
      </w:r>
      <w:r w:rsidR="009C4131">
        <w:t xml:space="preserve"> (coolant temperature)</w:t>
      </w:r>
      <w:r>
        <w:t xml:space="preserve">. </w:t>
      </w:r>
      <w:r w:rsidR="00F02E59">
        <w:t>Furthermore,</w:t>
      </w:r>
      <w:r>
        <w:t xml:space="preserve"> this may be complemented </w:t>
      </w:r>
      <w:r w:rsidR="008913E7">
        <w:t>by the</w:t>
      </w:r>
      <w:r>
        <w:t xml:space="preserve"> choice of thermostat to control the water temperature around the ports and combustion chamber, helping to reaching an optimum operating temperature sooner.</w:t>
      </w:r>
    </w:p>
    <w:p w14:paraId="1B131AB9" w14:textId="46F4EE58" w:rsidR="00CC62D0" w:rsidRDefault="00CC62D0" w:rsidP="000B4EDC">
      <w:pPr>
        <w:pStyle w:val="Heading2"/>
      </w:pPr>
    </w:p>
    <w:p w14:paraId="3D687638" w14:textId="42677A63" w:rsidR="00CC62D0" w:rsidRDefault="00CC62D0" w:rsidP="000B4EDC">
      <w:pPr>
        <w:pStyle w:val="Heading2"/>
      </w:pPr>
      <w:bookmarkStart w:id="7" w:name="_Toc508826002"/>
      <w:r>
        <w:t>Chapter 3 – Ignition</w:t>
      </w:r>
      <w:r w:rsidR="0011420A">
        <w:t xml:space="preserve"> (N/A Engine)</w:t>
      </w:r>
      <w:bookmarkEnd w:id="7"/>
    </w:p>
    <w:p w14:paraId="1BFE8009" w14:textId="0D82A8EC" w:rsidR="00CC62D0" w:rsidRDefault="00CC62D0"/>
    <w:p w14:paraId="68971C6E" w14:textId="714BDA22" w:rsidR="00CC62D0" w:rsidRDefault="00CC62D0" w:rsidP="000B4EDC">
      <w:pPr>
        <w:pStyle w:val="Heading2"/>
      </w:pPr>
      <w:bookmarkStart w:id="8" w:name="_Toc508826003"/>
      <w:r>
        <w:t>3.1.1 – Ignition Timing Map</w:t>
      </w:r>
      <w:bookmarkEnd w:id="8"/>
    </w:p>
    <w:p w14:paraId="05FC2C96" w14:textId="72BFE20C" w:rsidR="00245BAB" w:rsidRDefault="00A9151B" w:rsidP="00245BAB">
      <w:r>
        <w:rPr>
          <w:noProof/>
        </w:rPr>
        <w:drawing>
          <wp:inline distT="0" distB="0" distL="0" distR="0" wp14:anchorId="66A93291" wp14:editId="40C8DDEE">
            <wp:extent cx="5705475" cy="253365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05475" cy="2533650"/>
                    </a:xfrm>
                    <a:prstGeom prst="rect">
                      <a:avLst/>
                    </a:prstGeom>
                    <a:noFill/>
                    <a:ln>
                      <a:noFill/>
                    </a:ln>
                  </pic:spPr>
                </pic:pic>
              </a:graphicData>
            </a:graphic>
          </wp:inline>
        </w:drawing>
      </w:r>
    </w:p>
    <w:p w14:paraId="464FDF4B" w14:textId="7F00384C" w:rsidR="009452F0" w:rsidRDefault="009452F0" w:rsidP="00245BAB">
      <w:r>
        <w:t xml:space="preserve">Figure 3 – Ignition Map – Vacas, Juan </w:t>
      </w:r>
    </w:p>
    <w:p w14:paraId="467CC64D" w14:textId="71C9ACF0" w:rsidR="00C2151E" w:rsidRDefault="00C2151E" w:rsidP="00245BAB"/>
    <w:p w14:paraId="60FC6B5F" w14:textId="7EF38996" w:rsidR="00C2151E" w:rsidRDefault="00C2151E" w:rsidP="00245BAB">
      <w:r>
        <w:t>Note Importantly in figure 3 a subtle strategy is implemented around idle, in that the ignition timing is retarded beyond MBT, this is an anti-stall device which helps bring the engine back up to speed if it drops below idle. Also important at closed throttle / idle is to have a correctly adjusted throttle stop to allow a suitable amount of air through, thus promoting stable combustion.</w:t>
      </w:r>
    </w:p>
    <w:p w14:paraId="5FF24862" w14:textId="6CCFD268" w:rsidR="0096611A" w:rsidRDefault="0096611A" w:rsidP="00245BAB"/>
    <w:p w14:paraId="7BC7D4D1" w14:textId="3F277E4C" w:rsidR="0096611A" w:rsidRPr="00245BAB" w:rsidRDefault="0096611A" w:rsidP="00245BAB">
      <w:r>
        <w:t>N</w:t>
      </w:r>
      <w:r w:rsidR="00616439">
        <w:t>ote 2:  a supporting strategy for knock is the retardation of ignition timing below 3000rpm, the reason being that below 3000rpm the flame speed is slightly slower than that of the turbulent air velocity, whereas above 3000rpm the flame speed matches the turbulent velocity with a consistent linear relationship.</w:t>
      </w:r>
    </w:p>
    <w:p w14:paraId="27F8486F" w14:textId="77777777" w:rsidR="002F2FE4" w:rsidRDefault="002F2FE4" w:rsidP="000B4EDC">
      <w:pPr>
        <w:pStyle w:val="Heading2"/>
      </w:pPr>
    </w:p>
    <w:p w14:paraId="00F19AC1" w14:textId="744F7995" w:rsidR="00CC62D0" w:rsidRDefault="00CC62D0" w:rsidP="000B4EDC">
      <w:pPr>
        <w:pStyle w:val="Heading2"/>
      </w:pPr>
      <w:bookmarkStart w:id="9" w:name="_Toc508826004"/>
      <w:r>
        <w:t>3.1.2 -  Cranking Strategy (Knock Protection)</w:t>
      </w:r>
      <w:bookmarkEnd w:id="9"/>
    </w:p>
    <w:p w14:paraId="168DD248" w14:textId="7AFF952D" w:rsidR="002F2FE4" w:rsidRDefault="002F2FE4" w:rsidP="002F2FE4"/>
    <w:p w14:paraId="3A0ACACC" w14:textId="4E5AA97D" w:rsidR="002F2FE4" w:rsidRDefault="002F2FE4" w:rsidP="002F2FE4">
      <w:r>
        <w:t xml:space="preserve">The ignition strategy chosen </w:t>
      </w:r>
      <w:r w:rsidR="008913E7">
        <w:t>on cranking (</w:t>
      </w:r>
      <w:r w:rsidR="003C24EE">
        <w:t>start-up</w:t>
      </w:r>
      <w:r w:rsidR="008913E7">
        <w:t>) is retardation, simply put this is because at low rpm and large throttle opening the risk of condensation and low airspeed are both apparent. Due inherently to the fact the if the unburnt zone waits too long it is more likely to cause knock and as such for this reason the trend in retarding the ignition is put in place to combat this.</w:t>
      </w:r>
    </w:p>
    <w:p w14:paraId="0ADDF2A4" w14:textId="723EFD31" w:rsidR="002F2FE4" w:rsidRDefault="003B5EFC" w:rsidP="002F2FE4">
      <w:r>
        <w:rPr>
          <w:noProof/>
        </w:rPr>
        <w:drawing>
          <wp:inline distT="0" distB="0" distL="0" distR="0" wp14:anchorId="090D16D2" wp14:editId="51B00C65">
            <wp:extent cx="5731510" cy="3050437"/>
            <wp:effectExtent l="0" t="0" r="2540" b="0"/>
            <wp:docPr id="14" name="Picture 14" descr="Image result for ignition retardation MB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result for ignition retardation MB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050437"/>
                    </a:xfrm>
                    <a:prstGeom prst="rect">
                      <a:avLst/>
                    </a:prstGeom>
                    <a:noFill/>
                    <a:ln>
                      <a:noFill/>
                    </a:ln>
                  </pic:spPr>
                </pic:pic>
              </a:graphicData>
            </a:graphic>
          </wp:inline>
        </w:drawing>
      </w:r>
    </w:p>
    <w:p w14:paraId="3657BBED" w14:textId="1E3A56E9" w:rsidR="00DE5CDD" w:rsidRDefault="0020107B" w:rsidP="002F2FE4">
      <w:r>
        <w:t>Figure 4 – Ignition Timing &amp; MBT - ondyno.com (09/12/18)</w:t>
      </w:r>
    </w:p>
    <w:p w14:paraId="1BFD81D5" w14:textId="3D804382" w:rsidR="00DE5CDD" w:rsidRDefault="00DE5CDD" w:rsidP="002F2FE4">
      <w:r>
        <w:t xml:space="preserve">Figure </w:t>
      </w:r>
      <w:r w:rsidR="0042773F">
        <w:t>4 shows</w:t>
      </w:r>
      <w:r>
        <w:t xml:space="preserve"> three different ignition timings and as is easily visible </w:t>
      </w:r>
      <w:r w:rsidR="00603D58">
        <w:t>peak pressure for each event not only varies in timing but also has a significant change of magnitude. A slight excess / spike of pressure can be considered knock and may cause damage (case by case or cumulatively). Whereas an extreme excess of pressure at the wrong time may be considered super knock and if this occurs it would be destruction not damage that occurs.</w:t>
      </w:r>
      <w:r w:rsidR="00D97261">
        <w:t xml:space="preserve"> </w:t>
      </w:r>
      <w:r w:rsidR="00B55294">
        <w:t>Super knock</w:t>
      </w:r>
      <w:r w:rsidR="00D97261">
        <w:t xml:space="preserve"> cannot be controlled with traditional knock control strategies</w:t>
      </w:r>
      <w:r w:rsidR="00B55294">
        <w:t xml:space="preserve"> and is predominantly present in turbocharged engines, where even if the turbo allows boost cannot be brought in at too low of a RPM (usually not below 2000rpm)</w:t>
      </w:r>
      <w:r w:rsidR="00B81C10">
        <w:t xml:space="preserve"> – see Figure 5.</w:t>
      </w:r>
    </w:p>
    <w:p w14:paraId="11187EAA" w14:textId="73BFEFC9" w:rsidR="00A155CF" w:rsidRDefault="00A155CF" w:rsidP="002F2FE4"/>
    <w:p w14:paraId="255EDC6B" w14:textId="439DDF37" w:rsidR="00A155CF" w:rsidRDefault="00A155CF" w:rsidP="002F2FE4">
      <w:r>
        <w:rPr>
          <w:noProof/>
        </w:rPr>
        <w:lastRenderedPageBreak/>
        <w:drawing>
          <wp:inline distT="0" distB="0" distL="0" distR="0" wp14:anchorId="2228129C" wp14:editId="4CA07B0F">
            <wp:extent cx="3286125" cy="2516402"/>
            <wp:effectExtent l="0" t="0" r="0" b="0"/>
            <wp:docPr id="15" name="Picture 15" descr="Image result for superkn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mage result for superknoc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90750" cy="2519944"/>
                    </a:xfrm>
                    <a:prstGeom prst="rect">
                      <a:avLst/>
                    </a:prstGeom>
                    <a:noFill/>
                    <a:ln>
                      <a:noFill/>
                    </a:ln>
                  </pic:spPr>
                </pic:pic>
              </a:graphicData>
            </a:graphic>
          </wp:inline>
        </w:drawing>
      </w:r>
    </w:p>
    <w:p w14:paraId="2CF9DD5F" w14:textId="4A9020A1" w:rsidR="003B5EFC" w:rsidRDefault="00D97261" w:rsidP="002F2FE4">
      <w:r>
        <w:t xml:space="preserve">Figure 5 – Knock &amp; </w:t>
      </w:r>
      <w:r w:rsidR="00A752EE">
        <w:t>Super knock</w:t>
      </w:r>
    </w:p>
    <w:p w14:paraId="23AC37C5" w14:textId="20E36EF9" w:rsidR="00CC62D0" w:rsidRDefault="00CC62D0" w:rsidP="000B4EDC">
      <w:pPr>
        <w:pStyle w:val="Heading2"/>
      </w:pPr>
      <w:bookmarkStart w:id="10" w:name="_Toc508826005"/>
      <w:r>
        <w:t xml:space="preserve">3.2. – Reduction of </w:t>
      </w:r>
      <w:r w:rsidR="008F5E23">
        <w:t>NOx</w:t>
      </w:r>
      <w:r>
        <w:t xml:space="preserve"> &amp; Hydrocarbons</w:t>
      </w:r>
      <w:bookmarkEnd w:id="10"/>
    </w:p>
    <w:p w14:paraId="5024FC54" w14:textId="77777777" w:rsidR="009F7833" w:rsidRPr="009F7833" w:rsidRDefault="009F7833" w:rsidP="009F7833"/>
    <w:p w14:paraId="3D1C93AF" w14:textId="35F1135C" w:rsidR="00CC62D0" w:rsidRDefault="00CC62D0" w:rsidP="000B4EDC">
      <w:pPr>
        <w:pStyle w:val="Heading2"/>
      </w:pPr>
      <w:bookmarkStart w:id="11" w:name="_Toc508826006"/>
      <w:r>
        <w:t xml:space="preserve">3.2.1 </w:t>
      </w:r>
      <w:r w:rsidR="008F5E23">
        <w:t>–</w:t>
      </w:r>
      <w:r>
        <w:t xml:space="preserve"> Strategy</w:t>
      </w:r>
      <w:r w:rsidR="008F5E23">
        <w:t xml:space="preserve"> for Reduction</w:t>
      </w:r>
      <w:bookmarkEnd w:id="11"/>
    </w:p>
    <w:p w14:paraId="7C807906" w14:textId="67AFDBC1" w:rsidR="009F7833" w:rsidRDefault="009F7833" w:rsidP="009F7833"/>
    <w:p w14:paraId="608E6FA0" w14:textId="6366A5E3" w:rsidR="009F7833" w:rsidRPr="009F7833" w:rsidRDefault="009F7833" w:rsidP="009F7833">
      <w:r>
        <w:t xml:space="preserve">A point of contention often raised in relation the NEDC is the potential for an excess of NOx and Hc levels. </w:t>
      </w:r>
      <w:r w:rsidR="00F36E89">
        <w:t>The sensible approach to take in relation to this matter is to retard the ignition</w:t>
      </w:r>
      <w:r w:rsidR="00445C45">
        <w:t xml:space="preserve"> which promotes lower temperatures during combustion meaning less NOx is produced and burns in the exhaust raising the exhaust temperature and thus lowering hydrocarbon emissions.</w:t>
      </w:r>
    </w:p>
    <w:p w14:paraId="75A2BB81" w14:textId="77777777" w:rsidR="00C2151E" w:rsidRPr="00C2151E" w:rsidRDefault="00C2151E" w:rsidP="00C2151E"/>
    <w:p w14:paraId="1B608AAD" w14:textId="2151FF62" w:rsidR="008F5E23" w:rsidRDefault="008F5E23" w:rsidP="000B4EDC">
      <w:pPr>
        <w:pStyle w:val="Heading2"/>
      </w:pPr>
      <w:bookmarkStart w:id="12" w:name="_Toc508826007"/>
      <w:r>
        <w:t>3.2.2 – Particulate Emissions</w:t>
      </w:r>
      <w:bookmarkEnd w:id="12"/>
    </w:p>
    <w:p w14:paraId="61BF0999" w14:textId="78E018DB" w:rsidR="00805B6D" w:rsidRDefault="00805B6D" w:rsidP="00805B6D"/>
    <w:p w14:paraId="5A71556E" w14:textId="6C16A6A6" w:rsidR="00805B6D" w:rsidRDefault="00805B6D" w:rsidP="00805B6D">
      <w:r>
        <w:t>Whilst lower chamber temperatures and higher exhaust temperatures may aid in the reduction of NOx and Hc, there may be a significant increase in hydrocarbons.</w:t>
      </w:r>
    </w:p>
    <w:p w14:paraId="3C040E83" w14:textId="707C7D07" w:rsidR="00805B6D" w:rsidRDefault="00805B6D" w:rsidP="00805B6D">
      <w:r>
        <w:t xml:space="preserve">The temperature achieved in the exhaust may increase the exhaust temperature but relatively the temperature of this reaction is </w:t>
      </w:r>
      <w:r w:rsidR="00B3612A">
        <w:t>lower than if this process had completed earlier in the cycle – this lower temperature is what may cause an increase in particulates. The lower temperature performs a less than ideal burn of the constituents of the species mix resulting in a certain amount of “part” burned mix (particulates).</w:t>
      </w:r>
    </w:p>
    <w:p w14:paraId="72D57BF6" w14:textId="402CB957" w:rsidR="00B3612A" w:rsidRDefault="00B3612A" w:rsidP="00805B6D">
      <w:r>
        <w:t xml:space="preserve">Whilst exhaust out particulates can be reduced via the use of a particulate filter it is important to note that particulates should be evaluated not just by quantity but also by size. It may </w:t>
      </w:r>
      <w:r w:rsidR="00CD4207">
        <w:t>be</w:t>
      </w:r>
      <w:r>
        <w:t xml:space="preserve"> advantageous to have more particulates of a larger size (</w:t>
      </w:r>
      <w:r w:rsidR="008D2FC6">
        <w:t>at least</w:t>
      </w:r>
      <w:r>
        <w:t xml:space="preserve"> these can be caught by filters) vs less particulates of a significantly smaller size (able to get past filters and as such far likely to have negative effects </w:t>
      </w:r>
      <w:r w:rsidR="008D2FC6">
        <w:t>(health issues).</w:t>
      </w:r>
    </w:p>
    <w:p w14:paraId="6AF321C1" w14:textId="504757C6" w:rsidR="008C0ED4" w:rsidRDefault="008C0ED4" w:rsidP="00805B6D"/>
    <w:p w14:paraId="5BFF1454" w14:textId="77777777" w:rsidR="008C0ED4" w:rsidRPr="00805B6D" w:rsidRDefault="008C0ED4" w:rsidP="00805B6D"/>
    <w:p w14:paraId="5360A5B9" w14:textId="0B8AA531" w:rsidR="008F5E23" w:rsidRDefault="006A2638" w:rsidP="000B4EDC">
      <w:pPr>
        <w:pStyle w:val="Heading2"/>
      </w:pPr>
      <w:bookmarkStart w:id="13" w:name="_Toc508826008"/>
      <w:r>
        <w:lastRenderedPageBreak/>
        <w:t xml:space="preserve">Chapter 4 </w:t>
      </w:r>
      <w:r w:rsidR="00FA61F3">
        <w:t>–</w:t>
      </w:r>
      <w:r>
        <w:t xml:space="preserve"> </w:t>
      </w:r>
      <w:r w:rsidR="00FA61F3">
        <w:t>Analysis of 1.2 MAHLE Engine</w:t>
      </w:r>
      <w:bookmarkEnd w:id="13"/>
    </w:p>
    <w:p w14:paraId="60EFF3F5" w14:textId="77777777" w:rsidR="008C0ED4" w:rsidRPr="008C0ED4" w:rsidRDefault="008C0ED4" w:rsidP="008C0ED4"/>
    <w:p w14:paraId="4D2DDD5B" w14:textId="69C76A10" w:rsidR="0017653A" w:rsidRDefault="0017653A" w:rsidP="000B4EDC">
      <w:pPr>
        <w:pStyle w:val="Heading2"/>
      </w:pPr>
      <w:bookmarkStart w:id="14" w:name="_Toc508826009"/>
      <w:r>
        <w:t>4.1 – Introduction</w:t>
      </w:r>
      <w:bookmarkEnd w:id="14"/>
    </w:p>
    <w:p w14:paraId="223CDAC1" w14:textId="13A0EA05" w:rsidR="001F20E3" w:rsidRDefault="001F20E3" w:rsidP="001F20E3"/>
    <w:p w14:paraId="1F3E755F" w14:textId="40D99700" w:rsidR="001F20E3" w:rsidRDefault="001F20E3" w:rsidP="001F20E3">
      <w:r>
        <w:t>The data to be analysed is that of a 1.2 litre 3-cylinder GDI turbocharged development engine produced by MAHLE Powertrain.</w:t>
      </w:r>
    </w:p>
    <w:p w14:paraId="3CAF4C60" w14:textId="77777777" w:rsidR="001F20E3" w:rsidRPr="001F20E3" w:rsidRDefault="001F20E3" w:rsidP="001F20E3"/>
    <w:p w14:paraId="4F40D282" w14:textId="7682BF53" w:rsidR="0017653A" w:rsidRDefault="0017653A" w:rsidP="000B4EDC">
      <w:pPr>
        <w:pStyle w:val="Heading2"/>
      </w:pPr>
      <w:bookmarkStart w:id="15" w:name="_Toc508826010"/>
      <w:r>
        <w:t>4.2.1– Control Strategy (Hardware Limit &amp; Knock)</w:t>
      </w:r>
      <w:bookmarkEnd w:id="15"/>
    </w:p>
    <w:p w14:paraId="10F2DBAD" w14:textId="4FE22D86" w:rsidR="001F20E3" w:rsidRDefault="001F20E3" w:rsidP="001F20E3"/>
    <w:p w14:paraId="3F3218FB" w14:textId="10C98E38" w:rsidR="00006EB4" w:rsidRDefault="001F20E3" w:rsidP="001F20E3">
      <w:r>
        <w:t>Working with a prescribed hardware limit of 120bar (</w:t>
      </w:r>
      <w:r w:rsidR="005A1E28">
        <w:t>McDonald</w:t>
      </w:r>
      <w:r>
        <w:t xml:space="preserve">, Malcolm – UWTSD 2018), the data can be analysed and reviewed for areas at which </w:t>
      </w:r>
      <w:r w:rsidR="00006EB4">
        <w:t xml:space="preserve">the provided information is approaching this limit. The highest average maximum pressure can be noted as 118 </w:t>
      </w:r>
      <w:proofErr w:type="gramStart"/>
      <w:r w:rsidR="00006EB4">
        <w:t>bar</w:t>
      </w:r>
      <w:proofErr w:type="gramEnd"/>
      <w:r w:rsidR="00006EB4">
        <w:t xml:space="preserve"> occurring at 4000rpm (BMEP = 2700 KPa) as such it can be said that the engine is clearly being pushed very close to </w:t>
      </w:r>
      <w:proofErr w:type="spellStart"/>
      <w:r w:rsidR="00006EB4">
        <w:t>it’s</w:t>
      </w:r>
      <w:proofErr w:type="spellEnd"/>
      <w:r w:rsidR="00006EB4">
        <w:t xml:space="preserve"> hardware limit.</w:t>
      </w:r>
    </w:p>
    <w:p w14:paraId="2FDD695C" w14:textId="52FCA043" w:rsidR="00006EB4" w:rsidRDefault="00006EB4" w:rsidP="001F20E3"/>
    <w:p w14:paraId="409D18DC" w14:textId="1B3A4DE4" w:rsidR="007951C2" w:rsidRDefault="007951C2" w:rsidP="007951C2">
      <w:pPr>
        <w:pStyle w:val="ListParagraph"/>
        <w:numPr>
          <w:ilvl w:val="0"/>
          <w:numId w:val="1"/>
        </w:numPr>
      </w:pPr>
      <w:r>
        <w:t>By looking at the ignition timing it can clearly be stated that one tactic being used is the implementation of a graduation towards retarded ignition timing (concurrent with the natural progression towards the extremities of operation (peak pressure)).</w:t>
      </w:r>
    </w:p>
    <w:p w14:paraId="26CAE4DE" w14:textId="44BF632B" w:rsidR="007951C2" w:rsidRDefault="007951C2" w:rsidP="007951C2">
      <w:pPr>
        <w:pStyle w:val="ListParagraph"/>
        <w:numPr>
          <w:ilvl w:val="0"/>
          <w:numId w:val="1"/>
        </w:numPr>
      </w:pPr>
      <w:r>
        <w:t xml:space="preserve">Reviewing the lambda values, another control strategy can be noted and that is the lower lambda values (higher equivalence ratio) that are indicating that the mixture is being </w:t>
      </w:r>
      <w:r w:rsidR="005A1E28">
        <w:t>enriched</w:t>
      </w:r>
      <w:r>
        <w:t xml:space="preserve"> and thus temperatures brought down</w:t>
      </w:r>
    </w:p>
    <w:p w14:paraId="1062D359" w14:textId="77777777" w:rsidR="006E51C5" w:rsidRDefault="006E51C5" w:rsidP="006E51C5">
      <w:r>
        <w:t>These effects can be noted not just as acting at the extreme perimeters but graduating out naturally from the NEDC area.</w:t>
      </w:r>
    </w:p>
    <w:p w14:paraId="7D4C48FA" w14:textId="3D38155F" w:rsidR="006E51C5" w:rsidRDefault="006E51C5" w:rsidP="006E51C5">
      <w:r>
        <w:t>It can be noted that in the NEDC area, things are rather more consistent;</w:t>
      </w:r>
    </w:p>
    <w:p w14:paraId="47F094E6" w14:textId="0214793E" w:rsidR="007951C2" w:rsidRDefault="006E51C5" w:rsidP="001F20E3">
      <w:pPr>
        <w:pStyle w:val="ListParagraph"/>
        <w:numPr>
          <w:ilvl w:val="0"/>
          <w:numId w:val="2"/>
        </w:numPr>
      </w:pPr>
      <w:proofErr w:type="spellStart"/>
      <w:r>
        <w:t>Pmax</w:t>
      </w:r>
      <w:proofErr w:type="spellEnd"/>
      <w:r>
        <w:t xml:space="preserve"> (</w:t>
      </w:r>
      <w:proofErr w:type="spellStart"/>
      <w:r>
        <w:t>avg</w:t>
      </w:r>
      <w:proofErr w:type="spellEnd"/>
      <w:r>
        <w:t>) angle is generally around 14 +/- a degree, though ignition timing does vary significantly to cope with different load situations – all with the aim of arriving at the same MBT.</w:t>
      </w:r>
    </w:p>
    <w:p w14:paraId="667BFF6F" w14:textId="77777777" w:rsidR="007921DA" w:rsidRPr="001F20E3" w:rsidRDefault="007921DA" w:rsidP="007921DA">
      <w:pPr>
        <w:pStyle w:val="ListParagraph"/>
      </w:pPr>
    </w:p>
    <w:p w14:paraId="606C05BC" w14:textId="1C5F748F" w:rsidR="0017653A" w:rsidRDefault="0017653A" w:rsidP="000B4EDC">
      <w:pPr>
        <w:pStyle w:val="Heading2"/>
      </w:pPr>
      <w:bookmarkStart w:id="16" w:name="_Toc508826011"/>
      <w:r>
        <w:t>4.2.2 – Burn Duration &amp; Flame Speed</w:t>
      </w:r>
      <w:bookmarkEnd w:id="16"/>
    </w:p>
    <w:p w14:paraId="15075563" w14:textId="55637CB9" w:rsidR="007921DA" w:rsidRDefault="007921DA" w:rsidP="007921DA"/>
    <w:p w14:paraId="64B4A32A" w14:textId="2D54E468" w:rsidR="007921DA" w:rsidRDefault="007921DA" w:rsidP="007921DA">
      <w:r>
        <w:t xml:space="preserve">If MFB 50% is assumed to occur at </w:t>
      </w:r>
      <w:proofErr w:type="spellStart"/>
      <w:r>
        <w:t>Pmax</w:t>
      </w:r>
      <w:proofErr w:type="spellEnd"/>
      <w:r>
        <w:t xml:space="preserve"> (</w:t>
      </w:r>
      <w:proofErr w:type="spellStart"/>
      <w:r>
        <w:t>avg</w:t>
      </w:r>
      <w:proofErr w:type="spellEnd"/>
      <w:r>
        <w:t>) then partial analysis of burn rate and flame speed can occur.</w:t>
      </w:r>
    </w:p>
    <w:p w14:paraId="2CCB4220" w14:textId="4D1E31E5" w:rsidR="00AA3616" w:rsidRDefault="00AA3616" w:rsidP="00AA3616">
      <w:pPr>
        <w:pStyle w:val="ListParagraph"/>
        <w:numPr>
          <w:ilvl w:val="0"/>
          <w:numId w:val="2"/>
        </w:numPr>
      </w:pPr>
      <w:r>
        <w:t xml:space="preserve">Burn duration (in degrees) stays </w:t>
      </w:r>
      <w:r w:rsidR="00C27386">
        <w:t>consistent</w:t>
      </w:r>
      <w:r>
        <w:t xml:space="preserve"> indicating a linear increase in flame speed.</w:t>
      </w:r>
    </w:p>
    <w:p w14:paraId="63D412A3" w14:textId="40D92285" w:rsidR="00B15962" w:rsidRDefault="00C27386" w:rsidP="00B15962">
      <w:r>
        <w:t>Confirmed by</w:t>
      </w:r>
      <w:r w:rsidR="00B15962">
        <w:t>;</w:t>
      </w:r>
    </w:p>
    <w:p w14:paraId="2A53E660" w14:textId="6FB9BA9A" w:rsidR="00B15962" w:rsidRDefault="00B15962" w:rsidP="00B15962"/>
    <w:p w14:paraId="43389BF5" w14:textId="0A6A9382" w:rsidR="00B15962" w:rsidRPr="00B15962" w:rsidRDefault="00B15962" w:rsidP="00B15962">
      <w:pPr>
        <w:rPr>
          <w:rFonts w:eastAsiaTheme="minorEastAsia"/>
        </w:rPr>
      </w:pPr>
      <m:oMathPara>
        <m:oMath>
          <m:r>
            <w:rPr>
              <w:rFonts w:ascii="Cambria Math" w:hAnsi="Cambria Math"/>
            </w:rPr>
            <m:t>SL= Laminar Velocity</m:t>
          </m:r>
        </m:oMath>
      </m:oMathPara>
    </w:p>
    <w:p w14:paraId="35A99029" w14:textId="77777777" w:rsidR="00B15962" w:rsidRPr="00B15962" w:rsidRDefault="00B15962" w:rsidP="00B15962">
      <w:pPr>
        <w:rPr>
          <w:rFonts w:eastAsiaTheme="minorEastAsia"/>
        </w:rPr>
      </w:pPr>
    </w:p>
    <w:p w14:paraId="2A2E140B" w14:textId="450C35A2" w:rsidR="00B15962" w:rsidRPr="00B15962" w:rsidRDefault="00B15962" w:rsidP="00B15962">
      <w:pPr>
        <w:rPr>
          <w:rFonts w:eastAsiaTheme="minorEastAsia"/>
        </w:rPr>
      </w:pPr>
      <m:oMathPara>
        <m:oMath>
          <m:r>
            <w:rPr>
              <w:rFonts w:ascii="Cambria Math" w:hAnsi="Cambria Math"/>
            </w:rPr>
            <w:lastRenderedPageBreak/>
            <m:t>S</m:t>
          </m:r>
          <m:r>
            <w:rPr>
              <w:rFonts w:ascii="Cambria Math" w:hAnsi="Cambria Math"/>
            </w:rPr>
            <m:t>T</m:t>
          </m:r>
          <m:r>
            <w:rPr>
              <w:rFonts w:ascii="Cambria Math" w:hAnsi="Cambria Math"/>
            </w:rPr>
            <m:t xml:space="preserve">= </m:t>
          </m:r>
          <m:r>
            <w:rPr>
              <w:rFonts w:ascii="Cambria Math" w:hAnsi="Cambria Math"/>
            </w:rPr>
            <m:t>Turbulent Flame</m:t>
          </m:r>
          <m:r>
            <w:rPr>
              <w:rFonts w:ascii="Cambria Math" w:hAnsi="Cambria Math"/>
            </w:rPr>
            <m:t xml:space="preserve"> Velocity</m:t>
          </m:r>
        </m:oMath>
      </m:oMathPara>
    </w:p>
    <w:p w14:paraId="00725F4C" w14:textId="3EBE991D" w:rsidR="00B15962" w:rsidRDefault="00B15962" w:rsidP="00B15962"/>
    <w:p w14:paraId="1C147109" w14:textId="3901DD17" w:rsidR="00B15962" w:rsidRPr="009525A9" w:rsidRDefault="00B15962" w:rsidP="00B15962">
      <w:pPr>
        <w:rPr>
          <w:rFonts w:eastAsiaTheme="minorEastAsia"/>
        </w:rPr>
      </w:pPr>
      <m:oMathPara>
        <m:oMath>
          <m:r>
            <w:rPr>
              <w:rFonts w:ascii="Cambria Math" w:hAnsi="Cambria Math"/>
            </w:rPr>
            <m:t>S</m:t>
          </m:r>
          <m:r>
            <w:rPr>
              <w:rFonts w:ascii="Cambria Math" w:hAnsi="Cambria Math"/>
            </w:rPr>
            <m:t>T</m:t>
          </m:r>
          <m:r>
            <w:rPr>
              <w:rFonts w:ascii="Cambria Math" w:hAnsi="Cambria Math"/>
            </w:rPr>
            <m:t xml:space="preserve">= </m:t>
          </m:r>
          <m:r>
            <w:rPr>
              <w:rFonts w:ascii="Cambria Math" w:hAnsi="Cambria Math"/>
            </w:rPr>
            <m:t>ST+Krpm</m:t>
          </m:r>
        </m:oMath>
      </m:oMathPara>
    </w:p>
    <w:p w14:paraId="178B8756" w14:textId="77777777" w:rsidR="009525A9" w:rsidRPr="00B15962" w:rsidRDefault="009525A9" w:rsidP="00B15962">
      <w:pPr>
        <w:rPr>
          <w:rFonts w:eastAsiaTheme="minorEastAsia"/>
        </w:rPr>
      </w:pPr>
    </w:p>
    <w:p w14:paraId="3104B159" w14:textId="59C49B6D" w:rsidR="00B15962" w:rsidRDefault="00B15962" w:rsidP="00B15962">
      <w:pPr>
        <w:rPr>
          <w:rFonts w:eastAsiaTheme="minorEastAsia"/>
        </w:rPr>
      </w:pPr>
      <w:r>
        <w:rPr>
          <w:rFonts w:eastAsiaTheme="minorEastAsia"/>
        </w:rPr>
        <w:t>Where;</w:t>
      </w:r>
    </w:p>
    <w:p w14:paraId="668B91EA" w14:textId="1369BEBD" w:rsidR="00B15962" w:rsidRDefault="00B15962" w:rsidP="00B15962"/>
    <w:p w14:paraId="217FA882" w14:textId="3503F7E3" w:rsidR="00B15962" w:rsidRPr="00065A98" w:rsidRDefault="00B15962" w:rsidP="00B15962">
      <w:pPr>
        <w:rPr>
          <w:rFonts w:eastAsiaTheme="minorEastAsia"/>
        </w:rPr>
      </w:pPr>
      <m:oMathPara>
        <m:oMath>
          <m:r>
            <w:rPr>
              <w:rFonts w:ascii="Cambria Math" w:hAnsi="Cambria Math"/>
            </w:rPr>
            <m:t xml:space="preserve">Krpm= </m:t>
          </m:r>
          <m:r>
            <w:rPr>
              <w:rFonts w:ascii="Cambria Math" w:hAnsi="Cambria Math"/>
            </w:rPr>
            <m:t>Turbulent Air Velocity</m:t>
          </m:r>
        </m:oMath>
      </m:oMathPara>
    </w:p>
    <w:p w14:paraId="744999C0" w14:textId="469C563B" w:rsidR="00065A98" w:rsidRDefault="00065A98" w:rsidP="00B15962">
      <w:pPr>
        <w:rPr>
          <w:rFonts w:eastAsiaTheme="minorEastAsia"/>
        </w:rPr>
      </w:pPr>
    </w:p>
    <w:p w14:paraId="76A4FC75" w14:textId="067A70D6" w:rsidR="00065A98" w:rsidRDefault="00065A98" w:rsidP="00B15962">
      <w:pPr>
        <w:rPr>
          <w:rFonts w:eastAsiaTheme="minorEastAsia"/>
        </w:rPr>
      </w:pPr>
      <w:r>
        <w:rPr>
          <w:rFonts w:eastAsiaTheme="minorEastAsia"/>
        </w:rPr>
        <w:t>And;</w:t>
      </w:r>
    </w:p>
    <w:p w14:paraId="22477AEA" w14:textId="77777777" w:rsidR="00065A98" w:rsidRPr="00065A98" w:rsidRDefault="00065A98" w:rsidP="00B15962">
      <w:pPr>
        <w:rPr>
          <w:rFonts w:eastAsiaTheme="minorEastAsia"/>
        </w:rPr>
      </w:pPr>
    </w:p>
    <w:p w14:paraId="3DFA4FC7" w14:textId="1A6CE9A6" w:rsidR="00065A98" w:rsidRPr="00C27386" w:rsidRDefault="00065A98" w:rsidP="00B15962">
      <w:pPr>
        <w:rPr>
          <w:rFonts w:eastAsiaTheme="minorEastAsia"/>
        </w:rPr>
      </w:pPr>
      <m:oMathPara>
        <m:oMath>
          <m:r>
            <w:rPr>
              <w:rFonts w:ascii="Cambria Math" w:hAnsi="Cambria Math"/>
            </w:rPr>
            <m:t>K</m:t>
          </m:r>
          <m:r>
            <w:rPr>
              <w:rFonts w:ascii="Cambria Math" w:hAnsi="Cambria Math"/>
            </w:rPr>
            <m:t>=constant relating RPM to turbulent air velocity</m:t>
          </m:r>
        </m:oMath>
      </m:oMathPara>
    </w:p>
    <w:p w14:paraId="5F4C3568" w14:textId="77777777" w:rsidR="00C27386" w:rsidRPr="007921DA" w:rsidRDefault="00C27386" w:rsidP="00B15962"/>
    <w:p w14:paraId="5ED3A8C2" w14:textId="5668EC77" w:rsidR="009525A9" w:rsidRDefault="009525A9" w:rsidP="009525A9">
      <w:pPr>
        <w:rPr>
          <w:rFonts w:eastAsiaTheme="minorEastAsia"/>
        </w:rPr>
      </w:pPr>
      <w:r>
        <w:rPr>
          <w:rFonts w:eastAsiaTheme="minorEastAsia"/>
        </w:rPr>
        <w:t xml:space="preserve">The equation </w:t>
      </w:r>
      <m:oMath>
        <m:r>
          <w:rPr>
            <w:rFonts w:ascii="Cambria Math" w:hAnsi="Cambria Math"/>
          </w:rPr>
          <m:t>ST= ST+Krpm</m:t>
        </m:r>
      </m:oMath>
      <w:r>
        <w:rPr>
          <w:rFonts w:eastAsiaTheme="minorEastAsia"/>
        </w:rPr>
        <w:t xml:space="preserve"> represents </w:t>
      </w:r>
      <w:r w:rsidR="00597545">
        <w:rPr>
          <w:rFonts w:eastAsiaTheme="minorEastAsia"/>
        </w:rPr>
        <w:t>the equation of a straight line if SL stays constant.</w:t>
      </w:r>
    </w:p>
    <w:p w14:paraId="34F1DD01" w14:textId="3DB82DDB" w:rsidR="00597545" w:rsidRDefault="00597545" w:rsidP="009525A9">
      <w:pPr>
        <w:rPr>
          <w:rFonts w:eastAsiaTheme="minorEastAsia"/>
        </w:rPr>
      </w:pPr>
    </w:p>
    <w:p w14:paraId="11E8C72F" w14:textId="6AB152E8" w:rsidR="00B15962" w:rsidRDefault="00597545" w:rsidP="00B15962">
      <w:pPr>
        <w:rPr>
          <w:rFonts w:eastAsiaTheme="minorEastAsia"/>
        </w:rPr>
      </w:pPr>
      <w:r>
        <w:rPr>
          <w:rFonts w:eastAsiaTheme="minorEastAsia"/>
        </w:rPr>
        <w:t>As rpm increases the flame burns faster because piston speed is faster (promoting higher turbulent air velocity).</w:t>
      </w:r>
    </w:p>
    <w:p w14:paraId="2FC66E1E" w14:textId="77777777" w:rsidR="00597545" w:rsidRPr="00597545" w:rsidRDefault="00597545" w:rsidP="00B15962">
      <w:pPr>
        <w:rPr>
          <w:rFonts w:eastAsiaTheme="minorEastAsia"/>
        </w:rPr>
      </w:pPr>
    </w:p>
    <w:p w14:paraId="732AC28C" w14:textId="13CB8C6E" w:rsidR="0017653A" w:rsidRDefault="0017653A" w:rsidP="000B4EDC">
      <w:pPr>
        <w:pStyle w:val="Heading2"/>
      </w:pPr>
      <w:bookmarkStart w:id="17" w:name="_Toc508826012"/>
      <w:r>
        <w:t>4.2.3 – Fuelling Strategy</w:t>
      </w:r>
      <w:bookmarkEnd w:id="17"/>
    </w:p>
    <w:p w14:paraId="02D71688" w14:textId="10880639" w:rsidR="00597545" w:rsidRDefault="00597545" w:rsidP="00597545"/>
    <w:p w14:paraId="4D636FA2" w14:textId="7A1322C2" w:rsidR="00597545" w:rsidRDefault="00597545" w:rsidP="00597545">
      <w:r>
        <w:t>It can be noted quite clearly from the lambda map that there are three prominent fuelling strategies active.</w:t>
      </w:r>
    </w:p>
    <w:p w14:paraId="4B296795" w14:textId="0E77A9C1" w:rsidR="00597545" w:rsidRDefault="00597545" w:rsidP="00597545"/>
    <w:p w14:paraId="1FB816CD" w14:textId="58ACDE08" w:rsidR="00597545" w:rsidRDefault="00597545" w:rsidP="00597545">
      <w:pPr>
        <w:pStyle w:val="ListParagraph"/>
        <w:numPr>
          <w:ilvl w:val="0"/>
          <w:numId w:val="3"/>
        </w:numPr>
      </w:pPr>
      <w:r>
        <w:t xml:space="preserve">AFR = Stochiometric (lambda = 1.0) in the area specific to the NEDC </w:t>
      </w:r>
      <w:r w:rsidR="00CC61A1">
        <w:t xml:space="preserve">– this is a compromise between </w:t>
      </w:r>
    </w:p>
    <w:p w14:paraId="7ACEBF54" w14:textId="77777777" w:rsidR="00BB4690" w:rsidRDefault="00BB4690" w:rsidP="00BB4690">
      <w:pPr>
        <w:pStyle w:val="ListParagraph"/>
      </w:pPr>
    </w:p>
    <w:p w14:paraId="61EAFBB3" w14:textId="3E4DA542" w:rsidR="00CC61A1" w:rsidRDefault="00CC61A1" w:rsidP="00597545">
      <w:pPr>
        <w:pStyle w:val="ListParagraph"/>
        <w:numPr>
          <w:ilvl w:val="0"/>
          <w:numId w:val="3"/>
        </w:numPr>
      </w:pPr>
      <w:r>
        <w:t xml:space="preserve">AFR = </w:t>
      </w:r>
      <w:r w:rsidR="00BB4690">
        <w:t>Lean</w:t>
      </w:r>
      <w:r>
        <w:t xml:space="preserve"> (up to lambda 1.22), this looks to be happening in low rpm / mid to high load situations. This fuel saving strategy is indicative of the trend of low rpm low fuel consumption. To combat the risk of increased emissions this strategy would also be combined with </w:t>
      </w:r>
      <w:r w:rsidR="00BB4690">
        <w:t xml:space="preserve">the addition of EGR / Cooled </w:t>
      </w:r>
      <w:proofErr w:type="gramStart"/>
      <w:r w:rsidR="00BB4690">
        <w:t>EGR  to</w:t>
      </w:r>
      <w:proofErr w:type="gramEnd"/>
      <w:r w:rsidR="00BB4690">
        <w:t xml:space="preserve"> bring down combustion temperature.</w:t>
      </w:r>
    </w:p>
    <w:p w14:paraId="29635323" w14:textId="77777777" w:rsidR="00BB4690" w:rsidRDefault="00BB4690" w:rsidP="00BB4690">
      <w:pPr>
        <w:pStyle w:val="ListParagraph"/>
      </w:pPr>
    </w:p>
    <w:p w14:paraId="51CC659F" w14:textId="5B1BB25D" w:rsidR="00BB4690" w:rsidRDefault="00D32748" w:rsidP="00597545">
      <w:pPr>
        <w:pStyle w:val="ListParagraph"/>
        <w:numPr>
          <w:ilvl w:val="0"/>
          <w:numId w:val="3"/>
        </w:numPr>
      </w:pPr>
      <w:r>
        <w:t xml:space="preserve">AFR = Rich (lambda as low as 0.92), this strategy of over fuelling to lower temperatures appears focused around high RPM / high load particularly around the points at which the engine is approaching </w:t>
      </w:r>
      <w:proofErr w:type="gramStart"/>
      <w:r>
        <w:t>it’s</w:t>
      </w:r>
      <w:proofErr w:type="gramEnd"/>
      <w:r>
        <w:t xml:space="preserve"> hardware limit.</w:t>
      </w:r>
    </w:p>
    <w:p w14:paraId="3BA43BD5" w14:textId="77777777" w:rsidR="00D32748" w:rsidRDefault="00D32748" w:rsidP="00D32748">
      <w:pPr>
        <w:pStyle w:val="ListParagraph"/>
      </w:pPr>
    </w:p>
    <w:p w14:paraId="50969378" w14:textId="147709D4" w:rsidR="00D32748" w:rsidRDefault="00D32748" w:rsidP="00D32748">
      <w:r>
        <w:t xml:space="preserve">The 3 strategies can be described as being primarily pertinent </w:t>
      </w:r>
      <w:proofErr w:type="gramStart"/>
      <w:r>
        <w:t>to  NEDC</w:t>
      </w:r>
      <w:proofErr w:type="gramEnd"/>
      <w:r>
        <w:t>, fuel consumption and hardware protection / temperature control – (1,2 &amp; 3 respectively).</w:t>
      </w:r>
    </w:p>
    <w:p w14:paraId="5A98A68A" w14:textId="77777777" w:rsidR="00BB4690" w:rsidRDefault="00BB4690" w:rsidP="00BB4690">
      <w:pPr>
        <w:pStyle w:val="ListParagraph"/>
      </w:pPr>
    </w:p>
    <w:p w14:paraId="596A42AF" w14:textId="22D9B310" w:rsidR="00BB4690" w:rsidRDefault="00BB4690" w:rsidP="00BB4690"/>
    <w:p w14:paraId="14B741B6" w14:textId="77777777" w:rsidR="00BB4690" w:rsidRPr="00597545" w:rsidRDefault="00BB4690" w:rsidP="00BB4690"/>
    <w:p w14:paraId="0E8706FD" w14:textId="4351E675" w:rsidR="0017653A" w:rsidRDefault="0017653A" w:rsidP="000B4EDC">
      <w:pPr>
        <w:pStyle w:val="Heading2"/>
      </w:pPr>
      <w:bookmarkStart w:id="18" w:name="_Toc508826013"/>
      <w:r>
        <w:t>4.2.4 – Break Specific Fuel Consumption (BSFC)</w:t>
      </w:r>
      <w:bookmarkEnd w:id="18"/>
    </w:p>
    <w:p w14:paraId="3803022D" w14:textId="667752DC" w:rsidR="00CA20B0" w:rsidRDefault="00CA20B0" w:rsidP="00CA20B0"/>
    <w:p w14:paraId="40C6ED45" w14:textId="61FA8017" w:rsidR="00144020" w:rsidRDefault="00CA20B0" w:rsidP="006B6A34">
      <w:r>
        <w:t>To calculate BSFC,</w:t>
      </w:r>
      <w:r w:rsidR="00930A0A">
        <w:t xml:space="preserve"> firstly power must be calculated;</w:t>
      </w:r>
    </w:p>
    <w:p w14:paraId="6210D748" w14:textId="3B1FD8B2" w:rsidR="00930A0A" w:rsidRDefault="00930A0A" w:rsidP="006B6A34">
      <w:pPr>
        <w:rPr>
          <w:rFonts w:eastAsiaTheme="minorEastAsia"/>
        </w:rPr>
      </w:pPr>
    </w:p>
    <w:p w14:paraId="4FC901F3" w14:textId="02FC2372" w:rsidR="00930A0A" w:rsidRPr="00144020" w:rsidRDefault="00930A0A" w:rsidP="006B6A34">
      <w:pPr>
        <w:rPr>
          <w:rFonts w:eastAsiaTheme="minorEastAsia"/>
        </w:rPr>
      </w:pPr>
      <m:oMathPara>
        <m:oMath>
          <m:r>
            <w:rPr>
              <w:rFonts w:ascii="Cambria Math" w:eastAsiaTheme="minorEastAsia" w:hAnsi="Cambria Math"/>
            </w:rPr>
            <m:t>P=</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kg per rev of air</m:t>
                  </m:r>
                </m:num>
                <m:den>
                  <m:r>
                    <w:rPr>
                      <w:rFonts w:ascii="Cambria Math" w:eastAsiaTheme="minorEastAsia" w:hAnsi="Cambria Math"/>
                    </w:rPr>
                    <m:t>air fuel ratio</m:t>
                  </m:r>
                </m:den>
              </m:f>
            </m:e>
          </m:d>
          <m:r>
            <w:rPr>
              <w:rFonts w:ascii="Cambria Math" w:eastAsiaTheme="minorEastAsia" w:hAnsi="Cambria Math"/>
            </w:rPr>
            <m:t>*calorific value*engine efficiency</m:t>
          </m:r>
        </m:oMath>
      </m:oMathPara>
    </w:p>
    <w:p w14:paraId="6EDA485D" w14:textId="77777777" w:rsidR="008A25AB" w:rsidRDefault="008A25AB">
      <w:pPr>
        <w:rPr>
          <w:rFonts w:eastAsiaTheme="minorEastAsia"/>
        </w:rPr>
      </w:pPr>
    </w:p>
    <w:p w14:paraId="364CC99C" w14:textId="5A484A84" w:rsidR="00144020" w:rsidRDefault="008A25AB">
      <w:pPr>
        <w:rPr>
          <w:rFonts w:eastAsiaTheme="minorEastAsia"/>
        </w:rPr>
      </w:pPr>
      <w:proofErr w:type="gramStart"/>
      <w:r>
        <w:rPr>
          <w:rFonts w:eastAsiaTheme="minorEastAsia"/>
        </w:rPr>
        <w:t>T</w:t>
      </w:r>
      <w:r w:rsidR="00186EEF">
        <w:rPr>
          <w:rFonts w:eastAsiaTheme="minorEastAsia"/>
        </w:rPr>
        <w:t>hus</w:t>
      </w:r>
      <w:proofErr w:type="gramEnd"/>
      <w:r w:rsidR="00186EEF">
        <w:rPr>
          <w:rFonts w:eastAsiaTheme="minorEastAsia"/>
        </w:rPr>
        <w:t xml:space="preserve"> the BSFC can be stated as</w:t>
      </w:r>
      <w:r>
        <w:rPr>
          <w:rFonts w:eastAsiaTheme="minorEastAsia"/>
        </w:rPr>
        <w:t>;</w:t>
      </w:r>
    </w:p>
    <w:p w14:paraId="225FA1FE" w14:textId="49D6404D" w:rsidR="008A25AB" w:rsidRDefault="008A25AB">
      <w:pPr>
        <w:rPr>
          <w:rFonts w:eastAsiaTheme="minorEastAsia"/>
        </w:rPr>
      </w:pPr>
    </w:p>
    <w:p w14:paraId="3B6D9833" w14:textId="47F84C06" w:rsidR="008A25AB" w:rsidRPr="00541CB1" w:rsidRDefault="008A25AB">
      <w:pPr>
        <w:rPr>
          <w:rFonts w:eastAsiaTheme="minorEastAsia"/>
        </w:rPr>
      </w:pPr>
      <m:oMathPara>
        <m:oMath>
          <m:r>
            <w:rPr>
              <w:rFonts w:ascii="Cambria Math" w:eastAsiaTheme="minorEastAsia" w:hAnsi="Cambria Math"/>
            </w:rPr>
            <m:t>BSFC=</m:t>
          </m:r>
          <m:f>
            <m:fPr>
              <m:ctrlPr>
                <w:rPr>
                  <w:rFonts w:ascii="Cambria Math" w:eastAsiaTheme="minorEastAsia" w:hAnsi="Cambria Math"/>
                  <w:i/>
                </w:rPr>
              </m:ctrlPr>
            </m:fPr>
            <m:num>
              <m:r>
                <w:rPr>
                  <w:rFonts w:ascii="Cambria Math" w:eastAsiaTheme="minorEastAsia" w:hAnsi="Cambria Math"/>
                </w:rPr>
                <m:t>(</m:t>
              </m:r>
              <m:acc>
                <m:accPr>
                  <m:chr m:val="̇"/>
                  <m:ctrlPr>
                    <w:rPr>
                      <w:rFonts w:ascii="Cambria Math" w:eastAsiaTheme="minorEastAsia" w:hAnsi="Cambria Math"/>
                      <w:i/>
                    </w:rPr>
                  </m:ctrlPr>
                </m:accPr>
                <m:e>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f</m:t>
                      </m:r>
                    </m:sub>
                  </m:sSub>
                </m:e>
              </m:acc>
              <m:r>
                <w:rPr>
                  <w:rFonts w:ascii="Cambria Math" w:eastAsiaTheme="minorEastAsia" w:hAnsi="Cambria Math"/>
                </w:rPr>
                <m:t xml:space="preserve">) </m:t>
              </m:r>
            </m:num>
            <m:den>
              <m:r>
                <w:rPr>
                  <w:rFonts w:ascii="Cambria Math" w:eastAsiaTheme="minorEastAsia" w:hAnsi="Cambria Math"/>
                </w:rPr>
                <m:t>P</m:t>
              </m:r>
            </m:den>
          </m:f>
        </m:oMath>
      </m:oMathPara>
    </w:p>
    <w:p w14:paraId="1B895F2B" w14:textId="77777777" w:rsidR="00541CB1" w:rsidRPr="00541CB1" w:rsidRDefault="00541CB1">
      <w:pPr>
        <w:rPr>
          <w:rFonts w:eastAsiaTheme="minorEastAsia"/>
        </w:rPr>
      </w:pPr>
    </w:p>
    <w:p w14:paraId="399E4102" w14:textId="1727A37F" w:rsidR="00541CB1" w:rsidRPr="00FF7057" w:rsidRDefault="00541CB1">
      <w:pPr>
        <w:rPr>
          <w:rFonts w:eastAsiaTheme="minorEastAsia"/>
        </w:rPr>
      </w:pPr>
      <m:oMathPara>
        <m:oMath>
          <m:acc>
            <m:accPr>
              <m:chr m:val="̇"/>
              <m:ctrlPr>
                <w:rPr>
                  <w:rFonts w:ascii="Cambria Math" w:eastAsiaTheme="minorEastAsia" w:hAnsi="Cambria Math"/>
                  <w:i/>
                </w:rPr>
              </m:ctrlPr>
            </m:accPr>
            <m:e>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f</m:t>
                  </m:r>
                </m:sub>
              </m:sSub>
            </m:e>
          </m:acc>
          <m:r>
            <w:rPr>
              <w:rFonts w:ascii="Cambria Math" w:eastAsiaTheme="minorEastAsia" w:hAnsi="Cambria Math"/>
            </w:rPr>
            <m:t>=fuel mass (grams per hour)</m:t>
          </m:r>
        </m:oMath>
      </m:oMathPara>
    </w:p>
    <w:p w14:paraId="66B80498" w14:textId="77777777" w:rsidR="00FF7057" w:rsidRPr="008A25AB" w:rsidRDefault="00FF7057">
      <w:pPr>
        <w:rPr>
          <w:rFonts w:eastAsiaTheme="minorEastAsia"/>
        </w:rPr>
      </w:pPr>
    </w:p>
    <w:p w14:paraId="025499BC" w14:textId="4B5E0EB8" w:rsidR="008A25AB" w:rsidRDefault="006D24D5">
      <w:pPr>
        <w:rPr>
          <w:rFonts w:eastAsiaTheme="minorEastAsia"/>
        </w:rPr>
      </w:pPr>
      <w:r>
        <w:rPr>
          <w:rFonts w:eastAsiaTheme="minorEastAsia"/>
        </w:rPr>
        <w:t>Where the units of BSFC are g/KW*h.</w:t>
      </w:r>
    </w:p>
    <w:p w14:paraId="726790D7" w14:textId="0A2C8CCF" w:rsidR="006733F0" w:rsidRDefault="006733F0">
      <w:pPr>
        <w:rPr>
          <w:rFonts w:eastAsiaTheme="minorEastAsia"/>
        </w:rPr>
      </w:pPr>
    </w:p>
    <w:p w14:paraId="6A2288AF" w14:textId="30E0CA32" w:rsidR="006733F0" w:rsidRDefault="006733F0">
      <w:pPr>
        <w:rPr>
          <w:rFonts w:eastAsiaTheme="minorEastAsia"/>
        </w:rPr>
      </w:pPr>
      <w:r>
        <w:rPr>
          <w:rFonts w:eastAsiaTheme="minorEastAsia"/>
        </w:rPr>
        <w:t>Due to a lack of time it has only been possible to hypothesize at where it is believed the best BSFC occurs</w:t>
      </w:r>
      <w:r w:rsidR="00FA49AE">
        <w:rPr>
          <w:rFonts w:eastAsiaTheme="minorEastAsia"/>
        </w:rPr>
        <w:t xml:space="preserve"> and in keeping with the previous discussion regarding trends this appears to be at low rpm </w:t>
      </w:r>
      <w:r w:rsidR="00AC01BD">
        <w:rPr>
          <w:rFonts w:eastAsiaTheme="minorEastAsia"/>
        </w:rPr>
        <w:t xml:space="preserve">high torque. The maximum torque according to MAHLE occurs at 2500-3000rpm – this trend enables low engine speed smooth driving with a downsized engine – where usually the criticism of downsized engines can be their inefficiency when they </w:t>
      </w:r>
      <w:proofErr w:type="gramStart"/>
      <w:r w:rsidR="00AC01BD">
        <w:rPr>
          <w:rFonts w:eastAsiaTheme="minorEastAsia"/>
        </w:rPr>
        <w:t>have to</w:t>
      </w:r>
      <w:proofErr w:type="gramEnd"/>
      <w:r w:rsidR="00AC01BD">
        <w:rPr>
          <w:rFonts w:eastAsiaTheme="minorEastAsia"/>
        </w:rPr>
        <w:t xml:space="preserve"> be run at too high of a speed.</w:t>
      </w:r>
    </w:p>
    <w:p w14:paraId="7DBBBB5F" w14:textId="77777777" w:rsidR="006D24D5" w:rsidRDefault="006D24D5">
      <w:pPr>
        <w:rPr>
          <w:rFonts w:eastAsiaTheme="minorEastAsia"/>
        </w:rPr>
      </w:pPr>
    </w:p>
    <w:p w14:paraId="69510218" w14:textId="2FF05D1A" w:rsidR="0017653A" w:rsidRDefault="0017653A">
      <w:bookmarkStart w:id="19" w:name="_GoBack"/>
      <w:bookmarkEnd w:id="19"/>
    </w:p>
    <w:p w14:paraId="6E36470C" w14:textId="77777777" w:rsidR="000A132E" w:rsidRDefault="000A132E"/>
    <w:p w14:paraId="3C271C24" w14:textId="436F5D0E" w:rsidR="000A132E" w:rsidRDefault="000A132E"/>
    <w:p w14:paraId="2251C2F8" w14:textId="35B1789D" w:rsidR="000A132E" w:rsidRDefault="000A132E"/>
    <w:p w14:paraId="746CF4AD" w14:textId="12F3824B" w:rsidR="000A132E" w:rsidRDefault="000A132E"/>
    <w:p w14:paraId="22DA2B06" w14:textId="26B14C5D" w:rsidR="000A132E" w:rsidRDefault="000A132E"/>
    <w:p w14:paraId="7ACB54B0" w14:textId="657CDA06" w:rsidR="000A132E" w:rsidRDefault="000A132E"/>
    <w:p w14:paraId="01C4FC37" w14:textId="7D0C69E6" w:rsidR="000A132E" w:rsidRDefault="000A132E"/>
    <w:p w14:paraId="604784EE" w14:textId="32C39047" w:rsidR="000A132E" w:rsidRDefault="000A132E"/>
    <w:p w14:paraId="1382CA43" w14:textId="6FF1AF59" w:rsidR="000A132E" w:rsidRDefault="009F7833">
      <w:r>
        <w:t>EFFECT OF IGNITION TIMING ON EMISSIONS OF 63$5</w:t>
      </w:r>
      <w:proofErr w:type="gramStart"/>
      <w:r>
        <w:t>.,*</w:t>
      </w:r>
      <w:proofErr w:type="gramEnd"/>
      <w:r>
        <w:t>1,7,21(1*,1(86,1*(</w:t>
      </w:r>
      <w:r>
        <w:t/>
      </w:r>
      <w:r>
        <w:t xml:space="preserve">)8(/ Maris </w:t>
      </w:r>
      <w:proofErr w:type="spellStart"/>
      <w:r>
        <w:t>Gailis</w:t>
      </w:r>
      <w:proofErr w:type="spellEnd"/>
      <w:r>
        <w:t xml:space="preserve">, </w:t>
      </w:r>
      <w:proofErr w:type="spellStart"/>
      <w:r>
        <w:t>Vilnis</w:t>
      </w:r>
      <w:proofErr w:type="spellEnd"/>
      <w:r>
        <w:t xml:space="preserve"> </w:t>
      </w:r>
      <w:proofErr w:type="spellStart"/>
      <w:r>
        <w:t>Pirs</w:t>
      </w:r>
      <w:proofErr w:type="spellEnd"/>
    </w:p>
    <w:p w14:paraId="6CD5FDFD" w14:textId="687DB6A3" w:rsidR="000A132E" w:rsidRDefault="000A132E"/>
    <w:p w14:paraId="39D4826D" w14:textId="289C6910" w:rsidR="000A132E" w:rsidRDefault="000A132E"/>
    <w:p w14:paraId="13776002" w14:textId="7A16594E" w:rsidR="000A132E" w:rsidRDefault="00445C45">
      <w:r>
        <w:t xml:space="preserve">International Journal of Scientific &amp; Engineering Research, Volume 3, Issue 10, October-2012 1 ISSN 2229-5518 IJSER © 2012 http://www.ijser.org Experimental study of effect of ignition timing and compression ratio on NOx emission of LPG fuelled engine S. M. </w:t>
      </w:r>
      <w:proofErr w:type="spellStart"/>
      <w:r>
        <w:t>Lawankar</w:t>
      </w:r>
      <w:proofErr w:type="spellEnd"/>
      <w:r>
        <w:t xml:space="preserve">, Dr L. P. </w:t>
      </w:r>
      <w:proofErr w:type="spellStart"/>
      <w:proofErr w:type="gramStart"/>
      <w:r>
        <w:t>Dhamande</w:t>
      </w:r>
      <w:proofErr w:type="spellEnd"/>
      <w:r>
        <w:t xml:space="preserve"> ,</w:t>
      </w:r>
      <w:proofErr w:type="gramEnd"/>
      <w:r>
        <w:t xml:space="preserve"> Dr S. S. </w:t>
      </w:r>
      <w:proofErr w:type="spellStart"/>
      <w:r>
        <w:t>Khandare</w:t>
      </w:r>
      <w:proofErr w:type="spellEnd"/>
    </w:p>
    <w:p w14:paraId="6A6D39C6" w14:textId="2EB70BD4" w:rsidR="000A132E" w:rsidRDefault="00445C45">
      <w:r>
        <w:t xml:space="preserve">Particulate Emission from Internal Combustion Engines Di </w:t>
      </w:r>
      <w:proofErr w:type="spellStart"/>
      <w:r>
        <w:t>Iorio</w:t>
      </w:r>
      <w:proofErr w:type="spellEnd"/>
      <w:r>
        <w:t xml:space="preserve">, S., Merola, S.S., </w:t>
      </w:r>
      <w:proofErr w:type="spellStart"/>
      <w:r>
        <w:t>Vaglieco</w:t>
      </w:r>
      <w:proofErr w:type="spellEnd"/>
      <w:r>
        <w:t xml:space="preserve">, B.M. </w:t>
      </w:r>
      <w:proofErr w:type="spellStart"/>
      <w:r>
        <w:t>Istituto</w:t>
      </w:r>
      <w:proofErr w:type="spellEnd"/>
      <w:r>
        <w:t xml:space="preserve"> </w:t>
      </w:r>
      <w:proofErr w:type="spellStart"/>
      <w:r>
        <w:t>Motori</w:t>
      </w:r>
      <w:proofErr w:type="spellEnd"/>
      <w:r>
        <w:t xml:space="preserve"> – CNR, Via G. Marconi – 80125 Napoli – ITALY</w:t>
      </w:r>
    </w:p>
    <w:p w14:paraId="3F4D990F" w14:textId="3B997A4B" w:rsidR="004263C4" w:rsidRDefault="004263C4">
      <w:r>
        <w:t xml:space="preserve">Developing Low Gasoline Particulate Emission Engines </w:t>
      </w:r>
      <w:proofErr w:type="spellStart"/>
      <w:r>
        <w:t>Whrough</w:t>
      </w:r>
      <w:proofErr w:type="spellEnd"/>
      <w:r>
        <w:t xml:space="preserve"> Improved Fuel Delivery 'DYH2XGH1LMHZHPHDQG3</w:t>
      </w:r>
      <w:proofErr w:type="gramStart"/>
      <w:r>
        <w:t>DXO)UHHODQG</w:t>
      </w:r>
      <w:proofErr w:type="gramEnd"/>
      <w:r>
        <w:t xml:space="preserve"> 0$+/(3RZHUWUDLQ</w:t>
      </w:r>
      <w:r>
        <w:t>/WG</w:t>
      </w:r>
    </w:p>
    <w:p w14:paraId="03B8832A" w14:textId="588C937C" w:rsidR="000A132E" w:rsidRDefault="000A132E"/>
    <w:p w14:paraId="2402E2DA" w14:textId="77777777" w:rsidR="000A132E" w:rsidRDefault="000A132E"/>
    <w:sectPr w:rsidR="000A13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2536A1"/>
    <w:multiLevelType w:val="hybridMultilevel"/>
    <w:tmpl w:val="19680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38C0968"/>
    <w:multiLevelType w:val="hybridMultilevel"/>
    <w:tmpl w:val="2B141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969747B"/>
    <w:multiLevelType w:val="hybridMultilevel"/>
    <w:tmpl w:val="B8DE91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32E"/>
    <w:rsid w:val="00006EB4"/>
    <w:rsid w:val="000105FF"/>
    <w:rsid w:val="00065A98"/>
    <w:rsid w:val="000A132E"/>
    <w:rsid w:val="000B4EDC"/>
    <w:rsid w:val="0011420A"/>
    <w:rsid w:val="00144020"/>
    <w:rsid w:val="0017653A"/>
    <w:rsid w:val="00185C99"/>
    <w:rsid w:val="00186EEF"/>
    <w:rsid w:val="001B2640"/>
    <w:rsid w:val="001F20E3"/>
    <w:rsid w:val="0020107B"/>
    <w:rsid w:val="00245BAB"/>
    <w:rsid w:val="00285572"/>
    <w:rsid w:val="002F2FE4"/>
    <w:rsid w:val="00376495"/>
    <w:rsid w:val="00386553"/>
    <w:rsid w:val="003B5EFC"/>
    <w:rsid w:val="003C24EE"/>
    <w:rsid w:val="003F6953"/>
    <w:rsid w:val="004263C4"/>
    <w:rsid w:val="0042773F"/>
    <w:rsid w:val="00445C45"/>
    <w:rsid w:val="0045406F"/>
    <w:rsid w:val="00461ADB"/>
    <w:rsid w:val="004D2D82"/>
    <w:rsid w:val="004F1E0A"/>
    <w:rsid w:val="00541CB1"/>
    <w:rsid w:val="00583F35"/>
    <w:rsid w:val="00585608"/>
    <w:rsid w:val="00597545"/>
    <w:rsid w:val="005A1E28"/>
    <w:rsid w:val="00603D58"/>
    <w:rsid w:val="00616439"/>
    <w:rsid w:val="006645B4"/>
    <w:rsid w:val="006733F0"/>
    <w:rsid w:val="00681FD1"/>
    <w:rsid w:val="00694531"/>
    <w:rsid w:val="006A2638"/>
    <w:rsid w:val="006B6A34"/>
    <w:rsid w:val="006D24D5"/>
    <w:rsid w:val="006E51C5"/>
    <w:rsid w:val="00710176"/>
    <w:rsid w:val="007802A5"/>
    <w:rsid w:val="00783A3B"/>
    <w:rsid w:val="007921DA"/>
    <w:rsid w:val="007951C2"/>
    <w:rsid w:val="0079738B"/>
    <w:rsid w:val="00805B6D"/>
    <w:rsid w:val="008913E7"/>
    <w:rsid w:val="008A25AB"/>
    <w:rsid w:val="008C0ED4"/>
    <w:rsid w:val="008D2FC6"/>
    <w:rsid w:val="008E5C7C"/>
    <w:rsid w:val="008F5E23"/>
    <w:rsid w:val="00930A0A"/>
    <w:rsid w:val="0093770E"/>
    <w:rsid w:val="00940E5A"/>
    <w:rsid w:val="009452F0"/>
    <w:rsid w:val="009525A9"/>
    <w:rsid w:val="0096611A"/>
    <w:rsid w:val="009B0906"/>
    <w:rsid w:val="009C4131"/>
    <w:rsid w:val="009D3B7A"/>
    <w:rsid w:val="009F7833"/>
    <w:rsid w:val="00A155CF"/>
    <w:rsid w:val="00A331BE"/>
    <w:rsid w:val="00A47826"/>
    <w:rsid w:val="00A752EE"/>
    <w:rsid w:val="00A9151B"/>
    <w:rsid w:val="00A95C31"/>
    <w:rsid w:val="00AA3616"/>
    <w:rsid w:val="00AC01BD"/>
    <w:rsid w:val="00AD2390"/>
    <w:rsid w:val="00B15962"/>
    <w:rsid w:val="00B3612A"/>
    <w:rsid w:val="00B55294"/>
    <w:rsid w:val="00B81C10"/>
    <w:rsid w:val="00BB4690"/>
    <w:rsid w:val="00C2151E"/>
    <w:rsid w:val="00C27386"/>
    <w:rsid w:val="00C54E21"/>
    <w:rsid w:val="00C76B08"/>
    <w:rsid w:val="00CA20B0"/>
    <w:rsid w:val="00CA6315"/>
    <w:rsid w:val="00CC61A1"/>
    <w:rsid w:val="00CC62D0"/>
    <w:rsid w:val="00CD4207"/>
    <w:rsid w:val="00CE50FB"/>
    <w:rsid w:val="00D03BD2"/>
    <w:rsid w:val="00D32748"/>
    <w:rsid w:val="00D33228"/>
    <w:rsid w:val="00D846DE"/>
    <w:rsid w:val="00D97261"/>
    <w:rsid w:val="00DC734E"/>
    <w:rsid w:val="00DD36FF"/>
    <w:rsid w:val="00DE5CDD"/>
    <w:rsid w:val="00E068DC"/>
    <w:rsid w:val="00E33DC4"/>
    <w:rsid w:val="00EF3569"/>
    <w:rsid w:val="00F02E59"/>
    <w:rsid w:val="00F36E89"/>
    <w:rsid w:val="00F85866"/>
    <w:rsid w:val="00FA49AE"/>
    <w:rsid w:val="00FA61F3"/>
    <w:rsid w:val="00FD02C5"/>
    <w:rsid w:val="00FD0AA7"/>
    <w:rsid w:val="00FE364B"/>
    <w:rsid w:val="00FF70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4A8DD5"/>
  <w15:chartTrackingRefBased/>
  <w15:docId w15:val="{9FE2956D-BFFF-4AA5-9284-1B4009CF4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4ED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B4ED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B4EDC"/>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0B4ED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B4EDC"/>
    <w:pPr>
      <w:outlineLvl w:val="9"/>
    </w:pPr>
    <w:rPr>
      <w:lang w:val="en-US"/>
    </w:rPr>
  </w:style>
  <w:style w:type="paragraph" w:styleId="TOC2">
    <w:name w:val="toc 2"/>
    <w:basedOn w:val="Normal"/>
    <w:next w:val="Normal"/>
    <w:autoRedefine/>
    <w:uiPriority w:val="39"/>
    <w:unhideWhenUsed/>
    <w:rsid w:val="000B4EDC"/>
    <w:pPr>
      <w:spacing w:after="100"/>
      <w:ind w:left="220"/>
    </w:pPr>
  </w:style>
  <w:style w:type="character" w:styleId="Hyperlink">
    <w:name w:val="Hyperlink"/>
    <w:basedOn w:val="DefaultParagraphFont"/>
    <w:uiPriority w:val="99"/>
    <w:unhideWhenUsed/>
    <w:rsid w:val="000B4EDC"/>
    <w:rPr>
      <w:color w:val="0563C1" w:themeColor="hyperlink"/>
      <w:u w:val="single"/>
    </w:rPr>
  </w:style>
  <w:style w:type="paragraph" w:styleId="ListParagraph">
    <w:name w:val="List Paragraph"/>
    <w:basedOn w:val="Normal"/>
    <w:uiPriority w:val="34"/>
    <w:qFormat/>
    <w:rsid w:val="007951C2"/>
    <w:pPr>
      <w:ind w:left="720"/>
      <w:contextualSpacing/>
    </w:pPr>
  </w:style>
  <w:style w:type="character" w:styleId="PlaceholderText">
    <w:name w:val="Placeholder Text"/>
    <w:basedOn w:val="DefaultParagraphFont"/>
    <w:uiPriority w:val="99"/>
    <w:semiHidden/>
    <w:rsid w:val="00B15962"/>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29DD"/>
    <w:rsid w:val="001029DD"/>
    <w:rsid w:val="00E658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029DD"/>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B47BF7-D1CB-4EC9-B688-1D578B6D4F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2118</Words>
  <Characters>12076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Juan Vacas</dc:creator>
  <cp:keywords/>
  <dc:description/>
  <cp:lastModifiedBy>Juan Vacas</cp:lastModifiedBy>
  <cp:revision>4</cp:revision>
  <dcterms:created xsi:type="dcterms:W3CDTF">2018-03-14T23:44:00Z</dcterms:created>
  <dcterms:modified xsi:type="dcterms:W3CDTF">2018-03-14T23:54:00Z</dcterms:modified>
</cp:coreProperties>
</file>