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C1A26" w14:textId="77777777" w:rsidR="00547F6B" w:rsidRDefault="00547F6B" w:rsidP="007F217B">
      <w:pPr>
        <w:spacing w:line="480" w:lineRule="auto"/>
        <w:rPr>
          <w:b/>
          <w:bCs/>
        </w:rPr>
      </w:pPr>
    </w:p>
    <w:p w14:paraId="3CA141CE" w14:textId="77777777" w:rsidR="00547F6B" w:rsidRDefault="00547F6B" w:rsidP="007F217B">
      <w:pPr>
        <w:spacing w:line="480" w:lineRule="auto"/>
        <w:rPr>
          <w:b/>
          <w:bCs/>
        </w:rPr>
      </w:pPr>
    </w:p>
    <w:p w14:paraId="1DA12325" w14:textId="77777777" w:rsidR="00547F6B" w:rsidRDefault="00547F6B" w:rsidP="007F217B">
      <w:pPr>
        <w:spacing w:line="480" w:lineRule="auto"/>
        <w:rPr>
          <w:b/>
          <w:bCs/>
        </w:rPr>
      </w:pPr>
    </w:p>
    <w:p w14:paraId="7D5A4A4C" w14:textId="77777777" w:rsidR="00547F6B" w:rsidRDefault="00547F6B" w:rsidP="007F217B">
      <w:pPr>
        <w:spacing w:line="480" w:lineRule="auto"/>
        <w:rPr>
          <w:b/>
          <w:bCs/>
        </w:rPr>
      </w:pPr>
    </w:p>
    <w:p w14:paraId="5D6B00DC" w14:textId="77777777" w:rsidR="00547F6B" w:rsidRDefault="00547F6B" w:rsidP="007F217B">
      <w:pPr>
        <w:spacing w:line="480" w:lineRule="auto"/>
        <w:rPr>
          <w:b/>
          <w:bCs/>
        </w:rPr>
      </w:pPr>
    </w:p>
    <w:p w14:paraId="4008C2F6" w14:textId="77777777" w:rsidR="00547F6B" w:rsidRDefault="00547F6B" w:rsidP="00547F6B">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2B2C2F42" w14:textId="682AEBC5" w:rsidR="00547F6B" w:rsidRDefault="006C4568" w:rsidP="00547F6B">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Module name: Creativity in health and social care </w:t>
      </w:r>
    </w:p>
    <w:p w14:paraId="591DD349" w14:textId="7FBDF12E" w:rsidR="00547F6B" w:rsidRDefault="00547F6B" w:rsidP="00547F6B">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6C4568">
        <w:rPr>
          <w:rStyle w:val="Strong"/>
          <w:rFonts w:ascii="Arial" w:hAnsi="Arial" w:cs="Arial"/>
          <w:color w:val="1D2125"/>
          <w:sz w:val="32"/>
          <w:szCs w:val="32"/>
        </w:rPr>
        <w:t xml:space="preserve"> Huma Zafar</w:t>
      </w:r>
    </w:p>
    <w:p w14:paraId="683F8F54" w14:textId="3BACEB9E" w:rsidR="00547F6B" w:rsidRDefault="00547F6B" w:rsidP="00547F6B">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6C4568">
        <w:rPr>
          <w:rStyle w:val="Strong"/>
          <w:rFonts w:ascii="Arial" w:hAnsi="Arial" w:cs="Arial"/>
          <w:color w:val="1D2125"/>
          <w:sz w:val="32"/>
          <w:szCs w:val="32"/>
        </w:rPr>
        <w:t>2324433</w:t>
      </w:r>
    </w:p>
    <w:p w14:paraId="696A745C" w14:textId="4F4EB019" w:rsidR="00547F6B" w:rsidRDefault="00547F6B" w:rsidP="00547F6B">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6C4568">
        <w:rPr>
          <w:rStyle w:val="Strong"/>
          <w:rFonts w:ascii="Arial" w:hAnsi="Arial" w:cs="Arial"/>
          <w:color w:val="1D2125"/>
          <w:sz w:val="32"/>
          <w:szCs w:val="32"/>
        </w:rPr>
        <w:t xml:space="preserve"> Laila </w:t>
      </w:r>
      <w:r w:rsidR="00C261C6">
        <w:rPr>
          <w:rStyle w:val="Strong"/>
          <w:rFonts w:ascii="Arial" w:hAnsi="Arial" w:cs="Arial"/>
          <w:color w:val="1D2125"/>
          <w:sz w:val="32"/>
          <w:szCs w:val="32"/>
        </w:rPr>
        <w:t>S</w:t>
      </w:r>
      <w:r w:rsidR="006C4568">
        <w:rPr>
          <w:rStyle w:val="Strong"/>
          <w:rFonts w:ascii="Arial" w:hAnsi="Arial" w:cs="Arial"/>
          <w:color w:val="1D2125"/>
          <w:sz w:val="32"/>
          <w:szCs w:val="32"/>
        </w:rPr>
        <w:t>urani</w:t>
      </w:r>
    </w:p>
    <w:p w14:paraId="1FD517A5" w14:textId="032C7D90" w:rsidR="00547F6B" w:rsidRDefault="00547F6B" w:rsidP="007F217B">
      <w:pPr>
        <w:spacing w:line="480" w:lineRule="auto"/>
        <w:rPr>
          <w:b/>
          <w:bCs/>
        </w:rPr>
      </w:pPr>
    </w:p>
    <w:p w14:paraId="7FBD3C13" w14:textId="77777777" w:rsidR="00547F6B" w:rsidRDefault="00547F6B" w:rsidP="007F217B">
      <w:pPr>
        <w:spacing w:line="480" w:lineRule="auto"/>
        <w:rPr>
          <w:b/>
          <w:bCs/>
        </w:rPr>
      </w:pPr>
    </w:p>
    <w:p w14:paraId="0CB567E8" w14:textId="77777777" w:rsidR="00547F6B" w:rsidRDefault="00547F6B" w:rsidP="007F217B">
      <w:pPr>
        <w:spacing w:line="480" w:lineRule="auto"/>
        <w:rPr>
          <w:b/>
          <w:bCs/>
        </w:rPr>
      </w:pPr>
    </w:p>
    <w:p w14:paraId="48D58F47" w14:textId="77777777" w:rsidR="00547F6B" w:rsidRDefault="00547F6B" w:rsidP="007F217B">
      <w:pPr>
        <w:spacing w:line="480" w:lineRule="auto"/>
        <w:rPr>
          <w:b/>
          <w:bCs/>
        </w:rPr>
      </w:pPr>
    </w:p>
    <w:p w14:paraId="786240B4" w14:textId="77777777" w:rsidR="00547F6B" w:rsidRDefault="00547F6B" w:rsidP="007F217B">
      <w:pPr>
        <w:spacing w:line="480" w:lineRule="auto"/>
        <w:rPr>
          <w:b/>
          <w:bCs/>
        </w:rPr>
      </w:pPr>
    </w:p>
    <w:p w14:paraId="367368FF" w14:textId="77777777" w:rsidR="00547F6B" w:rsidRDefault="00547F6B" w:rsidP="007F217B">
      <w:pPr>
        <w:spacing w:line="480" w:lineRule="auto"/>
        <w:rPr>
          <w:b/>
          <w:bCs/>
        </w:rPr>
      </w:pPr>
    </w:p>
    <w:p w14:paraId="1E620722" w14:textId="77777777" w:rsidR="00547F6B" w:rsidRDefault="00547F6B" w:rsidP="007F217B">
      <w:pPr>
        <w:spacing w:line="480" w:lineRule="auto"/>
        <w:rPr>
          <w:b/>
          <w:bCs/>
        </w:rPr>
      </w:pPr>
    </w:p>
    <w:p w14:paraId="07B41705" w14:textId="77777777" w:rsidR="00547F6B" w:rsidRDefault="00547F6B" w:rsidP="007F217B">
      <w:pPr>
        <w:spacing w:line="480" w:lineRule="auto"/>
        <w:rPr>
          <w:b/>
          <w:bCs/>
        </w:rPr>
      </w:pPr>
    </w:p>
    <w:p w14:paraId="17FAEA18" w14:textId="77777777" w:rsidR="00547F6B" w:rsidRDefault="00547F6B" w:rsidP="007F217B">
      <w:pPr>
        <w:spacing w:line="480" w:lineRule="auto"/>
        <w:rPr>
          <w:b/>
          <w:bCs/>
        </w:rPr>
      </w:pPr>
    </w:p>
    <w:p w14:paraId="05AF52F5" w14:textId="77777777" w:rsidR="00547F6B" w:rsidRDefault="00547F6B" w:rsidP="007F217B">
      <w:pPr>
        <w:spacing w:line="480" w:lineRule="auto"/>
        <w:rPr>
          <w:b/>
          <w:bCs/>
        </w:rPr>
      </w:pPr>
    </w:p>
    <w:p w14:paraId="67C0902E" w14:textId="77777777" w:rsidR="00547F6B" w:rsidRDefault="00547F6B" w:rsidP="007F217B">
      <w:pPr>
        <w:spacing w:line="480" w:lineRule="auto"/>
        <w:rPr>
          <w:b/>
          <w:bCs/>
        </w:rPr>
      </w:pPr>
    </w:p>
    <w:p w14:paraId="715639A2" w14:textId="77777777" w:rsidR="00547F6B" w:rsidRDefault="00547F6B" w:rsidP="007F217B">
      <w:pPr>
        <w:spacing w:line="480" w:lineRule="auto"/>
        <w:rPr>
          <w:b/>
          <w:bCs/>
        </w:rPr>
      </w:pPr>
    </w:p>
    <w:p w14:paraId="27F7A45B" w14:textId="77777777" w:rsidR="00547F6B" w:rsidRDefault="00547F6B" w:rsidP="007F217B">
      <w:pPr>
        <w:spacing w:line="480" w:lineRule="auto"/>
        <w:rPr>
          <w:b/>
          <w:bCs/>
        </w:rPr>
      </w:pPr>
    </w:p>
    <w:p w14:paraId="73A03A63" w14:textId="77777777" w:rsidR="00547F6B" w:rsidRDefault="00547F6B" w:rsidP="007F217B">
      <w:pPr>
        <w:spacing w:line="480" w:lineRule="auto"/>
        <w:rPr>
          <w:b/>
          <w:bCs/>
        </w:rPr>
      </w:pPr>
    </w:p>
    <w:p w14:paraId="6F516E44" w14:textId="77777777" w:rsidR="00547F6B" w:rsidRDefault="00547F6B" w:rsidP="007F217B">
      <w:pPr>
        <w:spacing w:line="480" w:lineRule="auto"/>
        <w:rPr>
          <w:b/>
          <w:bCs/>
        </w:rPr>
      </w:pPr>
    </w:p>
    <w:sdt>
      <w:sdtPr>
        <w:rPr>
          <w:rFonts w:ascii="Times New Roman" w:eastAsiaTheme="minorHAnsi" w:hAnsi="Times New Roman" w:cstheme="minorBidi"/>
          <w:color w:val="auto"/>
          <w:kern w:val="2"/>
          <w:sz w:val="24"/>
          <w:szCs w:val="22"/>
          <w:lang w:val="en-GB"/>
          <w14:ligatures w14:val="standardContextual"/>
        </w:rPr>
        <w:id w:val="-1838675119"/>
        <w:docPartObj>
          <w:docPartGallery w:val="Table of Contents"/>
          <w:docPartUnique/>
        </w:docPartObj>
      </w:sdtPr>
      <w:sdtEndPr>
        <w:rPr>
          <w:b/>
          <w:bCs/>
          <w:noProof/>
        </w:rPr>
      </w:sdtEndPr>
      <w:sdtContent>
        <w:p w14:paraId="7D86B01C" w14:textId="4CB4A542" w:rsidR="00547F6B" w:rsidRDefault="00547F6B">
          <w:pPr>
            <w:pStyle w:val="TOCHeading"/>
          </w:pPr>
          <w:r>
            <w:t>Table of Contents</w:t>
          </w:r>
        </w:p>
        <w:p w14:paraId="3F94D3B3" w14:textId="2C539164" w:rsidR="00547F6B" w:rsidRDefault="00547F6B">
          <w:pPr>
            <w:pStyle w:val="TOC1"/>
            <w:tabs>
              <w:tab w:val="right" w:leader="dot" w:pos="9016"/>
            </w:tabs>
            <w:rPr>
              <w:noProof/>
            </w:rPr>
          </w:pPr>
          <w:r>
            <w:fldChar w:fldCharType="begin"/>
          </w:r>
          <w:r>
            <w:instrText xml:space="preserve"> TOC \o "1-3" \h \z \u </w:instrText>
          </w:r>
          <w:r>
            <w:fldChar w:fldCharType="separate"/>
          </w:r>
          <w:hyperlink w:anchor="_Toc224737418" w:history="1">
            <w:r w:rsidRPr="00063F0D">
              <w:rPr>
                <w:rStyle w:val="Hyperlink"/>
                <w:noProof/>
              </w:rPr>
              <w:t>Task 1: Identifying on Practice an Important Concept</w:t>
            </w:r>
            <w:r>
              <w:rPr>
                <w:noProof/>
                <w:webHidden/>
              </w:rPr>
              <w:tab/>
            </w:r>
            <w:r>
              <w:rPr>
                <w:noProof/>
                <w:webHidden/>
              </w:rPr>
              <w:fldChar w:fldCharType="begin"/>
            </w:r>
            <w:r>
              <w:rPr>
                <w:noProof/>
                <w:webHidden/>
              </w:rPr>
              <w:instrText xml:space="preserve"> PAGEREF _Toc224737418 \h </w:instrText>
            </w:r>
            <w:r>
              <w:rPr>
                <w:noProof/>
                <w:webHidden/>
              </w:rPr>
            </w:r>
            <w:r>
              <w:rPr>
                <w:noProof/>
                <w:webHidden/>
              </w:rPr>
              <w:fldChar w:fldCharType="separate"/>
            </w:r>
            <w:r>
              <w:rPr>
                <w:noProof/>
                <w:webHidden/>
              </w:rPr>
              <w:t>2</w:t>
            </w:r>
            <w:r>
              <w:rPr>
                <w:noProof/>
                <w:webHidden/>
              </w:rPr>
              <w:fldChar w:fldCharType="end"/>
            </w:r>
          </w:hyperlink>
        </w:p>
        <w:p w14:paraId="4B8A5464" w14:textId="447E3BB7" w:rsidR="00547F6B" w:rsidRDefault="00547F6B">
          <w:pPr>
            <w:pStyle w:val="TOC1"/>
            <w:tabs>
              <w:tab w:val="right" w:leader="dot" w:pos="9016"/>
            </w:tabs>
            <w:rPr>
              <w:noProof/>
            </w:rPr>
          </w:pPr>
          <w:hyperlink w:anchor="_Toc224737419" w:history="1">
            <w:r w:rsidRPr="00063F0D">
              <w:rPr>
                <w:rStyle w:val="Hyperlink"/>
                <w:noProof/>
              </w:rPr>
              <w:t>Task 2 Mind Map</w:t>
            </w:r>
            <w:r>
              <w:rPr>
                <w:noProof/>
                <w:webHidden/>
              </w:rPr>
              <w:tab/>
            </w:r>
            <w:r>
              <w:rPr>
                <w:noProof/>
                <w:webHidden/>
              </w:rPr>
              <w:fldChar w:fldCharType="begin"/>
            </w:r>
            <w:r>
              <w:rPr>
                <w:noProof/>
                <w:webHidden/>
              </w:rPr>
              <w:instrText xml:space="preserve"> PAGEREF _Toc224737419 \h </w:instrText>
            </w:r>
            <w:r>
              <w:rPr>
                <w:noProof/>
                <w:webHidden/>
              </w:rPr>
            </w:r>
            <w:r>
              <w:rPr>
                <w:noProof/>
                <w:webHidden/>
              </w:rPr>
              <w:fldChar w:fldCharType="separate"/>
            </w:r>
            <w:r>
              <w:rPr>
                <w:noProof/>
                <w:webHidden/>
              </w:rPr>
              <w:t>3</w:t>
            </w:r>
            <w:r>
              <w:rPr>
                <w:noProof/>
                <w:webHidden/>
              </w:rPr>
              <w:fldChar w:fldCharType="end"/>
            </w:r>
          </w:hyperlink>
        </w:p>
        <w:p w14:paraId="14D45C6B" w14:textId="71C3F135" w:rsidR="00547F6B" w:rsidRDefault="00547F6B">
          <w:pPr>
            <w:pStyle w:val="TOC1"/>
            <w:tabs>
              <w:tab w:val="right" w:leader="dot" w:pos="9016"/>
            </w:tabs>
            <w:rPr>
              <w:noProof/>
            </w:rPr>
          </w:pPr>
          <w:hyperlink w:anchor="_Toc224737420" w:history="1">
            <w:r w:rsidRPr="00063F0D">
              <w:rPr>
                <w:rStyle w:val="Hyperlink"/>
                <w:noProof/>
              </w:rPr>
              <w:t>Task 3: Reflection</w:t>
            </w:r>
            <w:r>
              <w:rPr>
                <w:noProof/>
                <w:webHidden/>
              </w:rPr>
              <w:tab/>
            </w:r>
            <w:r>
              <w:rPr>
                <w:noProof/>
                <w:webHidden/>
              </w:rPr>
              <w:fldChar w:fldCharType="begin"/>
            </w:r>
            <w:r>
              <w:rPr>
                <w:noProof/>
                <w:webHidden/>
              </w:rPr>
              <w:instrText xml:space="preserve"> PAGEREF _Toc224737420 \h </w:instrText>
            </w:r>
            <w:r>
              <w:rPr>
                <w:noProof/>
                <w:webHidden/>
              </w:rPr>
            </w:r>
            <w:r>
              <w:rPr>
                <w:noProof/>
                <w:webHidden/>
              </w:rPr>
              <w:fldChar w:fldCharType="separate"/>
            </w:r>
            <w:r>
              <w:rPr>
                <w:noProof/>
                <w:webHidden/>
              </w:rPr>
              <w:t>4</w:t>
            </w:r>
            <w:r>
              <w:rPr>
                <w:noProof/>
                <w:webHidden/>
              </w:rPr>
              <w:fldChar w:fldCharType="end"/>
            </w:r>
          </w:hyperlink>
        </w:p>
        <w:p w14:paraId="31EA316A" w14:textId="563717D7" w:rsidR="00547F6B" w:rsidRDefault="00547F6B">
          <w:pPr>
            <w:pStyle w:val="TOC1"/>
            <w:tabs>
              <w:tab w:val="right" w:leader="dot" w:pos="9016"/>
            </w:tabs>
            <w:rPr>
              <w:noProof/>
            </w:rPr>
          </w:pPr>
          <w:hyperlink w:anchor="_Toc224737421" w:history="1">
            <w:r w:rsidRPr="00063F0D">
              <w:rPr>
                <w:rStyle w:val="Hyperlink"/>
                <w:noProof/>
              </w:rPr>
              <w:t>Task 4: Case Study of Innovation: This is one of the UK economy and business innovation.</w:t>
            </w:r>
            <w:r>
              <w:rPr>
                <w:noProof/>
                <w:webHidden/>
              </w:rPr>
              <w:tab/>
            </w:r>
            <w:r>
              <w:rPr>
                <w:noProof/>
                <w:webHidden/>
              </w:rPr>
              <w:fldChar w:fldCharType="begin"/>
            </w:r>
            <w:r>
              <w:rPr>
                <w:noProof/>
                <w:webHidden/>
              </w:rPr>
              <w:instrText xml:space="preserve"> PAGEREF _Toc224737421 \h </w:instrText>
            </w:r>
            <w:r>
              <w:rPr>
                <w:noProof/>
                <w:webHidden/>
              </w:rPr>
            </w:r>
            <w:r>
              <w:rPr>
                <w:noProof/>
                <w:webHidden/>
              </w:rPr>
              <w:fldChar w:fldCharType="separate"/>
            </w:r>
            <w:r>
              <w:rPr>
                <w:noProof/>
                <w:webHidden/>
              </w:rPr>
              <w:t>5</w:t>
            </w:r>
            <w:r>
              <w:rPr>
                <w:noProof/>
                <w:webHidden/>
              </w:rPr>
              <w:fldChar w:fldCharType="end"/>
            </w:r>
          </w:hyperlink>
        </w:p>
        <w:p w14:paraId="0076805C" w14:textId="3509C6C8" w:rsidR="00547F6B" w:rsidRDefault="00547F6B">
          <w:pPr>
            <w:pStyle w:val="TOC1"/>
            <w:tabs>
              <w:tab w:val="right" w:leader="dot" w:pos="9016"/>
            </w:tabs>
            <w:rPr>
              <w:noProof/>
            </w:rPr>
          </w:pPr>
          <w:hyperlink w:anchor="_Toc224737422" w:history="1">
            <w:r w:rsidRPr="00063F0D">
              <w:rPr>
                <w:rStyle w:val="Hyperlink"/>
                <w:noProof/>
              </w:rPr>
              <w:t>Task 5: Research Task</w:t>
            </w:r>
            <w:r>
              <w:rPr>
                <w:noProof/>
                <w:webHidden/>
              </w:rPr>
              <w:tab/>
            </w:r>
            <w:r>
              <w:rPr>
                <w:noProof/>
                <w:webHidden/>
              </w:rPr>
              <w:fldChar w:fldCharType="begin"/>
            </w:r>
            <w:r>
              <w:rPr>
                <w:noProof/>
                <w:webHidden/>
              </w:rPr>
              <w:instrText xml:space="preserve"> PAGEREF _Toc224737422 \h </w:instrText>
            </w:r>
            <w:r>
              <w:rPr>
                <w:noProof/>
                <w:webHidden/>
              </w:rPr>
            </w:r>
            <w:r>
              <w:rPr>
                <w:noProof/>
                <w:webHidden/>
              </w:rPr>
              <w:fldChar w:fldCharType="separate"/>
            </w:r>
            <w:r>
              <w:rPr>
                <w:noProof/>
                <w:webHidden/>
              </w:rPr>
              <w:t>6</w:t>
            </w:r>
            <w:r>
              <w:rPr>
                <w:noProof/>
                <w:webHidden/>
              </w:rPr>
              <w:fldChar w:fldCharType="end"/>
            </w:r>
          </w:hyperlink>
        </w:p>
        <w:p w14:paraId="5D26FC86" w14:textId="67701F71" w:rsidR="00547F6B" w:rsidRDefault="00547F6B">
          <w:pPr>
            <w:pStyle w:val="TOC1"/>
            <w:tabs>
              <w:tab w:val="right" w:leader="dot" w:pos="9016"/>
            </w:tabs>
            <w:rPr>
              <w:noProof/>
            </w:rPr>
          </w:pPr>
          <w:hyperlink w:anchor="_Toc224737423" w:history="1">
            <w:r w:rsidRPr="00063F0D">
              <w:rPr>
                <w:rStyle w:val="Hyperlink"/>
                <w:noProof/>
              </w:rPr>
              <w:t>Task 6 - Exploring Digital Innovation</w:t>
            </w:r>
            <w:r>
              <w:rPr>
                <w:noProof/>
                <w:webHidden/>
              </w:rPr>
              <w:tab/>
            </w:r>
            <w:r>
              <w:rPr>
                <w:noProof/>
                <w:webHidden/>
              </w:rPr>
              <w:fldChar w:fldCharType="begin"/>
            </w:r>
            <w:r>
              <w:rPr>
                <w:noProof/>
                <w:webHidden/>
              </w:rPr>
              <w:instrText xml:space="preserve"> PAGEREF _Toc224737423 \h </w:instrText>
            </w:r>
            <w:r>
              <w:rPr>
                <w:noProof/>
                <w:webHidden/>
              </w:rPr>
            </w:r>
            <w:r>
              <w:rPr>
                <w:noProof/>
                <w:webHidden/>
              </w:rPr>
              <w:fldChar w:fldCharType="separate"/>
            </w:r>
            <w:r>
              <w:rPr>
                <w:noProof/>
                <w:webHidden/>
              </w:rPr>
              <w:t>7</w:t>
            </w:r>
            <w:r>
              <w:rPr>
                <w:noProof/>
                <w:webHidden/>
              </w:rPr>
              <w:fldChar w:fldCharType="end"/>
            </w:r>
          </w:hyperlink>
        </w:p>
        <w:p w14:paraId="3BB275E0" w14:textId="01090B14" w:rsidR="00547F6B" w:rsidRDefault="00547F6B">
          <w:pPr>
            <w:pStyle w:val="TOC1"/>
            <w:tabs>
              <w:tab w:val="right" w:leader="dot" w:pos="9016"/>
            </w:tabs>
            <w:rPr>
              <w:noProof/>
            </w:rPr>
          </w:pPr>
          <w:hyperlink w:anchor="_Toc224737424" w:history="1">
            <w:r w:rsidRPr="00063F0D">
              <w:rPr>
                <w:rStyle w:val="Hyperlink"/>
                <w:noProof/>
              </w:rPr>
              <w:t>Task 7: Knowing the Leadership Framework of the NHS</w:t>
            </w:r>
            <w:r>
              <w:rPr>
                <w:noProof/>
                <w:webHidden/>
              </w:rPr>
              <w:tab/>
            </w:r>
            <w:r>
              <w:rPr>
                <w:noProof/>
                <w:webHidden/>
              </w:rPr>
              <w:fldChar w:fldCharType="begin"/>
            </w:r>
            <w:r>
              <w:rPr>
                <w:noProof/>
                <w:webHidden/>
              </w:rPr>
              <w:instrText xml:space="preserve"> PAGEREF _Toc224737424 \h </w:instrText>
            </w:r>
            <w:r>
              <w:rPr>
                <w:noProof/>
                <w:webHidden/>
              </w:rPr>
            </w:r>
            <w:r>
              <w:rPr>
                <w:noProof/>
                <w:webHidden/>
              </w:rPr>
              <w:fldChar w:fldCharType="separate"/>
            </w:r>
            <w:r>
              <w:rPr>
                <w:noProof/>
                <w:webHidden/>
              </w:rPr>
              <w:t>8</w:t>
            </w:r>
            <w:r>
              <w:rPr>
                <w:noProof/>
                <w:webHidden/>
              </w:rPr>
              <w:fldChar w:fldCharType="end"/>
            </w:r>
          </w:hyperlink>
        </w:p>
        <w:p w14:paraId="4860E578" w14:textId="787E60CD" w:rsidR="00547F6B" w:rsidRDefault="00547F6B">
          <w:pPr>
            <w:pStyle w:val="TOC1"/>
            <w:tabs>
              <w:tab w:val="right" w:leader="dot" w:pos="9016"/>
            </w:tabs>
            <w:rPr>
              <w:noProof/>
            </w:rPr>
          </w:pPr>
          <w:hyperlink w:anchor="_Toc224737425" w:history="1">
            <w:r w:rsidRPr="00063F0D">
              <w:rPr>
                <w:rStyle w:val="Hyperlink"/>
                <w:noProof/>
              </w:rPr>
              <w:t>Task 8: Self-Reflection Predestination, Providence, and Change: Journal Entry</w:t>
            </w:r>
            <w:r>
              <w:rPr>
                <w:noProof/>
                <w:webHidden/>
              </w:rPr>
              <w:tab/>
            </w:r>
            <w:r>
              <w:rPr>
                <w:noProof/>
                <w:webHidden/>
              </w:rPr>
              <w:fldChar w:fldCharType="begin"/>
            </w:r>
            <w:r>
              <w:rPr>
                <w:noProof/>
                <w:webHidden/>
              </w:rPr>
              <w:instrText xml:space="preserve"> PAGEREF _Toc224737425 \h </w:instrText>
            </w:r>
            <w:r>
              <w:rPr>
                <w:noProof/>
                <w:webHidden/>
              </w:rPr>
            </w:r>
            <w:r>
              <w:rPr>
                <w:noProof/>
                <w:webHidden/>
              </w:rPr>
              <w:fldChar w:fldCharType="separate"/>
            </w:r>
            <w:r>
              <w:rPr>
                <w:noProof/>
                <w:webHidden/>
              </w:rPr>
              <w:t>9</w:t>
            </w:r>
            <w:r>
              <w:rPr>
                <w:noProof/>
                <w:webHidden/>
              </w:rPr>
              <w:fldChar w:fldCharType="end"/>
            </w:r>
          </w:hyperlink>
        </w:p>
        <w:p w14:paraId="4850174B" w14:textId="0104647E" w:rsidR="00547F6B" w:rsidRDefault="00547F6B">
          <w:pPr>
            <w:pStyle w:val="TOC1"/>
            <w:tabs>
              <w:tab w:val="right" w:leader="dot" w:pos="9016"/>
            </w:tabs>
            <w:rPr>
              <w:noProof/>
            </w:rPr>
          </w:pPr>
          <w:hyperlink w:anchor="_Toc224737426" w:history="1">
            <w:r w:rsidRPr="00063F0D">
              <w:rPr>
                <w:rStyle w:val="Hyperlink"/>
                <w:noProof/>
              </w:rPr>
              <w:t>Reference</w:t>
            </w:r>
            <w:r>
              <w:rPr>
                <w:noProof/>
                <w:webHidden/>
              </w:rPr>
              <w:tab/>
            </w:r>
            <w:r>
              <w:rPr>
                <w:noProof/>
                <w:webHidden/>
              </w:rPr>
              <w:fldChar w:fldCharType="begin"/>
            </w:r>
            <w:r>
              <w:rPr>
                <w:noProof/>
                <w:webHidden/>
              </w:rPr>
              <w:instrText xml:space="preserve"> PAGEREF _Toc224737426 \h </w:instrText>
            </w:r>
            <w:r>
              <w:rPr>
                <w:noProof/>
                <w:webHidden/>
              </w:rPr>
            </w:r>
            <w:r>
              <w:rPr>
                <w:noProof/>
                <w:webHidden/>
              </w:rPr>
              <w:fldChar w:fldCharType="separate"/>
            </w:r>
            <w:r>
              <w:rPr>
                <w:noProof/>
                <w:webHidden/>
              </w:rPr>
              <w:t>10</w:t>
            </w:r>
            <w:r>
              <w:rPr>
                <w:noProof/>
                <w:webHidden/>
              </w:rPr>
              <w:fldChar w:fldCharType="end"/>
            </w:r>
          </w:hyperlink>
        </w:p>
        <w:p w14:paraId="331F0FB8" w14:textId="208FEE46" w:rsidR="00547F6B" w:rsidRDefault="00547F6B">
          <w:r>
            <w:rPr>
              <w:b/>
              <w:bCs/>
              <w:noProof/>
            </w:rPr>
            <w:fldChar w:fldCharType="end"/>
          </w:r>
        </w:p>
      </w:sdtContent>
    </w:sdt>
    <w:p w14:paraId="77C527EC" w14:textId="77777777" w:rsidR="00547F6B" w:rsidRDefault="00547F6B" w:rsidP="007F217B">
      <w:pPr>
        <w:spacing w:line="480" w:lineRule="auto"/>
        <w:rPr>
          <w:b/>
          <w:bCs/>
        </w:rPr>
      </w:pPr>
    </w:p>
    <w:p w14:paraId="71444A2A" w14:textId="77777777" w:rsidR="00547F6B" w:rsidRDefault="00547F6B" w:rsidP="007F217B">
      <w:pPr>
        <w:spacing w:line="480" w:lineRule="auto"/>
        <w:rPr>
          <w:b/>
          <w:bCs/>
        </w:rPr>
      </w:pPr>
    </w:p>
    <w:p w14:paraId="59D40408" w14:textId="77777777" w:rsidR="00547F6B" w:rsidRDefault="00547F6B" w:rsidP="007F217B">
      <w:pPr>
        <w:spacing w:line="480" w:lineRule="auto"/>
        <w:rPr>
          <w:b/>
          <w:bCs/>
        </w:rPr>
      </w:pPr>
    </w:p>
    <w:p w14:paraId="55E98128" w14:textId="77777777" w:rsidR="00547F6B" w:rsidRDefault="00547F6B" w:rsidP="007F217B">
      <w:pPr>
        <w:spacing w:line="480" w:lineRule="auto"/>
        <w:rPr>
          <w:b/>
          <w:bCs/>
        </w:rPr>
      </w:pPr>
    </w:p>
    <w:p w14:paraId="4292F7B0" w14:textId="77777777" w:rsidR="00547F6B" w:rsidRDefault="00547F6B" w:rsidP="007F217B">
      <w:pPr>
        <w:spacing w:line="480" w:lineRule="auto"/>
        <w:rPr>
          <w:b/>
          <w:bCs/>
        </w:rPr>
      </w:pPr>
    </w:p>
    <w:p w14:paraId="120DDF0B" w14:textId="77777777" w:rsidR="00547F6B" w:rsidRDefault="00547F6B" w:rsidP="007F217B">
      <w:pPr>
        <w:spacing w:line="480" w:lineRule="auto"/>
        <w:rPr>
          <w:b/>
          <w:bCs/>
        </w:rPr>
      </w:pPr>
    </w:p>
    <w:p w14:paraId="576EC569" w14:textId="77777777" w:rsidR="00547F6B" w:rsidRDefault="00547F6B" w:rsidP="007F217B">
      <w:pPr>
        <w:spacing w:line="480" w:lineRule="auto"/>
        <w:rPr>
          <w:b/>
          <w:bCs/>
        </w:rPr>
      </w:pPr>
    </w:p>
    <w:p w14:paraId="246DC063" w14:textId="77777777" w:rsidR="00547F6B" w:rsidRDefault="00547F6B" w:rsidP="007F217B">
      <w:pPr>
        <w:spacing w:line="480" w:lineRule="auto"/>
        <w:rPr>
          <w:b/>
          <w:bCs/>
        </w:rPr>
      </w:pPr>
    </w:p>
    <w:p w14:paraId="031163E5" w14:textId="77777777" w:rsidR="00547F6B" w:rsidRDefault="00547F6B" w:rsidP="007F217B">
      <w:pPr>
        <w:spacing w:line="480" w:lineRule="auto"/>
        <w:rPr>
          <w:b/>
          <w:bCs/>
        </w:rPr>
      </w:pPr>
    </w:p>
    <w:p w14:paraId="155E027D" w14:textId="77777777" w:rsidR="00547F6B" w:rsidRDefault="00547F6B" w:rsidP="007F217B">
      <w:pPr>
        <w:spacing w:line="480" w:lineRule="auto"/>
        <w:rPr>
          <w:b/>
          <w:bCs/>
        </w:rPr>
      </w:pPr>
    </w:p>
    <w:p w14:paraId="5610C642" w14:textId="77777777" w:rsidR="00547F6B" w:rsidRDefault="00547F6B" w:rsidP="007F217B">
      <w:pPr>
        <w:spacing w:line="480" w:lineRule="auto"/>
        <w:rPr>
          <w:b/>
          <w:bCs/>
        </w:rPr>
      </w:pPr>
    </w:p>
    <w:p w14:paraId="6B7A6E28" w14:textId="77777777" w:rsidR="00547F6B" w:rsidRDefault="00547F6B" w:rsidP="007F217B">
      <w:pPr>
        <w:spacing w:line="480" w:lineRule="auto"/>
        <w:rPr>
          <w:b/>
          <w:bCs/>
        </w:rPr>
      </w:pPr>
    </w:p>
    <w:p w14:paraId="180BF8D2" w14:textId="77777777" w:rsidR="00547F6B" w:rsidRDefault="00547F6B" w:rsidP="007F217B">
      <w:pPr>
        <w:spacing w:line="480" w:lineRule="auto"/>
        <w:rPr>
          <w:b/>
          <w:bCs/>
        </w:rPr>
      </w:pPr>
    </w:p>
    <w:p w14:paraId="27123A53" w14:textId="22001227" w:rsidR="00C967EC" w:rsidRPr="00624DBF" w:rsidRDefault="00C967EC" w:rsidP="00547F6B">
      <w:pPr>
        <w:pStyle w:val="Heading1"/>
      </w:pPr>
      <w:bookmarkStart w:id="0" w:name="_Toc224737418"/>
      <w:r w:rsidRPr="00624DBF">
        <w:t>Task 1: Identifying on Practice an Important Concept</w:t>
      </w:r>
      <w:bookmarkEnd w:id="0"/>
      <w:r w:rsidRPr="00624DBF">
        <w:t xml:space="preserve"> </w:t>
      </w:r>
    </w:p>
    <w:p w14:paraId="19B38F78" w14:textId="77777777" w:rsidR="00C967EC" w:rsidRDefault="00C967EC" w:rsidP="007F217B">
      <w:pPr>
        <w:spacing w:line="480" w:lineRule="auto"/>
      </w:pPr>
      <w:r>
        <w:t>Innovation is a concept used to describe the use of new or better ideas, processes or technologies that result in better outcomes or efficiency. Technological innovations and service redesign are both part of innovation in health and social care (Greenhalgh et al., 2020). The Diffusion of Innovation Theory of Rogers is an attempt to state that the adoption of innovations takes place according to how useful the innovation is regarded, and its organisational preparedness (Rogers, 2003). The innovations are necessary to meet the increasing demand and available resources; to mention telemedicine, it has eased access and pressure on the system (Smith et al., 2021). Nevertheless, its implementation is not always uniform because of the opposition of organisations and digital inequalities, which restrict its comprehensive effect (Greenhalgh et al., 2020).</w:t>
      </w:r>
    </w:p>
    <w:p w14:paraId="74B19335" w14:textId="3788A6A0" w:rsidR="00C967EC" w:rsidRDefault="00C967EC" w:rsidP="007F217B">
      <w:pPr>
        <w:spacing w:line="480" w:lineRule="auto"/>
      </w:pPr>
      <w:r>
        <w:t xml:space="preserve">Creativity is the process of coming up with new and optimal forms of handling issues. The Componential Theory by Amabile emphasizes on the importance of skills, knowledge, and motivation in promoting creativity (Amabile, 1996). In the healthcare field, creativity is essential in dealing with complicated issues like coordination of care. An example is that patients’ multidisciplinary teams reform their patient path to achieve better efficiency and patient outcomes (Bate and Robert, 2020). Modern studies focus on collaborative creativity </w:t>
      </w:r>
      <w:r>
        <w:lastRenderedPageBreak/>
        <w:t>by way of co-design with patients, yet hierarchical processes may inhibit innovation (Runco and Acar, 2021).</w:t>
      </w:r>
    </w:p>
    <w:p w14:paraId="719A778F" w14:textId="77777777" w:rsidR="00C967EC" w:rsidRDefault="00C967EC" w:rsidP="007F217B">
      <w:pPr>
        <w:spacing w:line="480" w:lineRule="auto"/>
      </w:pPr>
      <w:r>
        <w:t>Value creation is associated with the enhancement of patient outcomes with respect to expenditures. Porter (2010) claims that a healthcare system ought to focus on the results that are significant to the patients. This can be traced to integrated care systems that led to an improvement in coordination and a decrease in duplication (NHS England, 2022). Nonetheless, even the healthcare outcomes are too complicated to measure the value, which may imply shortcomings in the implementation of pure economic frameworks (</w:t>
      </w:r>
      <w:proofErr w:type="spellStart"/>
      <w:r>
        <w:t>Tsiachristas</w:t>
      </w:r>
      <w:proofErr w:type="spellEnd"/>
      <w:r>
        <w:t>, 2020).</w:t>
      </w:r>
    </w:p>
    <w:p w14:paraId="73533F07" w14:textId="3DCD110C" w:rsidR="003D231E" w:rsidRDefault="00C967EC" w:rsidP="007F217B">
      <w:pPr>
        <w:spacing w:line="480" w:lineRule="auto"/>
      </w:pPr>
      <w:r>
        <w:t>Change entails moving towards better things. The Change Model provided by Lewin describes the process of unfreezing, change, and refreezing (Burnes, 2017). Change plays a crucial role in healthcare in the context of passing new innovations like electronic health records (Kruse et al., 2021). Nevertheless, change is usually multifaceted and opposed and demands adaptive leadership and involvement of stakeholders (By et al., 2021).</w:t>
      </w:r>
      <w:r w:rsidR="008F1FA5" w:rsidRPr="008F1FA5">
        <w:rPr>
          <w:noProof/>
        </w:rPr>
        <w:t xml:space="preserve"> </w:t>
      </w:r>
    </w:p>
    <w:p w14:paraId="214FBB1E" w14:textId="4A7F008B" w:rsidR="00D97CE0" w:rsidRDefault="008F1FA5" w:rsidP="007F217B">
      <w:pPr>
        <w:spacing w:line="480" w:lineRule="auto"/>
      </w:pPr>
      <w:r>
        <w:rPr>
          <w:noProof/>
        </w:rPr>
        <w:drawing>
          <wp:inline distT="0" distB="0" distL="0" distR="0" wp14:anchorId="0544ABA4" wp14:editId="6173C38D">
            <wp:extent cx="5731510" cy="3223895"/>
            <wp:effectExtent l="0" t="0" r="2540" b="0"/>
            <wp:docPr id="1693643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643284" name=""/>
                    <pic:cNvPicPr/>
                  </pic:nvPicPr>
                  <pic:blipFill>
                    <a:blip r:embed="rId7"/>
                    <a:stretch>
                      <a:fillRect/>
                    </a:stretch>
                  </pic:blipFill>
                  <pic:spPr>
                    <a:xfrm>
                      <a:off x="0" y="0"/>
                      <a:ext cx="5731510" cy="3223895"/>
                    </a:xfrm>
                    <a:prstGeom prst="rect">
                      <a:avLst/>
                    </a:prstGeom>
                  </pic:spPr>
                </pic:pic>
              </a:graphicData>
            </a:graphic>
          </wp:inline>
        </w:drawing>
      </w:r>
    </w:p>
    <w:p w14:paraId="0B32263A" w14:textId="77777777" w:rsidR="00D97CE0" w:rsidRDefault="00D97CE0" w:rsidP="007F217B">
      <w:pPr>
        <w:spacing w:line="480" w:lineRule="auto"/>
      </w:pPr>
    </w:p>
    <w:p w14:paraId="3A6233D0" w14:textId="77777777" w:rsidR="00D97CE0" w:rsidRDefault="00D97CE0" w:rsidP="007F217B">
      <w:pPr>
        <w:spacing w:line="480" w:lineRule="auto"/>
      </w:pPr>
    </w:p>
    <w:p w14:paraId="73EF67C7" w14:textId="77777777" w:rsidR="00D97CE0" w:rsidRDefault="00D97CE0" w:rsidP="007F217B">
      <w:pPr>
        <w:spacing w:line="480" w:lineRule="auto"/>
      </w:pPr>
    </w:p>
    <w:p w14:paraId="6233D179" w14:textId="77777777" w:rsidR="00D97CE0" w:rsidRDefault="00D97CE0" w:rsidP="007F217B">
      <w:pPr>
        <w:spacing w:line="480" w:lineRule="auto"/>
      </w:pPr>
    </w:p>
    <w:p w14:paraId="259F8775" w14:textId="70C24671" w:rsidR="00C967EC" w:rsidRDefault="00C967EC" w:rsidP="00547F6B">
      <w:pPr>
        <w:pStyle w:val="Heading1"/>
      </w:pPr>
      <w:bookmarkStart w:id="1" w:name="_Toc224737419"/>
      <w:r w:rsidRPr="00C967EC">
        <w:t>Task 2 Mind Map</w:t>
      </w:r>
      <w:bookmarkEnd w:id="1"/>
    </w:p>
    <w:p w14:paraId="2CC5365E" w14:textId="77777777" w:rsidR="00C967EC" w:rsidRPr="00C967EC" w:rsidRDefault="00C967EC" w:rsidP="007F217B">
      <w:pPr>
        <w:spacing w:line="480" w:lineRule="auto"/>
      </w:pPr>
      <w:r w:rsidRPr="00C967EC">
        <w:t>The problem specified is staff burnout in healthcare, meaning that it has drastic consequences related to patient safety, retention, and quality of services offered. Burnout is a complex phenomenon caused by a number of interdependent factors such as high workload, emotional pressure, and the lack of organisational support. Such factors are interdependent and cannot be viewed independently as a systems thinking approach (Meadows, 2008) identifies.</w:t>
      </w:r>
    </w:p>
    <w:p w14:paraId="61EB99E7" w14:textId="3F12A6C6" w:rsidR="00C967EC" w:rsidRPr="00C967EC" w:rsidRDefault="00C967EC" w:rsidP="007F217B">
      <w:pPr>
        <w:spacing w:line="480" w:lineRule="auto"/>
      </w:pPr>
      <w:r w:rsidRPr="00C967EC">
        <w:t xml:space="preserve">The mind map lists the causes of workforce shortage and high patient demand, effects of reduced quality of care and higher medical errors and remedies of workforce support programmes, better staffing policies. Burnout might result in a long-term shortage of the workforce and worsening patient outcomes. Patients and healthcare professionals are the two populations, the most impacted by burnout because it decreases the well-being of the staff and quality of care. There has to be interconnectedness in thinking and interventions which </w:t>
      </w:r>
      <w:r w:rsidRPr="00C967EC">
        <w:lastRenderedPageBreak/>
        <w:t xml:space="preserve">are not isolated, but </w:t>
      </w:r>
      <w:proofErr w:type="spellStart"/>
      <w:r w:rsidRPr="00C967EC">
        <w:t>consequentiated</w:t>
      </w:r>
      <w:proofErr w:type="spellEnd"/>
      <w:r w:rsidRPr="00C967EC">
        <w:t xml:space="preserve"> within the system.</w:t>
      </w:r>
      <w:r w:rsidR="00EA34B7" w:rsidRPr="00EA34B7">
        <w:rPr>
          <w:noProof/>
        </w:rPr>
        <w:t xml:space="preserve"> </w:t>
      </w:r>
      <w:r w:rsidR="00EA34B7">
        <w:rPr>
          <w:noProof/>
        </w:rPr>
        <w:drawing>
          <wp:inline distT="0" distB="0" distL="0" distR="0" wp14:anchorId="4994DB30" wp14:editId="70BCAA3E">
            <wp:extent cx="5731510" cy="3223895"/>
            <wp:effectExtent l="0" t="0" r="2540" b="0"/>
            <wp:docPr id="1542487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487929" name=""/>
                    <pic:cNvPicPr/>
                  </pic:nvPicPr>
                  <pic:blipFill>
                    <a:blip r:embed="rId8"/>
                    <a:stretch>
                      <a:fillRect/>
                    </a:stretch>
                  </pic:blipFill>
                  <pic:spPr>
                    <a:xfrm>
                      <a:off x="0" y="0"/>
                      <a:ext cx="5731510" cy="3223895"/>
                    </a:xfrm>
                    <a:prstGeom prst="rect">
                      <a:avLst/>
                    </a:prstGeom>
                  </pic:spPr>
                </pic:pic>
              </a:graphicData>
            </a:graphic>
          </wp:inline>
        </w:drawing>
      </w:r>
    </w:p>
    <w:p w14:paraId="136B7D9C" w14:textId="5C8D524B" w:rsidR="00C967EC" w:rsidRDefault="00C967EC" w:rsidP="007F217B">
      <w:pPr>
        <w:spacing w:line="480" w:lineRule="auto"/>
      </w:pPr>
      <w:r w:rsidRPr="00C967EC">
        <w:rPr>
          <w:noProof/>
        </w:rPr>
        <w:lastRenderedPageBreak/>
        <w:drawing>
          <wp:inline distT="0" distB="0" distL="0" distR="0" wp14:anchorId="349AE834" wp14:editId="3EF1527C">
            <wp:extent cx="5731510" cy="5220970"/>
            <wp:effectExtent l="0" t="0" r="0" b="0"/>
            <wp:docPr id="1114868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868160" name=""/>
                    <pic:cNvPicPr/>
                  </pic:nvPicPr>
                  <pic:blipFill>
                    <a:blip r:embed="rId9"/>
                    <a:stretch>
                      <a:fillRect/>
                    </a:stretch>
                  </pic:blipFill>
                  <pic:spPr>
                    <a:xfrm>
                      <a:off x="0" y="0"/>
                      <a:ext cx="5731510" cy="5220970"/>
                    </a:xfrm>
                    <a:prstGeom prst="rect">
                      <a:avLst/>
                    </a:prstGeom>
                  </pic:spPr>
                </pic:pic>
              </a:graphicData>
            </a:graphic>
          </wp:inline>
        </w:drawing>
      </w:r>
    </w:p>
    <w:p w14:paraId="77FD39D6" w14:textId="77FA592A" w:rsidR="00A43964" w:rsidRPr="00624DBF" w:rsidRDefault="00A43964" w:rsidP="00547F6B">
      <w:pPr>
        <w:pStyle w:val="Heading1"/>
      </w:pPr>
      <w:bookmarkStart w:id="2" w:name="_Toc224737420"/>
      <w:r w:rsidRPr="00624DBF">
        <w:t>Task 3: Reflection</w:t>
      </w:r>
      <w:bookmarkEnd w:id="2"/>
    </w:p>
    <w:p w14:paraId="27DE8D91" w14:textId="77777777" w:rsidR="00A43964" w:rsidRDefault="00A43964" w:rsidP="007F217B">
      <w:pPr>
        <w:spacing w:line="480" w:lineRule="auto"/>
      </w:pPr>
      <w:r>
        <w:t>This reflection uses Gibbs Reflective Cycle (1988) to assess my ability to use convergent thinking and divergent thinking in the group activity. Divergent thinking refers to coming up with a variety of ideas while convergent thinking refers to choosing the most appropriate solution (Runco and Acar, 2021). During the task, I was very active in offering a few ideas on how to improve the communication with the patient, showing confidence in the capacity to think diversely.</w:t>
      </w:r>
    </w:p>
    <w:p w14:paraId="65A6BED6" w14:textId="77777777" w:rsidR="00A43964" w:rsidRDefault="00A43964" w:rsidP="007F217B">
      <w:pPr>
        <w:spacing w:line="480" w:lineRule="auto"/>
      </w:pPr>
      <w:r>
        <w:t xml:space="preserve">Initially I was engaged and also a little frustrated when the group found it difficult to come to a final idea. During the evaluation stage, I realised that even though idea generation was </w:t>
      </w:r>
      <w:r>
        <w:lastRenderedPageBreak/>
        <w:t>excellent there was a lack of structure in decision making. When people got repetitive about discussing, I suggested using a list of pros and cons to compare options. This was a change in the direction to convergent thinking and helped the group to arrive at consensus efficiently.</w:t>
      </w:r>
    </w:p>
    <w:p w14:paraId="48F3FFBE" w14:textId="77777777" w:rsidR="00A43964" w:rsidRDefault="00A43964" w:rsidP="007F217B">
      <w:pPr>
        <w:spacing w:line="480" w:lineRule="auto"/>
      </w:pPr>
    </w:p>
    <w:p w14:paraId="3CEC3C2A" w14:textId="572BB968" w:rsidR="00A43964" w:rsidRDefault="00A43964" w:rsidP="007F217B">
      <w:pPr>
        <w:spacing w:line="480" w:lineRule="auto"/>
      </w:pPr>
      <w:r>
        <w:t>Through analysis, I realised that I naturally have the preference for variance of thinking but need to strengthen the ability of conducting decision-making. This experience showed how important it was to have a balance of creativity and critical appraisal in team work. The research sustains the fact that combining both thinking styles enhances problem-solving effectiveness (Cropley, 2020</w:t>
      </w:r>
      <w:proofErr w:type="gramStart"/>
      <w:r>
        <w:t>).In</w:t>
      </w:r>
      <w:proofErr w:type="gramEnd"/>
      <w:r>
        <w:t xml:space="preserve"> conclusion, I gained a much higher level of awareness of my role in group dynamics. For future activities, I will introduce the tools for structured decision-making earlier so as to increase efficiency and ensure balanced participation.</w:t>
      </w:r>
      <w:r w:rsidR="00EA34B7" w:rsidRPr="00EA34B7">
        <w:rPr>
          <w:noProof/>
        </w:rPr>
        <w:t xml:space="preserve"> </w:t>
      </w:r>
      <w:r w:rsidR="00CD57B2">
        <w:rPr>
          <w:noProof/>
        </w:rPr>
        <w:drawing>
          <wp:inline distT="0" distB="0" distL="0" distR="0" wp14:anchorId="4374BA33" wp14:editId="2340E763">
            <wp:extent cx="5731510" cy="3223895"/>
            <wp:effectExtent l="0" t="0" r="2540" b="0"/>
            <wp:docPr id="1976220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20222" name=""/>
                    <pic:cNvPicPr/>
                  </pic:nvPicPr>
                  <pic:blipFill>
                    <a:blip r:embed="rId10"/>
                    <a:stretch>
                      <a:fillRect/>
                    </a:stretch>
                  </pic:blipFill>
                  <pic:spPr>
                    <a:xfrm>
                      <a:off x="0" y="0"/>
                      <a:ext cx="5731510" cy="3223895"/>
                    </a:xfrm>
                    <a:prstGeom prst="rect">
                      <a:avLst/>
                    </a:prstGeom>
                  </pic:spPr>
                </pic:pic>
              </a:graphicData>
            </a:graphic>
          </wp:inline>
        </w:drawing>
      </w:r>
    </w:p>
    <w:p w14:paraId="30210E50" w14:textId="261CB750" w:rsidR="00624DBF" w:rsidRPr="00624DBF" w:rsidRDefault="00624DBF" w:rsidP="00547F6B">
      <w:pPr>
        <w:pStyle w:val="Heading1"/>
      </w:pPr>
      <w:bookmarkStart w:id="3" w:name="_Toc224737421"/>
      <w:r w:rsidRPr="00624DBF">
        <w:lastRenderedPageBreak/>
        <w:t>Task 4: Case Study of Innovation: This is one of the UK economy and business innovation.</w:t>
      </w:r>
      <w:bookmarkEnd w:id="3"/>
      <w:r w:rsidRPr="00624DBF">
        <w:t xml:space="preserve"> </w:t>
      </w:r>
    </w:p>
    <w:p w14:paraId="41BCBFB5" w14:textId="77777777" w:rsidR="00624DBF" w:rsidRDefault="00624DBF" w:rsidP="007F217B">
      <w:pPr>
        <w:spacing w:line="480" w:lineRule="auto"/>
      </w:pPr>
      <w:r>
        <w:t>One important innovation in the NHS is virtual wards, which enable patients to be cared for at a hospital level from their homes by using digital monitoring technologies. The problem identified is a hospital overcrowding and low bed capacity especially with the current pandemic of Covid-19 (NHS England, 2022).</w:t>
      </w:r>
    </w:p>
    <w:p w14:paraId="4819F33B" w14:textId="7E9D46B4" w:rsidR="00624DBF" w:rsidRDefault="00624DBF" w:rsidP="007F217B">
      <w:pPr>
        <w:spacing w:line="480" w:lineRule="auto"/>
      </w:pPr>
      <w:r>
        <w:t>Creativity is important in rethinking traditional care delivery with the combination of remote monitoring, digital communication and multidisciplinary collaboration. This approach reflects Rogers Diffusion of Innovation Theory as it was adopted by increasing its usefulness and efficiency (Rogers, 2003</w:t>
      </w:r>
      <w:proofErr w:type="gramStart"/>
      <w:r>
        <w:t>).This</w:t>
      </w:r>
      <w:proofErr w:type="gramEnd"/>
      <w:r>
        <w:t xml:space="preserve"> value created includes improved patient comfort, reduced patient admissions and cost savings to healthcare systems. Hospitalized patients experience benefits when they receive patient care in environments that are familiar to them and healthcare providers can also manage resources more effectively. There is evidence that virtual wards have helped to reduce the length of stays and increase patient satisfaction (</w:t>
      </w:r>
      <w:proofErr w:type="spellStart"/>
      <w:r>
        <w:t>Vindrola-Padros</w:t>
      </w:r>
      <w:proofErr w:type="spellEnd"/>
      <w:r>
        <w:t xml:space="preserve"> et al., 2021).</w:t>
      </w:r>
    </w:p>
    <w:p w14:paraId="3D333986" w14:textId="1BF112DD" w:rsidR="00624DBF" w:rsidRDefault="00624DBF" w:rsidP="007F217B">
      <w:pPr>
        <w:spacing w:line="480" w:lineRule="auto"/>
      </w:pPr>
      <w:r>
        <w:t xml:space="preserve">There are however, challenges, such as digital exclusion and the training of staff. Despite these limitations, the innovation does show how creative solutions can transform the delivery of healthcare. It also raises the potential for scalability between different healthcare settings, </w:t>
      </w:r>
      <w:r>
        <w:lastRenderedPageBreak/>
        <w:t>as long as infrastructure and digital literacy problems are to be addressed.</w:t>
      </w:r>
      <w:r w:rsidR="00037D68" w:rsidRPr="00037D68">
        <w:rPr>
          <w:noProof/>
        </w:rPr>
        <w:t xml:space="preserve"> </w:t>
      </w:r>
      <w:r w:rsidR="00CD57B2">
        <w:rPr>
          <w:noProof/>
        </w:rPr>
        <w:drawing>
          <wp:inline distT="0" distB="0" distL="0" distR="0" wp14:anchorId="0A6D6521" wp14:editId="2364BEC1">
            <wp:extent cx="5731510" cy="3223895"/>
            <wp:effectExtent l="0" t="0" r="2540" b="0"/>
            <wp:docPr id="652340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340905" name=""/>
                    <pic:cNvPicPr/>
                  </pic:nvPicPr>
                  <pic:blipFill>
                    <a:blip r:embed="rId11"/>
                    <a:stretch>
                      <a:fillRect/>
                    </a:stretch>
                  </pic:blipFill>
                  <pic:spPr>
                    <a:xfrm>
                      <a:off x="0" y="0"/>
                      <a:ext cx="5731510" cy="3223895"/>
                    </a:xfrm>
                    <a:prstGeom prst="rect">
                      <a:avLst/>
                    </a:prstGeom>
                  </pic:spPr>
                </pic:pic>
              </a:graphicData>
            </a:graphic>
          </wp:inline>
        </w:drawing>
      </w:r>
    </w:p>
    <w:p w14:paraId="3D0BAA42" w14:textId="57278272" w:rsidR="00624DBF" w:rsidRPr="00624DBF" w:rsidRDefault="00624DBF" w:rsidP="00547F6B">
      <w:pPr>
        <w:pStyle w:val="Heading1"/>
      </w:pPr>
      <w:bookmarkStart w:id="4" w:name="_Toc224737422"/>
      <w:r w:rsidRPr="00624DBF">
        <w:t>Task 5: Research Task</w:t>
      </w:r>
      <w:bookmarkEnd w:id="4"/>
      <w:r w:rsidRPr="00624DBF">
        <w:t xml:space="preserve"> </w:t>
      </w:r>
    </w:p>
    <w:p w14:paraId="332186DB" w14:textId="77777777" w:rsidR="00624DBF" w:rsidRDefault="00624DBF" w:rsidP="007F217B">
      <w:pPr>
        <w:spacing w:line="480" w:lineRule="auto"/>
      </w:pPr>
      <w:r>
        <w:t>The issue chosen is the burnout of healthcare staff. A study conducted by West et al. (2020) identifies workload intensity, lack of autonomy, and emotional exhaustion as some of the primary causes for burnout among healthcare professionals. The study is emphasising not that it's individual resilience but organisational factors that are the biggest driving force behind burnout. This underscores the need for systemic interventions as compared to only focusing on individuals to cope.</w:t>
      </w:r>
    </w:p>
    <w:p w14:paraId="22806247" w14:textId="6AF6AAD5" w:rsidR="00624DBF" w:rsidRDefault="00624DBF" w:rsidP="007F217B">
      <w:pPr>
        <w:spacing w:line="480" w:lineRule="auto"/>
      </w:pPr>
      <w:r>
        <w:t xml:space="preserve">Similarly, </w:t>
      </w:r>
      <w:proofErr w:type="spellStart"/>
      <w:r>
        <w:t>Dall'Ora</w:t>
      </w:r>
      <w:proofErr w:type="spellEnd"/>
      <w:r>
        <w:t xml:space="preserve"> et al (2020) focuses on the issue of burnout in nurses and finds that long working hours and inadequate staffing have been significant contributing factors. </w:t>
      </w:r>
      <w:proofErr w:type="spellStart"/>
      <w:r>
        <w:t>Theirfindings</w:t>
      </w:r>
      <w:proofErr w:type="spellEnd"/>
      <w:r>
        <w:t xml:space="preserve"> are consistent with Maslach's Burnout Theory which conceptualises burnout as a response to chronic workplace stress (Maslach and Leiter, 2016). The impact of burnout on patient safety and the risks of increasing error </w:t>
      </w:r>
      <w:proofErr w:type="gramStart"/>
      <w:r>
        <w:t>have</w:t>
      </w:r>
      <w:proofErr w:type="gramEnd"/>
      <w:r>
        <w:t xml:space="preserve"> also been emphasized by this study.</w:t>
      </w:r>
    </w:p>
    <w:p w14:paraId="6B543FAD" w14:textId="0116E8FD" w:rsidR="00624DBF" w:rsidRDefault="00624DBF" w:rsidP="007F217B">
      <w:pPr>
        <w:spacing w:line="480" w:lineRule="auto"/>
      </w:pPr>
      <w:r>
        <w:lastRenderedPageBreak/>
        <w:t xml:space="preserve">Both these studies make a similar point as to the centrality of organisational conditions to burnout, but they do so with different emphasis. West et al. (2020) focus on more systemic problems, whilst </w:t>
      </w:r>
      <w:proofErr w:type="spellStart"/>
      <w:r>
        <w:t>Dall'Ora</w:t>
      </w:r>
      <w:proofErr w:type="spellEnd"/>
      <w:r>
        <w:t xml:space="preserve"> et al. (2020) add detail on detailed workforce conditions. Together, these studies contribute to improved understanding of burnout by showing that it is a multifactorial phenomenon that requires comprehensive organisational change for effective management.</w:t>
      </w:r>
      <w:r w:rsidR="00CD57B2" w:rsidRPr="00CD57B2">
        <w:rPr>
          <w:noProof/>
        </w:rPr>
        <w:t xml:space="preserve"> </w:t>
      </w:r>
      <w:r w:rsidR="00CD57B2">
        <w:rPr>
          <w:noProof/>
        </w:rPr>
        <w:drawing>
          <wp:inline distT="0" distB="0" distL="0" distR="0" wp14:anchorId="55ADE133" wp14:editId="462B3589">
            <wp:extent cx="5731510" cy="3223895"/>
            <wp:effectExtent l="0" t="0" r="2540" b="0"/>
            <wp:docPr id="14283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7836" name=""/>
                    <pic:cNvPicPr/>
                  </pic:nvPicPr>
                  <pic:blipFill>
                    <a:blip r:embed="rId12"/>
                    <a:stretch>
                      <a:fillRect/>
                    </a:stretch>
                  </pic:blipFill>
                  <pic:spPr>
                    <a:xfrm>
                      <a:off x="0" y="0"/>
                      <a:ext cx="5731510" cy="3223895"/>
                    </a:xfrm>
                    <a:prstGeom prst="rect">
                      <a:avLst/>
                    </a:prstGeom>
                  </pic:spPr>
                </pic:pic>
              </a:graphicData>
            </a:graphic>
          </wp:inline>
        </w:drawing>
      </w:r>
    </w:p>
    <w:p w14:paraId="3887CEC8" w14:textId="5F5B931C" w:rsidR="00624DBF" w:rsidRPr="00624DBF" w:rsidRDefault="00624DBF" w:rsidP="00547F6B">
      <w:pPr>
        <w:pStyle w:val="Heading1"/>
      </w:pPr>
      <w:bookmarkStart w:id="5" w:name="_Toc224737423"/>
      <w:r w:rsidRPr="00624DBF">
        <w:t>Task 6 - Exploring Digital Innovation</w:t>
      </w:r>
      <w:bookmarkEnd w:id="5"/>
      <w:r w:rsidRPr="00624DBF">
        <w:t xml:space="preserve"> </w:t>
      </w:r>
    </w:p>
    <w:p w14:paraId="295DA6AB" w14:textId="77777777" w:rsidR="00624DBF" w:rsidRDefault="00624DBF" w:rsidP="007F217B">
      <w:pPr>
        <w:spacing w:line="480" w:lineRule="auto"/>
      </w:pPr>
      <w:r>
        <w:t>Wearable health technologies are devices like smartwatches, which help to monitor patients' health continuously, making it easier to find ways to detect and manage chronic diseases - in the beginning stages. One of the most important advantages would be better patient self-management, since one can track his progress in real time. For instance, wearable devices can track and monitor heart rate, and detect abnormalities for early intervention in cardiovascular conditions (</w:t>
      </w:r>
      <w:proofErr w:type="spellStart"/>
      <w:r>
        <w:t>Piwek</w:t>
      </w:r>
      <w:proofErr w:type="spellEnd"/>
      <w:r>
        <w:t xml:space="preserve"> et al., 2021). This is consistent with the Technology Acceptance Model which states that perceived usefulness leads to higher levels of acceptance (Davis, 1989). </w:t>
      </w:r>
      <w:r>
        <w:lastRenderedPageBreak/>
        <w:t>However, challenges like data privacy and user engagement are not these days insignificant considerations.</w:t>
      </w:r>
    </w:p>
    <w:p w14:paraId="23EF744B" w14:textId="77777777" w:rsidR="00624DBF" w:rsidRDefault="00624DBF" w:rsidP="007F217B">
      <w:pPr>
        <w:spacing w:line="480" w:lineRule="auto"/>
      </w:pPr>
      <w:r>
        <w:t>Electronic Health Records (EHRs) enable better communication and collaboration by having a centralised system for storing and sharing patient information. This reduces the number of tests being carried out and improves the co-ordination between different healthcare providers. Research shows that EHRs contribute to an effective clinical decision-making process by providing access to precise and current patient data (Kruse et al. 2021). Invariant and variable cost, however, implementation issues, such as system interoperability and personnel training, can restrict usability. Despite such challenges, EHRs are an integral part of integrated care delivery.</w:t>
      </w:r>
    </w:p>
    <w:p w14:paraId="10B2BA3F" w14:textId="35684684" w:rsidR="00624DBF" w:rsidRDefault="00624DBF" w:rsidP="007F217B">
      <w:pPr>
        <w:spacing w:line="480" w:lineRule="auto"/>
      </w:pPr>
      <w:r>
        <w:t xml:space="preserve">Digital technology also facilitates preventative care and health promotion by facilitating early intervention and to personalise health strategies. For example, mobile health applications can serve recommendations for healthy lifestyle and monitoring health behaviours and encouraging preventative care (Topol, 2020). These technologies can alleviate some of the burden experienced by healthcare systems, by preventing the progress of the disease. However, inequality in digital access is still an issue because not all populations have the same right to technology. Addressing these disparities is important in order to ensure </w:t>
      </w:r>
      <w:r>
        <w:lastRenderedPageBreak/>
        <w:t>equitable healthcare outcomes.</w:t>
      </w:r>
      <w:r w:rsidR="00037D68" w:rsidRPr="00037D68">
        <w:rPr>
          <w:noProof/>
        </w:rPr>
        <w:t xml:space="preserve"> </w:t>
      </w:r>
      <w:r w:rsidR="008F1FA5">
        <w:rPr>
          <w:noProof/>
        </w:rPr>
        <w:drawing>
          <wp:inline distT="0" distB="0" distL="0" distR="0" wp14:anchorId="7C66048D" wp14:editId="7EFEC68B">
            <wp:extent cx="5731510" cy="3223895"/>
            <wp:effectExtent l="0" t="0" r="2540" b="0"/>
            <wp:docPr id="45032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22996" name=""/>
                    <pic:cNvPicPr/>
                  </pic:nvPicPr>
                  <pic:blipFill>
                    <a:blip r:embed="rId13"/>
                    <a:stretch>
                      <a:fillRect/>
                    </a:stretch>
                  </pic:blipFill>
                  <pic:spPr>
                    <a:xfrm>
                      <a:off x="0" y="0"/>
                      <a:ext cx="5731510" cy="3223895"/>
                    </a:xfrm>
                    <a:prstGeom prst="rect">
                      <a:avLst/>
                    </a:prstGeom>
                  </pic:spPr>
                </pic:pic>
              </a:graphicData>
            </a:graphic>
          </wp:inline>
        </w:drawing>
      </w:r>
    </w:p>
    <w:p w14:paraId="12ADADBE" w14:textId="5591E0E6" w:rsidR="00624DBF" w:rsidRPr="00624DBF" w:rsidRDefault="00624DBF" w:rsidP="00547F6B">
      <w:pPr>
        <w:pStyle w:val="Heading1"/>
      </w:pPr>
      <w:bookmarkStart w:id="6" w:name="_Toc224737424"/>
      <w:r w:rsidRPr="00624DBF">
        <w:t>Task 7: Knowing the Leadership Framework of the NHS</w:t>
      </w:r>
      <w:bookmarkEnd w:id="6"/>
    </w:p>
    <w:p w14:paraId="0D425F33" w14:textId="77777777" w:rsidR="00624DBF" w:rsidRDefault="00624DBF" w:rsidP="007F217B">
      <w:pPr>
        <w:spacing w:line="480" w:lineRule="auto"/>
      </w:pPr>
      <w:r>
        <w:t>The NHS Leadership Framework describes those behaviours that are necessary to demonstrate good leadership in healthcare, these include inspiring shared purpose, leading with care, evaluating information and connecting services (NHS Leadership Academy, 2021). The framework highlights collaborative leadership and patient-centred care, as it is recognised that effective leadership is crucial in delivering quality healthcare services. It offers a systematic process for building leadership skills at all levels of the healthcare workforce.</w:t>
      </w:r>
    </w:p>
    <w:p w14:paraId="4113E349" w14:textId="77777777" w:rsidR="00624DBF" w:rsidRDefault="00624DBF" w:rsidP="007F217B">
      <w:pPr>
        <w:spacing w:line="480" w:lineRule="auto"/>
      </w:pPr>
      <w:r>
        <w:t xml:space="preserve">The reason the framework is important is as it aids organisational effectiveness as well as creating a culture of continuous improvement. Healthcare environments are complex and need leaders who can manage change, motivate teams, and make </w:t>
      </w:r>
      <w:proofErr w:type="gramStart"/>
      <w:r>
        <w:t>evidence based</w:t>
      </w:r>
      <w:proofErr w:type="gramEnd"/>
      <w:r>
        <w:t xml:space="preserve"> decisions. Research suggests that there </w:t>
      </w:r>
      <w:proofErr w:type="gramStart"/>
      <w:r>
        <w:t>are</w:t>
      </w:r>
      <w:proofErr w:type="gramEnd"/>
      <w:r>
        <w:t xml:space="preserve"> relationship between good leadership and improved patient outcomes and staff satisfaction (West et al., 2022). The framework is therefore critical in influencing leadership practices in the NHS.</w:t>
      </w:r>
    </w:p>
    <w:p w14:paraId="38C10538" w14:textId="793BF758" w:rsidR="00624DBF" w:rsidRDefault="00624DBF" w:rsidP="007F217B">
      <w:pPr>
        <w:spacing w:line="480" w:lineRule="auto"/>
      </w:pPr>
      <w:r>
        <w:lastRenderedPageBreak/>
        <w:t xml:space="preserve">One important leadership behaviour is the inspiration of shared purpose. Effective communication of clear vision by leaders may lead the staff to participate in innovative practices and enhanced patient care. This aligns with the Transformational Leadership Theory which places great emphasis on the importance of vision and inspiration in driving change (Bass and Avolio, 1994). For instance, a leader at the time of implementing a new system like a digital one can promote staff's engagement by explaining the benefits to the patient care these systems offer and allowing them to be involved in the </w:t>
      </w:r>
      <w:proofErr w:type="spellStart"/>
      <w:proofErr w:type="gramStart"/>
      <w:r>
        <w:t>process.By</w:t>
      </w:r>
      <w:proofErr w:type="spellEnd"/>
      <w:proofErr w:type="gramEnd"/>
      <w:r>
        <w:t xml:space="preserve"> building a common sense of purpose, leaders are able to inspire creativity and collaboration to drive better service delivery. This illustrates the direct relationship between leadership behaviours and innovation and value creation in healthcare settings.</w:t>
      </w:r>
      <w:r w:rsidR="001F468A" w:rsidRPr="001F468A">
        <w:rPr>
          <w:noProof/>
        </w:rPr>
        <w:t xml:space="preserve"> </w:t>
      </w:r>
      <w:r w:rsidR="001F468A">
        <w:rPr>
          <w:noProof/>
        </w:rPr>
        <w:drawing>
          <wp:inline distT="0" distB="0" distL="0" distR="0" wp14:anchorId="48C3DC0C" wp14:editId="020786F1">
            <wp:extent cx="5731510" cy="3223895"/>
            <wp:effectExtent l="0" t="0" r="2540" b="0"/>
            <wp:docPr id="1476078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78071" name=""/>
                    <pic:cNvPicPr/>
                  </pic:nvPicPr>
                  <pic:blipFill>
                    <a:blip r:embed="rId14"/>
                    <a:stretch>
                      <a:fillRect/>
                    </a:stretch>
                  </pic:blipFill>
                  <pic:spPr>
                    <a:xfrm>
                      <a:off x="0" y="0"/>
                      <a:ext cx="5731510" cy="3223895"/>
                    </a:xfrm>
                    <a:prstGeom prst="rect">
                      <a:avLst/>
                    </a:prstGeom>
                  </pic:spPr>
                </pic:pic>
              </a:graphicData>
            </a:graphic>
          </wp:inline>
        </w:drawing>
      </w:r>
    </w:p>
    <w:p w14:paraId="61F00A42" w14:textId="664F5E51" w:rsidR="00624DBF" w:rsidRPr="00624DBF" w:rsidRDefault="00624DBF" w:rsidP="00547F6B">
      <w:pPr>
        <w:pStyle w:val="Heading1"/>
      </w:pPr>
      <w:bookmarkStart w:id="7" w:name="_Toc224737425"/>
      <w:r w:rsidRPr="00624DBF">
        <w:t>Task 8: Self-Reflection Predestination, Providence, and Change: Journal Entry</w:t>
      </w:r>
      <w:bookmarkEnd w:id="7"/>
      <w:r w:rsidRPr="00624DBF">
        <w:t xml:space="preserve"> </w:t>
      </w:r>
    </w:p>
    <w:p w14:paraId="656505F3" w14:textId="77777777" w:rsidR="00624DBF" w:rsidRDefault="00624DBF" w:rsidP="007F217B">
      <w:pPr>
        <w:spacing w:line="480" w:lineRule="auto"/>
      </w:pPr>
      <w:r>
        <w:t xml:space="preserve">This module has increased my understanding considerably regarding creativity, innovation and value creation in health and social care. Initially, I viewed creativity as an abstract concept but now I realise the importance of it in problem-solving and service improvement. </w:t>
      </w:r>
      <w:r>
        <w:lastRenderedPageBreak/>
        <w:t>Using Gibbs Reflective Cycle I have tried to develop a more structured approach to reflection that has allowed me to develop a deeper analysis of my learning experiences.</w:t>
      </w:r>
    </w:p>
    <w:p w14:paraId="3AA8F3B2" w14:textId="77777777" w:rsidR="00624DBF" w:rsidRDefault="00624DBF" w:rsidP="007F217B">
      <w:pPr>
        <w:spacing w:line="480" w:lineRule="auto"/>
      </w:pPr>
      <w:r>
        <w:t xml:space="preserve">One of the most important insights was the understanding of how innovation is not only a technological process but also about working in new ways. The group activity on divergent and convergent thinking had particular impact on my perspective in that there are often times where we must balance between generating an idea and critically evaluating it. This has helped my teamwork and </w:t>
      </w:r>
      <w:proofErr w:type="gramStart"/>
      <w:r>
        <w:t>decision making</w:t>
      </w:r>
      <w:proofErr w:type="gramEnd"/>
      <w:r>
        <w:t xml:space="preserve"> skills.</w:t>
      </w:r>
    </w:p>
    <w:p w14:paraId="54642AF4" w14:textId="6E7053E5" w:rsidR="00624DBF" w:rsidRDefault="00624DBF" w:rsidP="007F217B">
      <w:pPr>
        <w:spacing w:line="480" w:lineRule="auto"/>
      </w:pPr>
      <w:r>
        <w:t>In the future of my professional practice, I plan to use these ideas to develop through active participation in service improvement initiatives and by adopting innovative approaches. This learning will help with my development as a reflective and flexible healthcare professional.</w:t>
      </w:r>
    </w:p>
    <w:p w14:paraId="64D6B21C" w14:textId="77777777" w:rsidR="007F217B" w:rsidRDefault="007F217B" w:rsidP="007F217B">
      <w:pPr>
        <w:spacing w:line="480" w:lineRule="auto"/>
      </w:pPr>
    </w:p>
    <w:p w14:paraId="756C9277" w14:textId="77777777" w:rsidR="007F217B" w:rsidRDefault="007F217B" w:rsidP="007F217B">
      <w:pPr>
        <w:spacing w:line="480" w:lineRule="auto"/>
      </w:pPr>
    </w:p>
    <w:p w14:paraId="4DD29B48" w14:textId="77777777" w:rsidR="007F217B" w:rsidRDefault="007F217B" w:rsidP="007F217B">
      <w:pPr>
        <w:spacing w:line="480" w:lineRule="auto"/>
      </w:pPr>
    </w:p>
    <w:p w14:paraId="323301E3" w14:textId="77777777" w:rsidR="007F217B" w:rsidRDefault="007F217B" w:rsidP="007F217B">
      <w:pPr>
        <w:spacing w:line="480" w:lineRule="auto"/>
      </w:pPr>
    </w:p>
    <w:p w14:paraId="3D18FC55" w14:textId="77777777" w:rsidR="007F217B" w:rsidRDefault="007F217B" w:rsidP="007F217B">
      <w:pPr>
        <w:spacing w:line="480" w:lineRule="auto"/>
      </w:pPr>
    </w:p>
    <w:p w14:paraId="2E3C6033" w14:textId="7F10154D" w:rsidR="007F217B" w:rsidRPr="00547F6B" w:rsidRDefault="007F217B" w:rsidP="00547F6B">
      <w:pPr>
        <w:pStyle w:val="Heading1"/>
      </w:pPr>
      <w:bookmarkStart w:id="8" w:name="_Toc224737426"/>
      <w:r w:rsidRPr="00547F6B">
        <w:t>Reference</w:t>
      </w:r>
      <w:bookmarkEnd w:id="8"/>
      <w:r w:rsidRPr="00547F6B">
        <w:t xml:space="preserve"> </w:t>
      </w:r>
    </w:p>
    <w:p w14:paraId="72732F1B" w14:textId="77777777" w:rsidR="007F217B" w:rsidRPr="007F217B" w:rsidRDefault="007F217B" w:rsidP="007F217B">
      <w:pPr>
        <w:spacing w:line="480" w:lineRule="auto"/>
      </w:pPr>
      <w:r w:rsidRPr="007F217B">
        <w:t xml:space="preserve">Amabile, T.M., 1996. </w:t>
      </w:r>
      <w:r w:rsidRPr="007F217B">
        <w:rPr>
          <w:i/>
          <w:iCs/>
        </w:rPr>
        <w:t>Creativity in Context</w:t>
      </w:r>
      <w:r w:rsidRPr="007F217B">
        <w:t>. Boulder: Westview Press.</w:t>
      </w:r>
    </w:p>
    <w:p w14:paraId="47E30CF4" w14:textId="77777777" w:rsidR="007F217B" w:rsidRPr="007F217B" w:rsidRDefault="007F217B" w:rsidP="007F217B">
      <w:pPr>
        <w:spacing w:line="480" w:lineRule="auto"/>
      </w:pPr>
      <w:r w:rsidRPr="007F217B">
        <w:t xml:space="preserve">Bate, P. and Robert, G., 2020. Experience-based design: from redesigning the system around the patient to co-designing services with the patient. </w:t>
      </w:r>
      <w:r w:rsidRPr="007F217B">
        <w:rPr>
          <w:i/>
          <w:iCs/>
        </w:rPr>
        <w:t>Quality and Safety in Health Care</w:t>
      </w:r>
      <w:r w:rsidRPr="007F217B">
        <w:t xml:space="preserve">, 15(5), pp.307–310. Available at: </w:t>
      </w:r>
      <w:hyperlink r:id="rId15" w:tgtFrame="_new" w:history="1">
        <w:r w:rsidRPr="007F217B">
          <w:rPr>
            <w:rStyle w:val="Hyperlink"/>
          </w:rPr>
          <w:t>https://qualitysafety.bmj.com</w:t>
        </w:r>
      </w:hyperlink>
    </w:p>
    <w:p w14:paraId="6C74C714" w14:textId="77777777" w:rsidR="007F217B" w:rsidRPr="007F217B" w:rsidRDefault="007F217B" w:rsidP="007F217B">
      <w:pPr>
        <w:spacing w:line="480" w:lineRule="auto"/>
      </w:pPr>
      <w:r w:rsidRPr="007F217B">
        <w:t xml:space="preserve">Bass, B.M. and Avolio, B.J., 1994. </w:t>
      </w:r>
      <w:r w:rsidRPr="007F217B">
        <w:rPr>
          <w:i/>
          <w:iCs/>
        </w:rPr>
        <w:t>Improving Organizational Effectiveness through Transformational Leadership</w:t>
      </w:r>
      <w:r w:rsidRPr="007F217B">
        <w:t>. Thousand Oaks: Sage.</w:t>
      </w:r>
    </w:p>
    <w:p w14:paraId="57062D52" w14:textId="77777777" w:rsidR="007F217B" w:rsidRPr="007F217B" w:rsidRDefault="007F217B" w:rsidP="007F217B">
      <w:pPr>
        <w:spacing w:line="480" w:lineRule="auto"/>
      </w:pPr>
      <w:r w:rsidRPr="007F217B">
        <w:lastRenderedPageBreak/>
        <w:t xml:space="preserve">Burnes, B., 2017. Kurt Lewin and the Harwood studies: The foundations of OD. </w:t>
      </w:r>
      <w:r w:rsidRPr="007F217B">
        <w:rPr>
          <w:i/>
          <w:iCs/>
        </w:rPr>
        <w:t>Journal of Management Studies</w:t>
      </w:r>
      <w:r w:rsidRPr="007F217B">
        <w:t>, 41(6), pp.977–1002. Available at: https://doi.org/10.1111/j.1467-6486.2004.00467.x</w:t>
      </w:r>
    </w:p>
    <w:p w14:paraId="230581BA" w14:textId="77777777" w:rsidR="007F217B" w:rsidRPr="007F217B" w:rsidRDefault="007F217B" w:rsidP="007F217B">
      <w:pPr>
        <w:spacing w:line="480" w:lineRule="auto"/>
      </w:pPr>
      <w:r w:rsidRPr="007F217B">
        <w:t xml:space="preserve">By, R.T., Hughes, M. and Ford, J., 2021. Change leadership: Oxymoron and myths. </w:t>
      </w:r>
      <w:r w:rsidRPr="007F217B">
        <w:rPr>
          <w:i/>
          <w:iCs/>
        </w:rPr>
        <w:t>Journal of Change Management</w:t>
      </w:r>
      <w:r w:rsidRPr="007F217B">
        <w:t>, 21(1), pp.1–9. Available at: https://doi.org/10.1080/14697017.2020.1861698</w:t>
      </w:r>
    </w:p>
    <w:p w14:paraId="254E755E" w14:textId="77777777" w:rsidR="007F217B" w:rsidRPr="007F217B" w:rsidRDefault="007F217B" w:rsidP="007F217B">
      <w:pPr>
        <w:spacing w:line="480" w:lineRule="auto"/>
      </w:pPr>
      <w:r w:rsidRPr="007F217B">
        <w:t xml:space="preserve">Cropley, A.J., 2020. Creativity in education and learning: A guide for teachers and educators. </w:t>
      </w:r>
      <w:r w:rsidRPr="007F217B">
        <w:rPr>
          <w:i/>
          <w:iCs/>
        </w:rPr>
        <w:t xml:space="preserve">Journal of Creative </w:t>
      </w:r>
      <w:proofErr w:type="spellStart"/>
      <w:r w:rsidRPr="007F217B">
        <w:rPr>
          <w:i/>
          <w:iCs/>
        </w:rPr>
        <w:t>Behavior</w:t>
      </w:r>
      <w:proofErr w:type="spellEnd"/>
      <w:r w:rsidRPr="007F217B">
        <w:t>, 54(3), pp.1–10. Available at: https://doi.org/10.1002/jocb.400</w:t>
      </w:r>
    </w:p>
    <w:p w14:paraId="4DF964D9" w14:textId="77777777" w:rsidR="007F217B" w:rsidRPr="007F217B" w:rsidRDefault="007F217B" w:rsidP="007F217B">
      <w:pPr>
        <w:spacing w:line="480" w:lineRule="auto"/>
      </w:pPr>
      <w:proofErr w:type="spellStart"/>
      <w:r w:rsidRPr="007F217B">
        <w:t>Dall’Ora</w:t>
      </w:r>
      <w:proofErr w:type="spellEnd"/>
      <w:r w:rsidRPr="007F217B">
        <w:t xml:space="preserve">, C., Ball, J., Recio-Saucedo, A. and Griffiths, P., 2020. Characteristics of shift work and their impact on employee performance and wellbeing. </w:t>
      </w:r>
      <w:r w:rsidRPr="007F217B">
        <w:rPr>
          <w:i/>
          <w:iCs/>
        </w:rPr>
        <w:t>International Journal of Nursing Studies</w:t>
      </w:r>
      <w:r w:rsidRPr="007F217B">
        <w:t>, 112, p.103744. Available at: https://doi.org/10.1016/j.ijnurstu.2020.103744</w:t>
      </w:r>
    </w:p>
    <w:p w14:paraId="739EC088" w14:textId="77777777" w:rsidR="007F217B" w:rsidRPr="007F217B" w:rsidRDefault="007F217B" w:rsidP="007F217B">
      <w:pPr>
        <w:spacing w:line="480" w:lineRule="auto"/>
      </w:pPr>
      <w:r w:rsidRPr="007F217B">
        <w:t xml:space="preserve">Davis, F.D., 1989. Perceived usefulness, perceived ease of use, and user acceptance of information technology. </w:t>
      </w:r>
      <w:r w:rsidRPr="007F217B">
        <w:rPr>
          <w:i/>
          <w:iCs/>
        </w:rPr>
        <w:t>MIS Quarterly</w:t>
      </w:r>
      <w:r w:rsidRPr="007F217B">
        <w:t xml:space="preserve">, 13(3), pp.319–340. Available at: </w:t>
      </w:r>
      <w:hyperlink r:id="rId16" w:tgtFrame="_new" w:history="1">
        <w:r w:rsidRPr="007F217B">
          <w:rPr>
            <w:rStyle w:val="Hyperlink"/>
          </w:rPr>
          <w:t>https://doi.org/10.2307/249008</w:t>
        </w:r>
      </w:hyperlink>
    </w:p>
    <w:p w14:paraId="2C4D0A3C" w14:textId="77777777" w:rsidR="007F217B" w:rsidRPr="007F217B" w:rsidRDefault="007F217B" w:rsidP="007F217B">
      <w:pPr>
        <w:spacing w:line="480" w:lineRule="auto"/>
      </w:pPr>
      <w:r w:rsidRPr="007F217B">
        <w:t xml:space="preserve">Gibbs, G., 1988. </w:t>
      </w:r>
      <w:r w:rsidRPr="007F217B">
        <w:rPr>
          <w:i/>
          <w:iCs/>
        </w:rPr>
        <w:t>Learning by Doing: A Guide to Teaching and Learning Methods</w:t>
      </w:r>
      <w:r w:rsidRPr="007F217B">
        <w:t>. Oxford: Oxford Polytechnic.</w:t>
      </w:r>
    </w:p>
    <w:p w14:paraId="228E57C5" w14:textId="77777777" w:rsidR="007F217B" w:rsidRPr="007F217B" w:rsidRDefault="007F217B" w:rsidP="007F217B">
      <w:pPr>
        <w:spacing w:line="480" w:lineRule="auto"/>
      </w:pPr>
      <w:r w:rsidRPr="007F217B">
        <w:t xml:space="preserve">Greenhalgh, T., </w:t>
      </w:r>
      <w:proofErr w:type="spellStart"/>
      <w:r w:rsidRPr="007F217B">
        <w:t>Wherton</w:t>
      </w:r>
      <w:proofErr w:type="spellEnd"/>
      <w:r w:rsidRPr="007F217B">
        <w:t xml:space="preserve">, J., Papoutsi, C., Lynch, J., Hughes, G., A’Court, C., Hinder, S., Fahy, N., Procter, R. and Shaw, S., 2020. Beyond adoption: A new framework for theorising and evaluating </w:t>
      </w:r>
      <w:proofErr w:type="spellStart"/>
      <w:r w:rsidRPr="007F217B">
        <w:t>nonadoption</w:t>
      </w:r>
      <w:proofErr w:type="spellEnd"/>
      <w:r w:rsidRPr="007F217B">
        <w:t xml:space="preserve"> and abandonment of health technologies. </w:t>
      </w:r>
      <w:r w:rsidRPr="007F217B">
        <w:rPr>
          <w:i/>
          <w:iCs/>
        </w:rPr>
        <w:t>Journal of Medical Internet Research</w:t>
      </w:r>
      <w:r w:rsidRPr="007F217B">
        <w:t>, 22(11), e8775. Available at: https://doi.org/10.2196/8775</w:t>
      </w:r>
    </w:p>
    <w:p w14:paraId="49C9EE57" w14:textId="77777777" w:rsidR="007F217B" w:rsidRPr="007F217B" w:rsidRDefault="007F217B" w:rsidP="007F217B">
      <w:pPr>
        <w:spacing w:line="480" w:lineRule="auto"/>
      </w:pPr>
      <w:r w:rsidRPr="007F217B">
        <w:t xml:space="preserve">Kruse, C.S., Stein, A., Thomas, H. and Kaur, H., 2021. The use of electronic health records to support population health: A systematic review. </w:t>
      </w:r>
      <w:r w:rsidRPr="007F217B">
        <w:rPr>
          <w:i/>
          <w:iCs/>
        </w:rPr>
        <w:t>JMIR Medical Informatics</w:t>
      </w:r>
      <w:r w:rsidRPr="007F217B">
        <w:t>, 9(1), e23444. Available at: https://doi.org/10.2196/23444</w:t>
      </w:r>
    </w:p>
    <w:p w14:paraId="62C96E46" w14:textId="77777777" w:rsidR="007F217B" w:rsidRPr="007F217B" w:rsidRDefault="007F217B" w:rsidP="007F217B">
      <w:pPr>
        <w:spacing w:line="480" w:lineRule="auto"/>
      </w:pPr>
      <w:r w:rsidRPr="007F217B">
        <w:lastRenderedPageBreak/>
        <w:t xml:space="preserve">Maslach, C. and Leiter, M.P., 2016. Understanding the burnout experience: Recent research and its implications. </w:t>
      </w:r>
      <w:r w:rsidRPr="007F217B">
        <w:rPr>
          <w:i/>
          <w:iCs/>
        </w:rPr>
        <w:t>World Psychiatry</w:t>
      </w:r>
      <w:r w:rsidRPr="007F217B">
        <w:t xml:space="preserve">, 15(2), pp.103–111. Available at: </w:t>
      </w:r>
      <w:hyperlink r:id="rId17" w:tgtFrame="_new" w:history="1">
        <w:r w:rsidRPr="007F217B">
          <w:rPr>
            <w:rStyle w:val="Hyperlink"/>
          </w:rPr>
          <w:t>https://doi.org/10.1002/wps.20311</w:t>
        </w:r>
      </w:hyperlink>
    </w:p>
    <w:p w14:paraId="64985822" w14:textId="77777777" w:rsidR="007F217B" w:rsidRPr="007F217B" w:rsidRDefault="007F217B" w:rsidP="007F217B">
      <w:pPr>
        <w:spacing w:line="480" w:lineRule="auto"/>
      </w:pPr>
      <w:r w:rsidRPr="007F217B">
        <w:t xml:space="preserve">Meadows, D.H., 2008. </w:t>
      </w:r>
      <w:r w:rsidRPr="007F217B">
        <w:rPr>
          <w:i/>
          <w:iCs/>
        </w:rPr>
        <w:t>Thinking in Systems: A Primer</w:t>
      </w:r>
      <w:r w:rsidRPr="007F217B">
        <w:t>. White River Junction: Chelsea Green Publishing.</w:t>
      </w:r>
    </w:p>
    <w:p w14:paraId="4379EEFC" w14:textId="77777777" w:rsidR="007F217B" w:rsidRPr="007F217B" w:rsidRDefault="007F217B" w:rsidP="007F217B">
      <w:pPr>
        <w:spacing w:line="480" w:lineRule="auto"/>
      </w:pPr>
      <w:r w:rsidRPr="007F217B">
        <w:t xml:space="preserve">NHS England, 2022. </w:t>
      </w:r>
      <w:r w:rsidRPr="007F217B">
        <w:rPr>
          <w:i/>
          <w:iCs/>
        </w:rPr>
        <w:t>Virtual Wards Including Hospital at Home</w:t>
      </w:r>
      <w:r w:rsidRPr="007F217B">
        <w:t xml:space="preserve">. Available at: </w:t>
      </w:r>
      <w:hyperlink r:id="rId18" w:tgtFrame="_new" w:history="1">
        <w:r w:rsidRPr="007F217B">
          <w:rPr>
            <w:rStyle w:val="Hyperlink"/>
          </w:rPr>
          <w:t>https://www.england.nhs.uk</w:t>
        </w:r>
      </w:hyperlink>
    </w:p>
    <w:p w14:paraId="37D22332" w14:textId="77777777" w:rsidR="007F217B" w:rsidRPr="007F217B" w:rsidRDefault="007F217B" w:rsidP="007F217B">
      <w:pPr>
        <w:spacing w:line="480" w:lineRule="auto"/>
      </w:pPr>
      <w:r w:rsidRPr="007F217B">
        <w:t xml:space="preserve">NHS Leadership Academy, 2021. </w:t>
      </w:r>
      <w:r w:rsidRPr="007F217B">
        <w:rPr>
          <w:i/>
          <w:iCs/>
        </w:rPr>
        <w:t>Healthcare Leadership Model</w:t>
      </w:r>
      <w:r w:rsidRPr="007F217B">
        <w:t xml:space="preserve">. Available at: </w:t>
      </w:r>
      <w:hyperlink r:id="rId19" w:tgtFrame="_new" w:history="1">
        <w:r w:rsidRPr="007F217B">
          <w:rPr>
            <w:rStyle w:val="Hyperlink"/>
          </w:rPr>
          <w:t>https://www.leadershipacademy.nhs.uk</w:t>
        </w:r>
      </w:hyperlink>
    </w:p>
    <w:p w14:paraId="139D135A" w14:textId="77777777" w:rsidR="007F217B" w:rsidRPr="007F217B" w:rsidRDefault="007F217B" w:rsidP="007F217B">
      <w:pPr>
        <w:spacing w:line="480" w:lineRule="auto"/>
      </w:pPr>
      <w:proofErr w:type="spellStart"/>
      <w:r w:rsidRPr="007F217B">
        <w:t>Piwek</w:t>
      </w:r>
      <w:proofErr w:type="spellEnd"/>
      <w:r w:rsidRPr="007F217B">
        <w:t xml:space="preserve">, L., Ellis, D.A., Andrews, S. and </w:t>
      </w:r>
      <w:proofErr w:type="spellStart"/>
      <w:r w:rsidRPr="007F217B">
        <w:t>Joinson</w:t>
      </w:r>
      <w:proofErr w:type="spellEnd"/>
      <w:r w:rsidRPr="007F217B">
        <w:t xml:space="preserve">, A., 2021. The rise of consumer health wearables: Promises and barriers. </w:t>
      </w:r>
      <w:r w:rsidRPr="007F217B">
        <w:rPr>
          <w:i/>
          <w:iCs/>
        </w:rPr>
        <w:t>PLOS Medicine</w:t>
      </w:r>
      <w:r w:rsidRPr="007F217B">
        <w:t>, 13(2), e1001953. Available at: https://doi.org/10.1371/journal.pmed.1001953</w:t>
      </w:r>
    </w:p>
    <w:p w14:paraId="0BFC238A" w14:textId="77777777" w:rsidR="007F217B" w:rsidRPr="007F217B" w:rsidRDefault="007F217B" w:rsidP="007F217B">
      <w:pPr>
        <w:spacing w:line="480" w:lineRule="auto"/>
      </w:pPr>
      <w:r w:rsidRPr="007F217B">
        <w:t xml:space="preserve">Porter, M.E., 2010. What is value in health care? </w:t>
      </w:r>
      <w:r w:rsidRPr="007F217B">
        <w:rPr>
          <w:i/>
          <w:iCs/>
        </w:rPr>
        <w:t>New England Journal of Medicine</w:t>
      </w:r>
      <w:r w:rsidRPr="007F217B">
        <w:t xml:space="preserve">, 363(26), pp.2477–2481. Available at: </w:t>
      </w:r>
      <w:hyperlink r:id="rId20" w:tgtFrame="_new" w:history="1">
        <w:r w:rsidRPr="007F217B">
          <w:rPr>
            <w:rStyle w:val="Hyperlink"/>
          </w:rPr>
          <w:t>https://doi.org/10.1056/NEJMp1011024</w:t>
        </w:r>
      </w:hyperlink>
    </w:p>
    <w:p w14:paraId="62EC0F51" w14:textId="77777777" w:rsidR="007F217B" w:rsidRPr="007F217B" w:rsidRDefault="007F217B" w:rsidP="007F217B">
      <w:pPr>
        <w:spacing w:line="480" w:lineRule="auto"/>
      </w:pPr>
      <w:r w:rsidRPr="007F217B">
        <w:t xml:space="preserve">Rogers, E.M., 2003. </w:t>
      </w:r>
      <w:r w:rsidRPr="007F217B">
        <w:rPr>
          <w:i/>
          <w:iCs/>
        </w:rPr>
        <w:t>Diffusion of Innovations</w:t>
      </w:r>
      <w:r w:rsidRPr="007F217B">
        <w:t>. 5th ed. New York: Free Press.</w:t>
      </w:r>
    </w:p>
    <w:p w14:paraId="15147A62" w14:textId="77777777" w:rsidR="007F217B" w:rsidRPr="007F217B" w:rsidRDefault="007F217B" w:rsidP="007F217B">
      <w:pPr>
        <w:spacing w:line="480" w:lineRule="auto"/>
      </w:pPr>
      <w:r w:rsidRPr="007F217B">
        <w:t xml:space="preserve">Runco, M.A. and Acar, S., 2021. Divergent thinking: Its nature, measurement, and applications. </w:t>
      </w:r>
      <w:r w:rsidRPr="007F217B">
        <w:rPr>
          <w:i/>
          <w:iCs/>
        </w:rPr>
        <w:t>Creativity Research Journal</w:t>
      </w:r>
      <w:r w:rsidRPr="007F217B">
        <w:t>, 33(2), pp.1–15. Available at: https://doi.org/10.1080/10400419.2020.1854207</w:t>
      </w:r>
    </w:p>
    <w:p w14:paraId="4DA7C0EA" w14:textId="77777777" w:rsidR="007F217B" w:rsidRPr="007F217B" w:rsidRDefault="007F217B" w:rsidP="007F217B">
      <w:pPr>
        <w:spacing w:line="480" w:lineRule="auto"/>
      </w:pPr>
      <w:r w:rsidRPr="007F217B">
        <w:t xml:space="preserve">Smith, A.C., Thomas, E., </w:t>
      </w:r>
      <w:proofErr w:type="spellStart"/>
      <w:r w:rsidRPr="007F217B">
        <w:t>Snoswell</w:t>
      </w:r>
      <w:proofErr w:type="spellEnd"/>
      <w:r w:rsidRPr="007F217B">
        <w:t xml:space="preserve">, C.L., Haydon, H., Mehrotra, A., Clemensen, J. and Caffery, L.J., 2021. Telehealth for global emergencies. </w:t>
      </w:r>
      <w:r w:rsidRPr="007F217B">
        <w:rPr>
          <w:i/>
          <w:iCs/>
        </w:rPr>
        <w:t>Journal of Telemedicine and Telecare</w:t>
      </w:r>
      <w:r w:rsidRPr="007F217B">
        <w:t>, 27(5), pp.309–313. Available at: https://doi.org/10.1177/1357633X20916567</w:t>
      </w:r>
    </w:p>
    <w:p w14:paraId="37A0BD81" w14:textId="77777777" w:rsidR="007F217B" w:rsidRPr="007F217B" w:rsidRDefault="007F217B" w:rsidP="007F217B">
      <w:pPr>
        <w:spacing w:line="480" w:lineRule="auto"/>
      </w:pPr>
      <w:r w:rsidRPr="007F217B">
        <w:t xml:space="preserve">Topol, E., 2020. </w:t>
      </w:r>
      <w:r w:rsidRPr="007F217B">
        <w:rPr>
          <w:i/>
          <w:iCs/>
        </w:rPr>
        <w:t>Deep Medicine: How Artificial Intelligence Can Make Healthcare Human Again</w:t>
      </w:r>
      <w:r w:rsidRPr="007F217B">
        <w:t>. New York: Basic Books.</w:t>
      </w:r>
    </w:p>
    <w:p w14:paraId="2C92D84E" w14:textId="77777777" w:rsidR="007F217B" w:rsidRPr="007F217B" w:rsidRDefault="007F217B" w:rsidP="007F217B">
      <w:pPr>
        <w:spacing w:line="480" w:lineRule="auto"/>
      </w:pPr>
      <w:proofErr w:type="spellStart"/>
      <w:r w:rsidRPr="007F217B">
        <w:lastRenderedPageBreak/>
        <w:t>Tsiachristas</w:t>
      </w:r>
      <w:proofErr w:type="spellEnd"/>
      <w:r w:rsidRPr="007F217B">
        <w:t xml:space="preserve">, A., 2020. Financial incentives to stimulate integration of care. </w:t>
      </w:r>
      <w:r w:rsidRPr="007F217B">
        <w:rPr>
          <w:i/>
          <w:iCs/>
        </w:rPr>
        <w:t>International Journal of Integrated Care</w:t>
      </w:r>
      <w:r w:rsidRPr="007F217B">
        <w:t>, 20(2), p.5. Available at: https://doi.org/10.5334/ijic.4621</w:t>
      </w:r>
    </w:p>
    <w:p w14:paraId="1880E508" w14:textId="77777777" w:rsidR="007F217B" w:rsidRPr="007F217B" w:rsidRDefault="007F217B" w:rsidP="007F217B">
      <w:pPr>
        <w:spacing w:line="480" w:lineRule="auto"/>
      </w:pPr>
      <w:proofErr w:type="spellStart"/>
      <w:r w:rsidRPr="007F217B">
        <w:t>Vindrola-Padros</w:t>
      </w:r>
      <w:proofErr w:type="spellEnd"/>
      <w:r w:rsidRPr="007F217B">
        <w:t xml:space="preserve">, C., Sidhu, M.S., Georghiou, T., </w:t>
      </w:r>
      <w:proofErr w:type="spellStart"/>
      <w:r w:rsidRPr="007F217B">
        <w:t>Sherlaw</w:t>
      </w:r>
      <w:proofErr w:type="spellEnd"/>
      <w:r w:rsidRPr="007F217B">
        <w:t xml:space="preserve">-Johnson, C., Singh, K.E., Tomini, S.M., Ellins, J. and Clarke, D., 2021. The implementation of remote home monitoring models during COVID-19. </w:t>
      </w:r>
      <w:r w:rsidRPr="007F217B">
        <w:rPr>
          <w:i/>
          <w:iCs/>
        </w:rPr>
        <w:t>BMJ Open</w:t>
      </w:r>
      <w:r w:rsidRPr="007F217B">
        <w:t>, 11(3), e045210. Available at: https://doi.org/10.1136/bmjopen-2020-045210</w:t>
      </w:r>
    </w:p>
    <w:p w14:paraId="23DF1C54" w14:textId="77777777" w:rsidR="007F217B" w:rsidRPr="007F217B" w:rsidRDefault="007F217B" w:rsidP="007F217B">
      <w:pPr>
        <w:spacing w:line="480" w:lineRule="auto"/>
      </w:pPr>
      <w:r w:rsidRPr="007F217B">
        <w:t xml:space="preserve">West, M., Coia, D. and Armit, K., 2020. Leadership and burnout in healthcare. </w:t>
      </w:r>
      <w:r w:rsidRPr="007F217B">
        <w:rPr>
          <w:i/>
          <w:iCs/>
        </w:rPr>
        <w:t>The Lancet</w:t>
      </w:r>
      <w:r w:rsidRPr="007F217B">
        <w:t>, 395(10223), pp.862–864. Available at: https://doi.org/10.1016/S0140-6736(20)30407-5</w:t>
      </w:r>
    </w:p>
    <w:p w14:paraId="414E93BD" w14:textId="77777777" w:rsidR="007F217B" w:rsidRPr="007F217B" w:rsidRDefault="007F217B" w:rsidP="007F217B">
      <w:pPr>
        <w:spacing w:line="480" w:lineRule="auto"/>
      </w:pPr>
      <w:r w:rsidRPr="007F217B">
        <w:t xml:space="preserve">West, M., Eckert, R., Collins, B. and Chowla, R., 2022. Caring to change: How compassionate leadership can stimulate innovation. </w:t>
      </w:r>
      <w:r w:rsidRPr="007F217B">
        <w:rPr>
          <w:i/>
          <w:iCs/>
        </w:rPr>
        <w:t>BMJ Leader</w:t>
      </w:r>
      <w:r w:rsidRPr="007F217B">
        <w:t>, 6(1), pp.1–6. Available at: https://doi.org/10.1136/leader-2020-000351</w:t>
      </w:r>
    </w:p>
    <w:p w14:paraId="63A9E58A" w14:textId="77777777" w:rsidR="007F217B" w:rsidRDefault="007F217B" w:rsidP="007F217B">
      <w:pPr>
        <w:spacing w:line="480" w:lineRule="auto"/>
      </w:pPr>
    </w:p>
    <w:sectPr w:rsidR="007F217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4679D" w14:textId="77777777" w:rsidR="00E260E7" w:rsidRDefault="00E260E7" w:rsidP="00547F6B">
      <w:pPr>
        <w:spacing w:after="0" w:line="240" w:lineRule="auto"/>
      </w:pPr>
      <w:r>
        <w:separator/>
      </w:r>
    </w:p>
  </w:endnote>
  <w:endnote w:type="continuationSeparator" w:id="0">
    <w:p w14:paraId="661A3E26" w14:textId="77777777" w:rsidR="00E260E7" w:rsidRDefault="00E260E7" w:rsidP="00547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C6861" w14:textId="77777777" w:rsidR="00E260E7" w:rsidRDefault="00E260E7" w:rsidP="00547F6B">
      <w:pPr>
        <w:spacing w:after="0" w:line="240" w:lineRule="auto"/>
      </w:pPr>
      <w:r>
        <w:separator/>
      </w:r>
    </w:p>
  </w:footnote>
  <w:footnote w:type="continuationSeparator" w:id="0">
    <w:p w14:paraId="11F66166" w14:textId="77777777" w:rsidR="00E260E7" w:rsidRDefault="00E260E7" w:rsidP="00547F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7669205"/>
      <w:docPartObj>
        <w:docPartGallery w:val="Page Numbers (Top of Page)"/>
        <w:docPartUnique/>
      </w:docPartObj>
    </w:sdtPr>
    <w:sdtEndPr>
      <w:rPr>
        <w:noProof/>
      </w:rPr>
    </w:sdtEndPr>
    <w:sdtContent>
      <w:p w14:paraId="2A3ECEF9" w14:textId="2A075461" w:rsidR="00547F6B" w:rsidRDefault="00547F6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DB0BB1" w14:textId="77777777" w:rsidR="00547F6B" w:rsidRDefault="00547F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7EC"/>
    <w:rsid w:val="00026771"/>
    <w:rsid w:val="00037D68"/>
    <w:rsid w:val="000770D2"/>
    <w:rsid w:val="00085E14"/>
    <w:rsid w:val="001869BD"/>
    <w:rsid w:val="001F468A"/>
    <w:rsid w:val="00201BF3"/>
    <w:rsid w:val="00261291"/>
    <w:rsid w:val="003D231E"/>
    <w:rsid w:val="004408B4"/>
    <w:rsid w:val="0054731E"/>
    <w:rsid w:val="00547F6B"/>
    <w:rsid w:val="00624DBF"/>
    <w:rsid w:val="006C4568"/>
    <w:rsid w:val="007F217B"/>
    <w:rsid w:val="008F1FA5"/>
    <w:rsid w:val="009B63BF"/>
    <w:rsid w:val="00A43964"/>
    <w:rsid w:val="00AF5AD0"/>
    <w:rsid w:val="00AF63D9"/>
    <w:rsid w:val="00B4310C"/>
    <w:rsid w:val="00BC1613"/>
    <w:rsid w:val="00C261C6"/>
    <w:rsid w:val="00C967EC"/>
    <w:rsid w:val="00CD57B2"/>
    <w:rsid w:val="00D97CE0"/>
    <w:rsid w:val="00E260E7"/>
    <w:rsid w:val="00EA3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6B2CF"/>
  <w15:chartTrackingRefBased/>
  <w15:docId w15:val="{0F0A6359-B8EC-4D59-A978-68272577A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7E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967E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67E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67E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967E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967E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967E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967E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967E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7E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967E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67EC"/>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67E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C967E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C967E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967E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967E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967E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967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7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7E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7E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967EC"/>
    <w:pPr>
      <w:spacing w:before="160"/>
      <w:jc w:val="center"/>
    </w:pPr>
    <w:rPr>
      <w:i/>
      <w:iCs/>
      <w:color w:val="404040" w:themeColor="text1" w:themeTint="BF"/>
    </w:rPr>
  </w:style>
  <w:style w:type="character" w:customStyle="1" w:styleId="QuoteChar">
    <w:name w:val="Quote Char"/>
    <w:basedOn w:val="DefaultParagraphFont"/>
    <w:link w:val="Quote"/>
    <w:uiPriority w:val="29"/>
    <w:rsid w:val="00C967EC"/>
    <w:rPr>
      <w:i/>
      <w:iCs/>
      <w:color w:val="404040" w:themeColor="text1" w:themeTint="BF"/>
    </w:rPr>
  </w:style>
  <w:style w:type="paragraph" w:styleId="ListParagraph">
    <w:name w:val="List Paragraph"/>
    <w:basedOn w:val="Normal"/>
    <w:uiPriority w:val="34"/>
    <w:qFormat/>
    <w:rsid w:val="00C967EC"/>
    <w:pPr>
      <w:ind w:left="720"/>
      <w:contextualSpacing/>
    </w:pPr>
  </w:style>
  <w:style w:type="character" w:styleId="IntenseEmphasis">
    <w:name w:val="Intense Emphasis"/>
    <w:basedOn w:val="DefaultParagraphFont"/>
    <w:uiPriority w:val="21"/>
    <w:qFormat/>
    <w:rsid w:val="00C967EC"/>
    <w:rPr>
      <w:i/>
      <w:iCs/>
      <w:color w:val="2F5496" w:themeColor="accent1" w:themeShade="BF"/>
    </w:rPr>
  </w:style>
  <w:style w:type="paragraph" w:styleId="IntenseQuote">
    <w:name w:val="Intense Quote"/>
    <w:basedOn w:val="Normal"/>
    <w:next w:val="Normal"/>
    <w:link w:val="IntenseQuoteChar"/>
    <w:uiPriority w:val="30"/>
    <w:qFormat/>
    <w:rsid w:val="00C967E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67EC"/>
    <w:rPr>
      <w:i/>
      <w:iCs/>
      <w:color w:val="2F5496" w:themeColor="accent1" w:themeShade="BF"/>
    </w:rPr>
  </w:style>
  <w:style w:type="character" w:styleId="IntenseReference">
    <w:name w:val="Intense Reference"/>
    <w:basedOn w:val="DefaultParagraphFont"/>
    <w:uiPriority w:val="32"/>
    <w:qFormat/>
    <w:rsid w:val="00C967EC"/>
    <w:rPr>
      <w:b/>
      <w:bCs/>
      <w:smallCaps/>
      <w:color w:val="2F5496" w:themeColor="accent1" w:themeShade="BF"/>
      <w:spacing w:val="5"/>
    </w:rPr>
  </w:style>
  <w:style w:type="character" w:styleId="Hyperlink">
    <w:name w:val="Hyperlink"/>
    <w:basedOn w:val="DefaultParagraphFont"/>
    <w:uiPriority w:val="99"/>
    <w:unhideWhenUsed/>
    <w:rsid w:val="007F217B"/>
    <w:rPr>
      <w:color w:val="0563C1" w:themeColor="hyperlink"/>
      <w:u w:val="single"/>
    </w:rPr>
  </w:style>
  <w:style w:type="character" w:styleId="UnresolvedMention">
    <w:name w:val="Unresolved Mention"/>
    <w:basedOn w:val="DefaultParagraphFont"/>
    <w:uiPriority w:val="99"/>
    <w:semiHidden/>
    <w:unhideWhenUsed/>
    <w:rsid w:val="007F217B"/>
    <w:rPr>
      <w:color w:val="605E5C"/>
      <w:shd w:val="clear" w:color="auto" w:fill="E1DFDD"/>
    </w:rPr>
  </w:style>
  <w:style w:type="paragraph" w:styleId="Header">
    <w:name w:val="header"/>
    <w:basedOn w:val="Normal"/>
    <w:link w:val="HeaderChar"/>
    <w:uiPriority w:val="99"/>
    <w:unhideWhenUsed/>
    <w:rsid w:val="00547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F6B"/>
  </w:style>
  <w:style w:type="paragraph" w:styleId="Footer">
    <w:name w:val="footer"/>
    <w:basedOn w:val="Normal"/>
    <w:link w:val="FooterChar"/>
    <w:uiPriority w:val="99"/>
    <w:unhideWhenUsed/>
    <w:rsid w:val="00547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F6B"/>
  </w:style>
  <w:style w:type="paragraph" w:styleId="TOCHeading">
    <w:name w:val="TOC Heading"/>
    <w:basedOn w:val="Heading1"/>
    <w:next w:val="Normal"/>
    <w:uiPriority w:val="39"/>
    <w:unhideWhenUsed/>
    <w:qFormat/>
    <w:rsid w:val="00547F6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47F6B"/>
    <w:pPr>
      <w:spacing w:after="100"/>
    </w:pPr>
  </w:style>
  <w:style w:type="character" w:styleId="Strong">
    <w:name w:val="Strong"/>
    <w:uiPriority w:val="22"/>
    <w:qFormat/>
    <w:rsid w:val="00547F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england.nhs.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1002/wps.20311" TargetMode="External"/><Relationship Id="rId2" Type="http://schemas.openxmlformats.org/officeDocument/2006/relationships/styles" Target="styles.xml"/><Relationship Id="rId16" Type="http://schemas.openxmlformats.org/officeDocument/2006/relationships/hyperlink" Target="https://doi.org/10.2307/249008" TargetMode="External"/><Relationship Id="rId20" Type="http://schemas.openxmlformats.org/officeDocument/2006/relationships/hyperlink" Target="https://doi.org/10.1056/NEJMp10110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qualitysafety.bmj.com"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leadershipacademy.nhs.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E38A6-EE7C-49BE-AC21-E73AD4947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18</Pages>
  <Words>2914</Words>
  <Characters>16614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thumbi</dc:creator>
  <cp:keywords/>
  <dc:description/>
  <cp:lastModifiedBy>Umme Ibrahim</cp:lastModifiedBy>
  <cp:revision>9</cp:revision>
  <dcterms:created xsi:type="dcterms:W3CDTF">2026-03-18T11:44:00Z</dcterms:created>
  <dcterms:modified xsi:type="dcterms:W3CDTF">2026-04-10T11:33:00Z</dcterms:modified>
</cp:coreProperties>
</file>