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17E4B" w:rsidRDefault="00917E4B" w:rsidP="00917E4B">
      <w:pPr>
        <w:pStyle w:val="ds-markdown-paragraph"/>
        <w:shd w:val="clear" w:color="auto" w:fill="FFFFFF"/>
        <w:spacing w:before="240" w:beforeAutospacing="0" w:after="240" w:afterAutospacing="0"/>
        <w:rPr>
          <w:rStyle w:val="Strong"/>
          <w:rFonts w:ascii="Segoe UI" w:hAnsi="Segoe UI" w:cs="Segoe UI"/>
          <w:color w:val="0F1115"/>
        </w:rPr>
      </w:pPr>
    </w:p>
    <w:p w:rsidR="00917E4B" w:rsidRDefault="00917E4B" w:rsidP="00917E4B">
      <w:pPr>
        <w:pStyle w:val="ds-markdown-paragraph"/>
        <w:shd w:val="clear" w:color="auto" w:fill="FFFFFF"/>
        <w:spacing w:before="240" w:beforeAutospacing="0" w:after="240" w:afterAutospacing="0"/>
        <w:rPr>
          <w:rStyle w:val="Strong"/>
          <w:rFonts w:ascii="Segoe UI" w:hAnsi="Segoe UI" w:cs="Segoe UI"/>
          <w:color w:val="0F1115"/>
        </w:rPr>
      </w:pPr>
      <w:r>
        <w:rPr>
          <w:rFonts w:ascii="Segoe UI" w:hAnsi="Segoe UI" w:cs="Segoe UI"/>
          <w:b/>
          <w:bCs/>
          <w:noProof/>
          <w:color w:val="0F1115"/>
        </w:rPr>
        <w:drawing>
          <wp:inline distT="0" distB="0" distL="0" distR="0" wp14:anchorId="025F4521" wp14:editId="1BEBC142">
            <wp:extent cx="3416300" cy="1897944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4628" cy="1913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E4B" w:rsidRDefault="00917E4B" w:rsidP="00917E4B">
      <w:pPr>
        <w:pStyle w:val="ds-markdown-paragraph"/>
        <w:shd w:val="clear" w:color="auto" w:fill="FFFFFF"/>
        <w:spacing w:before="240" w:beforeAutospacing="0" w:after="240" w:afterAutospacing="0" w:line="360" w:lineRule="auto"/>
        <w:rPr>
          <w:rStyle w:val="Strong"/>
          <w:rFonts w:ascii="Segoe UI" w:hAnsi="Segoe UI" w:cs="Segoe UI"/>
          <w:color w:val="0F1115"/>
        </w:rPr>
      </w:pPr>
    </w:p>
    <w:p w:rsidR="00717A99" w:rsidRDefault="00917E4B" w:rsidP="00717A99">
      <w:pPr>
        <w:pStyle w:val="ds-markdown-paragraph"/>
        <w:shd w:val="clear" w:color="auto" w:fill="FFFFFF"/>
        <w:spacing w:before="240" w:beforeAutospacing="0" w:after="240" w:afterAutospacing="0" w:line="360" w:lineRule="auto"/>
        <w:rPr>
          <w:rFonts w:ascii="Segoe UI" w:hAnsi="Segoe UI" w:cs="Segoe UI"/>
          <w:color w:val="0F1115"/>
          <w:sz w:val="30"/>
        </w:rPr>
      </w:pPr>
      <w:r w:rsidRPr="00917E4B">
        <w:rPr>
          <w:rStyle w:val="Strong"/>
          <w:rFonts w:ascii="Segoe UI" w:hAnsi="Segoe UI" w:cs="Segoe UI"/>
          <w:color w:val="0F1115"/>
          <w:sz w:val="30"/>
        </w:rPr>
        <w:t>Module Name:</w:t>
      </w:r>
      <w:r w:rsidR="008600C0">
        <w:rPr>
          <w:rFonts w:ascii="Segoe UI" w:hAnsi="Segoe UI" w:cs="Segoe UI"/>
          <w:color w:val="0F1115"/>
          <w:sz w:val="30"/>
        </w:rPr>
        <w:t> </w:t>
      </w:r>
      <w:proofErr w:type="spellStart"/>
      <w:r w:rsidR="008600C0">
        <w:rPr>
          <w:rFonts w:ascii="Segoe UI" w:hAnsi="Segoe UI" w:cs="Segoe UI"/>
          <w:color w:val="0F1115"/>
          <w:sz w:val="30"/>
        </w:rPr>
        <w:t>Zoya</w:t>
      </w:r>
      <w:proofErr w:type="spellEnd"/>
      <w:r w:rsidR="008600C0">
        <w:rPr>
          <w:rFonts w:ascii="Segoe UI" w:hAnsi="Segoe UI" w:cs="Segoe UI"/>
          <w:color w:val="0F1115"/>
          <w:sz w:val="30"/>
        </w:rPr>
        <w:t xml:space="preserve"> </w:t>
      </w:r>
      <w:proofErr w:type="spellStart"/>
      <w:r w:rsidR="008600C0">
        <w:rPr>
          <w:rFonts w:ascii="Segoe UI" w:hAnsi="Segoe UI" w:cs="Segoe UI"/>
          <w:color w:val="0F1115"/>
          <w:sz w:val="30"/>
        </w:rPr>
        <w:t>Muzzafar</w:t>
      </w:r>
      <w:proofErr w:type="spellEnd"/>
    </w:p>
    <w:p w:rsidR="00717A99" w:rsidRDefault="00917E4B" w:rsidP="00717A99">
      <w:pPr>
        <w:pStyle w:val="ds-markdown-paragraph"/>
        <w:shd w:val="clear" w:color="auto" w:fill="FFFFFF"/>
        <w:spacing w:before="240" w:beforeAutospacing="0" w:after="240" w:afterAutospacing="0" w:line="360" w:lineRule="auto"/>
        <w:rPr>
          <w:rFonts w:ascii="Segoe UI" w:hAnsi="Segoe UI" w:cs="Segoe UI"/>
          <w:color w:val="0F1115"/>
          <w:sz w:val="30"/>
        </w:rPr>
      </w:pPr>
      <w:r w:rsidRPr="00917E4B">
        <w:rPr>
          <w:rStyle w:val="Strong"/>
          <w:rFonts w:ascii="Segoe UI" w:hAnsi="Segoe UI" w:cs="Segoe UI"/>
          <w:color w:val="0F1115"/>
          <w:sz w:val="30"/>
        </w:rPr>
        <w:t>Module Code:</w:t>
      </w:r>
      <w:r w:rsidRPr="00917E4B">
        <w:rPr>
          <w:rFonts w:ascii="Segoe UI" w:hAnsi="Segoe UI" w:cs="Segoe UI"/>
          <w:color w:val="0F1115"/>
          <w:sz w:val="30"/>
        </w:rPr>
        <w:t> BMHP5021</w:t>
      </w:r>
    </w:p>
    <w:p w:rsidR="00717A99" w:rsidRDefault="00717A99" w:rsidP="00717A99">
      <w:pPr>
        <w:pStyle w:val="ds-markdown-paragraph"/>
        <w:shd w:val="clear" w:color="auto" w:fill="FFFFFF"/>
        <w:spacing w:before="240" w:beforeAutospacing="0" w:after="240" w:afterAutospacing="0"/>
        <w:rPr>
          <w:rStyle w:val="Strong"/>
          <w:rFonts w:ascii="Segoe UI" w:hAnsi="Segoe UI" w:cs="Segoe UI"/>
          <w:color w:val="0F1115"/>
          <w:sz w:val="30"/>
        </w:rPr>
      </w:pPr>
      <w:r w:rsidRPr="00717A99">
        <w:rPr>
          <w:rStyle w:val="Strong"/>
          <w:rFonts w:ascii="Segoe UI" w:hAnsi="Segoe UI" w:cs="Segoe UI"/>
          <w:color w:val="0F1115"/>
          <w:sz w:val="30"/>
        </w:rPr>
        <w:t xml:space="preserve">Module Name: </w:t>
      </w:r>
      <w:r w:rsidRPr="00594E7F">
        <w:rPr>
          <w:rStyle w:val="Strong"/>
          <w:rFonts w:ascii="Segoe UI" w:hAnsi="Segoe UI" w:cs="Segoe UI"/>
          <w:b w:val="0"/>
          <w:color w:val="0F1115"/>
          <w:sz w:val="30"/>
        </w:rPr>
        <w:t>Protecting and Supporting Families in Health and Care</w:t>
      </w:r>
      <w:r w:rsidR="00917E4B" w:rsidRPr="00717A99">
        <w:rPr>
          <w:rStyle w:val="Strong"/>
          <w:rFonts w:ascii="Segoe UI" w:hAnsi="Segoe UI" w:cs="Segoe UI"/>
          <w:color w:val="0F1115"/>
          <w:sz w:val="30"/>
        </w:rPr>
        <w:br/>
      </w:r>
    </w:p>
    <w:p w:rsidR="00717A99" w:rsidRDefault="00917E4B" w:rsidP="00717A99">
      <w:pPr>
        <w:pStyle w:val="ds-markdown-paragraph"/>
        <w:shd w:val="clear" w:color="auto" w:fill="FFFFFF"/>
        <w:spacing w:before="240" w:beforeAutospacing="0" w:after="240" w:afterAutospacing="0"/>
        <w:rPr>
          <w:rStyle w:val="Strong"/>
          <w:rFonts w:ascii="Segoe UI" w:hAnsi="Segoe UI" w:cs="Segoe UI"/>
          <w:color w:val="0F1115"/>
          <w:sz w:val="30"/>
        </w:rPr>
      </w:pPr>
      <w:r w:rsidRPr="00917E4B">
        <w:rPr>
          <w:rStyle w:val="Strong"/>
          <w:rFonts w:ascii="Segoe UI" w:hAnsi="Segoe UI" w:cs="Segoe UI"/>
          <w:color w:val="0F1115"/>
          <w:sz w:val="30"/>
        </w:rPr>
        <w:t>Assignment Title:</w:t>
      </w:r>
      <w:r w:rsidRPr="00917E4B">
        <w:rPr>
          <w:rFonts w:ascii="Segoe UI" w:hAnsi="Segoe UI" w:cs="Segoe UI"/>
          <w:color w:val="0F1115"/>
          <w:sz w:val="30"/>
        </w:rPr>
        <w:t> </w:t>
      </w:r>
      <w:r w:rsidRPr="00917E4B">
        <w:rPr>
          <w:rFonts w:ascii="Segoe UI" w:hAnsi="Segoe UI" w:cs="Segoe UI"/>
          <w:color w:val="0F1115"/>
          <w:sz w:val="30"/>
        </w:rPr>
        <w:t>Component 1</w:t>
      </w:r>
      <w:r w:rsidRPr="00917E4B">
        <w:rPr>
          <w:rFonts w:ascii="Segoe UI" w:hAnsi="Segoe UI" w:cs="Segoe UI"/>
          <w:color w:val="0F1115"/>
          <w:sz w:val="30"/>
        </w:rPr>
        <w:br/>
      </w:r>
    </w:p>
    <w:p w:rsidR="00717A99" w:rsidRDefault="00917E4B" w:rsidP="00717A99">
      <w:pPr>
        <w:pStyle w:val="ds-markdown-paragraph"/>
        <w:shd w:val="clear" w:color="auto" w:fill="FFFFFF"/>
        <w:spacing w:before="240" w:beforeAutospacing="0" w:after="240" w:afterAutospacing="0"/>
        <w:rPr>
          <w:rStyle w:val="Strong"/>
          <w:rFonts w:ascii="Segoe UI" w:hAnsi="Segoe UI" w:cs="Segoe UI"/>
          <w:color w:val="0F1115"/>
          <w:sz w:val="30"/>
        </w:rPr>
      </w:pPr>
      <w:r w:rsidRPr="00917E4B">
        <w:rPr>
          <w:rStyle w:val="Strong"/>
          <w:rFonts w:ascii="Segoe UI" w:hAnsi="Segoe UI" w:cs="Segoe UI"/>
          <w:color w:val="0F1115"/>
          <w:sz w:val="30"/>
        </w:rPr>
        <w:t>Student Name:</w:t>
      </w:r>
      <w:r w:rsidRPr="00917E4B">
        <w:rPr>
          <w:rFonts w:ascii="Segoe UI" w:hAnsi="Segoe UI" w:cs="Segoe UI"/>
          <w:color w:val="0F1115"/>
          <w:sz w:val="30"/>
        </w:rPr>
        <w:t> </w:t>
      </w:r>
      <w:proofErr w:type="spellStart"/>
      <w:r w:rsidRPr="00917E4B">
        <w:rPr>
          <w:rFonts w:ascii="Segoe UI" w:hAnsi="Segoe UI" w:cs="Segoe UI"/>
          <w:color w:val="0F1115"/>
          <w:sz w:val="30"/>
        </w:rPr>
        <w:t>Zoya</w:t>
      </w:r>
      <w:proofErr w:type="spellEnd"/>
      <w:r w:rsidRPr="00917E4B">
        <w:rPr>
          <w:rFonts w:ascii="Segoe UI" w:hAnsi="Segoe UI" w:cs="Segoe UI"/>
          <w:color w:val="0F1115"/>
          <w:sz w:val="30"/>
        </w:rPr>
        <w:t xml:space="preserve"> </w:t>
      </w:r>
      <w:proofErr w:type="spellStart"/>
      <w:r w:rsidRPr="00917E4B">
        <w:rPr>
          <w:rFonts w:ascii="Segoe UI" w:hAnsi="Segoe UI" w:cs="Segoe UI"/>
          <w:color w:val="0F1115"/>
          <w:sz w:val="30"/>
        </w:rPr>
        <w:t>Muzzafar</w:t>
      </w:r>
      <w:proofErr w:type="spellEnd"/>
      <w:r w:rsidRPr="00917E4B">
        <w:rPr>
          <w:rFonts w:ascii="Segoe UI" w:hAnsi="Segoe UI" w:cs="Segoe UI"/>
          <w:color w:val="0F1115"/>
          <w:sz w:val="30"/>
        </w:rPr>
        <w:br/>
      </w:r>
    </w:p>
    <w:p w:rsidR="00917E4B" w:rsidRPr="00917E4B" w:rsidRDefault="00917E4B" w:rsidP="00717A99">
      <w:pPr>
        <w:pStyle w:val="ds-markdown-paragraph"/>
        <w:shd w:val="clear" w:color="auto" w:fill="FFFFFF"/>
        <w:spacing w:before="240" w:beforeAutospacing="0" w:after="240" w:afterAutospacing="0"/>
        <w:rPr>
          <w:rFonts w:ascii="Segoe UI" w:hAnsi="Segoe UI" w:cs="Segoe UI"/>
          <w:color w:val="0F1115"/>
          <w:sz w:val="30"/>
        </w:rPr>
      </w:pPr>
      <w:r w:rsidRPr="00917E4B">
        <w:rPr>
          <w:rStyle w:val="Strong"/>
          <w:rFonts w:ascii="Segoe UI" w:hAnsi="Segoe UI" w:cs="Segoe UI"/>
          <w:color w:val="0F1115"/>
          <w:sz w:val="30"/>
        </w:rPr>
        <w:t>Student Number:</w:t>
      </w:r>
      <w:r w:rsidRPr="00917E4B">
        <w:rPr>
          <w:rFonts w:ascii="Segoe UI" w:hAnsi="Segoe UI" w:cs="Segoe UI"/>
          <w:color w:val="0F1115"/>
          <w:sz w:val="30"/>
        </w:rPr>
        <w:t> 2435513</w:t>
      </w:r>
    </w:p>
    <w:p w:rsidR="00712FD8" w:rsidRPr="00892962" w:rsidRDefault="00712FD8" w:rsidP="00712FD8">
      <w:pPr>
        <w:shd w:val="clear" w:color="auto" w:fill="FFFFFF"/>
        <w:spacing w:before="480" w:after="240" w:line="450" w:lineRule="atLeast"/>
        <w:outlineLvl w:val="2"/>
        <w:rPr>
          <w:rFonts w:ascii="Arial" w:eastAsia="Times New Roman" w:hAnsi="Arial" w:cs="Arial"/>
          <w:b/>
          <w:bCs/>
          <w:color w:val="0F1115"/>
          <w:sz w:val="30"/>
          <w:szCs w:val="30"/>
          <w:lang w:eastAsia="en-GB"/>
        </w:rPr>
      </w:pPr>
    </w:p>
    <w:p w:rsidR="00B37E56" w:rsidRDefault="00B37E56">
      <w:pPr>
        <w:rPr>
          <w:rFonts w:ascii="Arial" w:eastAsia="Times New Roman" w:hAnsi="Arial" w:cs="Arial"/>
          <w:b/>
          <w:bCs/>
          <w:color w:val="0F1115"/>
          <w:sz w:val="36"/>
          <w:szCs w:val="36"/>
          <w:lang w:eastAsia="en-GB"/>
        </w:rPr>
      </w:pPr>
      <w:r>
        <w:rPr>
          <w:rFonts w:ascii="Arial" w:eastAsia="Times New Roman" w:hAnsi="Arial" w:cs="Arial"/>
          <w:b/>
          <w:bCs/>
          <w:color w:val="0F1115"/>
          <w:sz w:val="36"/>
          <w:szCs w:val="36"/>
          <w:lang w:eastAsia="en-GB"/>
        </w:rPr>
        <w:br w:type="page"/>
      </w:r>
    </w:p>
    <w:p w:rsidR="00712FD8" w:rsidRPr="00892962" w:rsidRDefault="0060699D" w:rsidP="00712FD8">
      <w:pPr>
        <w:shd w:val="clear" w:color="auto" w:fill="FFFFFF"/>
        <w:spacing w:before="480" w:after="240" w:line="480" w:lineRule="atLeast"/>
        <w:outlineLvl w:val="1"/>
        <w:rPr>
          <w:rFonts w:ascii="Arial" w:eastAsia="Times New Roman" w:hAnsi="Arial" w:cs="Arial"/>
          <w:b/>
          <w:bCs/>
          <w:color w:val="0F1115"/>
          <w:sz w:val="33"/>
          <w:szCs w:val="33"/>
          <w:lang w:eastAsia="en-GB"/>
        </w:rPr>
      </w:pPr>
      <w:r>
        <w:rPr>
          <w:rFonts w:ascii="Arial" w:eastAsia="Times New Roman" w:hAnsi="Arial" w:cs="Arial"/>
          <w:b/>
          <w:bCs/>
          <w:color w:val="0F1115"/>
          <w:sz w:val="33"/>
          <w:szCs w:val="33"/>
          <w:lang w:eastAsia="en-GB"/>
        </w:rPr>
        <w:lastRenderedPageBreak/>
        <w:t>Reference List</w:t>
      </w:r>
    </w:p>
    <w:p w:rsidR="006F431D" w:rsidRPr="008600C0" w:rsidRDefault="006F431D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</w:pPr>
      <w:bookmarkStart w:id="0" w:name="_GoBack"/>
      <w:r w:rsidRPr="008600C0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 xml:space="preserve">Children Act </w:t>
      </w:r>
      <w:r w:rsidR="00005EC8" w:rsidRPr="008600C0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 xml:space="preserve">1989, C.41. </w:t>
      </w:r>
      <w:r w:rsidR="00005EC8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6" w:history="1">
        <w:r w:rsidR="00005EC8"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https://www.legislation.gov.uk/ukpga/1989/41/contents</w:t>
        </w:r>
      </w:hyperlink>
      <w:r w:rsidR="00005EC8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30 September 2026).</w:t>
      </w:r>
    </w:p>
    <w:p w:rsidR="006C1FB8" w:rsidRPr="008600C0" w:rsidRDefault="006C1FB8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 xml:space="preserve">Children Act 2004, C.31.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7" w:history="1">
        <w:r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https://www.legislation.gov.uk/ukpga/2004/31/contents</w:t>
        </w:r>
      </w:hyperlink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(Accessed: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29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September 2026).</w:t>
      </w:r>
    </w:p>
    <w:p w:rsidR="00E52064" w:rsidRPr="008600C0" w:rsidRDefault="006F431D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>Ch</w:t>
      </w:r>
      <w:r w:rsidR="00E52064" w:rsidRPr="008600C0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 xml:space="preserve">ildren and Social Work Act 2017, C.16. </w:t>
      </w:r>
      <w:r w:rsidR="00E52064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8" w:history="1">
        <w:r w:rsidR="00E52064"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https://www.legislation.gov.uk/ukpga/2017/16/contents</w:t>
        </w:r>
      </w:hyperlink>
      <w:r w:rsidR="00E52064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  <w:r w:rsidR="00E52064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(Accessed: 30 September 2026).</w:t>
      </w:r>
    </w:p>
    <w:p w:rsidR="006F431D" w:rsidRPr="008600C0" w:rsidRDefault="006F431D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Depa</w:t>
      </w:r>
      <w:r w:rsidR="00EC00D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rtment for Education (</w:t>
      </w:r>
      <w:proofErr w:type="spellStart"/>
      <w:r w:rsidR="00EC00D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DfE</w:t>
      </w:r>
      <w:proofErr w:type="spellEnd"/>
      <w:r w:rsidR="00EC00D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) (2023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) </w:t>
      </w:r>
      <w:r w:rsidR="00EC00D0"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Children looked after in England including adoptions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</w:t>
      </w:r>
      <w:r w:rsidR="00EC00D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Available at: </w:t>
      </w:r>
      <w:hyperlink r:id="rId9" w:history="1">
        <w:r w:rsidR="00EC00D0"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https://explore-education-statistics.service.gov.uk/find-statistics/children-looked-after-in-england-including-adoptions/2022/explore</w:t>
        </w:r>
      </w:hyperlink>
      <w:r w:rsidR="00EC00D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03 Oct</w:t>
      </w:r>
      <w:r w:rsidR="0067733E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ober</w:t>
      </w:r>
      <w:r w:rsidR="00EC00D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2026).</w:t>
      </w:r>
    </w:p>
    <w:p w:rsidR="006F431D" w:rsidRPr="008600C0" w:rsidRDefault="0067733E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 xml:space="preserve">Domestic Abuse Act 2021, C.17.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10" w:history="1">
        <w:r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https://www.legislation.gov.uk/ukpga/2021/17/contents</w:t>
        </w:r>
      </w:hyperlink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29 September 2026).</w:t>
      </w:r>
    </w:p>
    <w:p w:rsidR="006F431D" w:rsidRPr="008600C0" w:rsidRDefault="00C169CF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Equality Act 2010, C.15. Available at: </w:t>
      </w:r>
      <w:hyperlink r:id="rId11" w:history="1">
        <w:r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https://www.legislation.gov.uk/ukpga/2010/15/contents</w:t>
        </w:r>
      </w:hyperlink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28 September 2026).</w:t>
      </w:r>
    </w:p>
    <w:p w:rsidR="006F431D" w:rsidRPr="008600C0" w:rsidRDefault="006F431D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Herefordshire Safeguarding Children Partnership (2024) </w:t>
      </w:r>
      <w:r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Child HN serious case review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 Hereford: Herefordshire Safeguarding Children Partnership.</w:t>
      </w:r>
      <w:r w:rsidR="005E1D16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Available at: </w:t>
      </w:r>
      <w:hyperlink r:id="rId12" w:history="1">
        <w:r w:rsidR="005E1D16"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https://www.herefordshiresafeguardingboards.org.uk/wp-content/uploads/2024/03/Final-Report-LCSPR-Child-HN_Herefordshire-January-2024.pdf</w:t>
        </w:r>
      </w:hyperlink>
      <w:r w:rsidR="005E1D16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05 October 2026).</w:t>
      </w:r>
    </w:p>
    <w:p w:rsidR="006F431D" w:rsidRPr="008600C0" w:rsidRDefault="00680B9E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UK Government</w:t>
      </w:r>
      <w:r w:rsidR="006F431D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(2026) </w:t>
      </w:r>
      <w:r w:rsidR="006F431D"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Working together to safeguard children: a guide to multi-agency working to help, protect and promote the welfare of children</w:t>
      </w:r>
      <w:r w:rsidR="006F431D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.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13" w:history="1">
        <w:r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https://assets.publishing.service.gov.uk/media/69fb1c28d0e316a40f269a5b/Working_together_to_safeguard_children_2026_a_guide_to_multi_agency_working.pdf</w:t>
        </w:r>
      </w:hyperlink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30 September 2026).</w:t>
      </w:r>
    </w:p>
    <w:p w:rsidR="006F431D" w:rsidRPr="008600C0" w:rsidRDefault="00B741EF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lastRenderedPageBreak/>
        <w:t>Hughes, K. et al. (2017) ‘The effect of multiple adverse childhood experiences on health: a systematic review and meta-analysis</w:t>
      </w:r>
      <w:r w:rsidR="002B0671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’,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  <w:r w:rsidRPr="008600C0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>The Lancet. Public health, 2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(8), e356–e366. </w:t>
      </w:r>
      <w:hyperlink r:id="rId14" w:history="1">
        <w:r w:rsidR="002B0671"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https://doi.org/10.1016/S2468-2667(17)30118-4</w:t>
        </w:r>
      </w:hyperlink>
      <w:r w:rsidR="002B0671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</w:p>
    <w:p w:rsidR="006F431D" w:rsidRPr="008600C0" w:rsidRDefault="005C5854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Royal College of Nursing</w:t>
      </w:r>
      <w:r w:rsidR="006F431D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(RCF) </w:t>
      </w:r>
      <w:r w:rsidR="006F431D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(2019) </w:t>
      </w:r>
      <w:r w:rsidR="006F431D"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Safeguarding children and young people: roles and competencies for healthcare staff</w:t>
      </w:r>
      <w:r w:rsidR="006F431D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.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15" w:history="1">
        <w:r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https://www.rcn.org.uk/Professional-Development/publications/rcn-safeguarding-children-and-young-people-and-children-and-young-people-in-care-uk-pub-012-420</w:t>
        </w:r>
      </w:hyperlink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05 October 2026).</w:t>
      </w:r>
    </w:p>
    <w:p w:rsidR="006F431D" w:rsidRPr="008600C0" w:rsidRDefault="006F431D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NICE (2017) </w:t>
      </w:r>
      <w:r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Child abuse and neglect (NG76)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 London: National Institute for Health and Care Excellence.</w:t>
      </w:r>
      <w:r w:rsidR="00E728BC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Available at: </w:t>
      </w:r>
      <w:hyperlink r:id="rId16" w:history="1">
        <w:r w:rsidR="00E728BC"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https://www.nice.org.uk/guidance/ng76</w:t>
        </w:r>
      </w:hyperlink>
      <w:r w:rsidR="00E728BC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07 October 2026).</w:t>
      </w:r>
    </w:p>
    <w:p w:rsidR="006F431D" w:rsidRPr="008600C0" w:rsidRDefault="006F431D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NSPCC (2024) </w:t>
      </w:r>
      <w:r w:rsidR="00B1099F"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Children in care: statistics briefing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</w:t>
      </w:r>
      <w:r w:rsidR="00B1099F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Available at: </w:t>
      </w:r>
      <w:hyperlink r:id="rId17" w:history="1">
        <w:r w:rsidR="00B1099F"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https://learning.nspcc.org.uk/research-resources/statistics-briefings/children-in-care</w:t>
        </w:r>
      </w:hyperlink>
      <w:r w:rsidR="00B1099F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29 September 2026).</w:t>
      </w:r>
    </w:p>
    <w:p w:rsidR="006F431D" w:rsidRPr="008600C0" w:rsidRDefault="00923C0C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Department for Education</w:t>
      </w:r>
      <w:r w:rsidR="006F431D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(2016) </w:t>
      </w:r>
      <w:r w:rsidR="006F431D"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Pathways to harm, pathways to protection: a triennial analysis of serious case reviews 2011 to 2014</w:t>
      </w:r>
      <w:r w:rsidR="006F431D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. 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18" w:history="1">
        <w:r w:rsidRPr="008600C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https://assets.publishing.service.gov.uk/media/5a803010e5274a2e8ab4eb1f/Triennial_Analysis_of_SCRs_2011-2014_-__Pathways_to_harm_and_protection.pdf</w:t>
        </w:r>
      </w:hyperlink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03 October 2026).</w:t>
      </w:r>
    </w:p>
    <w:p w:rsidR="006F431D" w:rsidRPr="008600C0" w:rsidRDefault="006F431D" w:rsidP="008600C0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United Nations (1989) </w:t>
      </w:r>
      <w:r w:rsidRPr="008600C0">
        <w:rPr>
          <w:rFonts w:ascii="Arial" w:eastAsia="Times New Roman" w:hAnsi="Arial" w:cs="Arial"/>
          <w:i/>
          <w:iCs/>
          <w:color w:val="0F1115"/>
          <w:sz w:val="24"/>
          <w:szCs w:val="24"/>
          <w:lang w:eastAsia="en-GB"/>
        </w:rPr>
        <w:t>Convention on the Rights of the Child</w:t>
      </w:r>
      <w:r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 New York: United Nations.</w:t>
      </w:r>
      <w:r w:rsidR="008600C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Available at: (Accessed: 06 October 2026)</w:t>
      </w:r>
      <w:bookmarkEnd w:id="0"/>
      <w:r w:rsidR="008600C0" w:rsidRPr="008600C0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</w:t>
      </w:r>
    </w:p>
    <w:p w:rsidR="00712FD8" w:rsidRPr="00892962" w:rsidRDefault="00712FD8" w:rsidP="006F431D">
      <w:pPr>
        <w:shd w:val="clear" w:color="auto" w:fill="FFFFFF"/>
        <w:spacing w:before="100" w:beforeAutospacing="1" w:after="0" w:line="360" w:lineRule="auto"/>
        <w:jc w:val="both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</w:p>
    <w:sectPr w:rsidR="00712FD8" w:rsidRPr="0089296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8E6B14"/>
    <w:multiLevelType w:val="multilevel"/>
    <w:tmpl w:val="7D56B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9105DA"/>
    <w:multiLevelType w:val="multilevel"/>
    <w:tmpl w:val="3F82EE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FD44E8F"/>
    <w:multiLevelType w:val="multilevel"/>
    <w:tmpl w:val="2D70747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 w:tentative="1">
      <w:start w:val="1"/>
      <w:numFmt w:val="decimal"/>
      <w:lvlText w:val="%2."/>
      <w:lvlJc w:val="left"/>
      <w:pPr>
        <w:tabs>
          <w:tab w:val="num" w:pos="2520"/>
        </w:tabs>
        <w:ind w:left="2520" w:hanging="360"/>
      </w:pPr>
    </w:lvl>
    <w:lvl w:ilvl="2" w:tentative="1">
      <w:start w:val="1"/>
      <w:numFmt w:val="decimal"/>
      <w:lvlText w:val="%3."/>
      <w:lvlJc w:val="left"/>
      <w:pPr>
        <w:tabs>
          <w:tab w:val="num" w:pos="3240"/>
        </w:tabs>
        <w:ind w:left="3240" w:hanging="360"/>
      </w:pPr>
    </w:lvl>
    <w:lvl w:ilvl="3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entative="1">
      <w:start w:val="1"/>
      <w:numFmt w:val="decimal"/>
      <w:lvlText w:val="%5."/>
      <w:lvlJc w:val="left"/>
      <w:pPr>
        <w:tabs>
          <w:tab w:val="num" w:pos="4680"/>
        </w:tabs>
        <w:ind w:left="4680" w:hanging="360"/>
      </w:pPr>
    </w:lvl>
    <w:lvl w:ilvl="5" w:tentative="1">
      <w:start w:val="1"/>
      <w:numFmt w:val="decimal"/>
      <w:lvlText w:val="%6."/>
      <w:lvlJc w:val="left"/>
      <w:pPr>
        <w:tabs>
          <w:tab w:val="num" w:pos="5400"/>
        </w:tabs>
        <w:ind w:left="5400" w:hanging="360"/>
      </w:pPr>
    </w:lvl>
    <w:lvl w:ilvl="6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entative="1">
      <w:start w:val="1"/>
      <w:numFmt w:val="decimal"/>
      <w:lvlText w:val="%8."/>
      <w:lvlJc w:val="left"/>
      <w:pPr>
        <w:tabs>
          <w:tab w:val="num" w:pos="6840"/>
        </w:tabs>
        <w:ind w:left="6840" w:hanging="360"/>
      </w:pPr>
    </w:lvl>
    <w:lvl w:ilvl="8" w:tentative="1">
      <w:start w:val="1"/>
      <w:numFmt w:val="decimal"/>
      <w:lvlText w:val="%9."/>
      <w:lvlJc w:val="left"/>
      <w:pPr>
        <w:tabs>
          <w:tab w:val="num" w:pos="7560"/>
        </w:tabs>
        <w:ind w:left="7560" w:hanging="360"/>
      </w:pPr>
    </w:lvl>
  </w:abstractNum>
  <w:abstractNum w:abstractNumId="3" w15:restartNumberingAfterBreak="0">
    <w:nsid w:val="247B3558"/>
    <w:multiLevelType w:val="multilevel"/>
    <w:tmpl w:val="7EC608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541B4D"/>
    <w:multiLevelType w:val="multilevel"/>
    <w:tmpl w:val="05EA4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625549"/>
    <w:multiLevelType w:val="multilevel"/>
    <w:tmpl w:val="4E102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1C33AF0"/>
    <w:multiLevelType w:val="multilevel"/>
    <w:tmpl w:val="863871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1F24912"/>
    <w:multiLevelType w:val="multilevel"/>
    <w:tmpl w:val="D6C4B1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8D33646"/>
    <w:multiLevelType w:val="multilevel"/>
    <w:tmpl w:val="A672FD5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5FF5ED0"/>
    <w:multiLevelType w:val="multilevel"/>
    <w:tmpl w:val="5DF85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4043FF2"/>
    <w:multiLevelType w:val="multilevel"/>
    <w:tmpl w:val="ECDC4F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5083C0E"/>
    <w:multiLevelType w:val="multilevel"/>
    <w:tmpl w:val="44B64F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B3A6E0E"/>
    <w:multiLevelType w:val="multilevel"/>
    <w:tmpl w:val="9C1AF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84C48D5"/>
    <w:multiLevelType w:val="hybridMultilevel"/>
    <w:tmpl w:val="A2203B4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9"/>
  </w:num>
  <w:num w:numId="2">
    <w:abstractNumId w:val="4"/>
  </w:num>
  <w:num w:numId="3">
    <w:abstractNumId w:val="5"/>
  </w:num>
  <w:num w:numId="4">
    <w:abstractNumId w:val="0"/>
  </w:num>
  <w:num w:numId="5">
    <w:abstractNumId w:val="6"/>
  </w:num>
  <w:num w:numId="6">
    <w:abstractNumId w:val="8"/>
  </w:num>
  <w:num w:numId="7">
    <w:abstractNumId w:val="1"/>
  </w:num>
  <w:num w:numId="8">
    <w:abstractNumId w:val="2"/>
  </w:num>
  <w:num w:numId="9">
    <w:abstractNumId w:val="7"/>
  </w:num>
  <w:num w:numId="10">
    <w:abstractNumId w:val="12"/>
  </w:num>
  <w:num w:numId="11">
    <w:abstractNumId w:val="11"/>
  </w:num>
  <w:num w:numId="12">
    <w:abstractNumId w:val="10"/>
  </w:num>
  <w:num w:numId="13">
    <w:abstractNumId w:val="13"/>
  </w:num>
  <w:num w:numId="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0EA8"/>
    <w:rsid w:val="0000013F"/>
    <w:rsid w:val="00005EC8"/>
    <w:rsid w:val="000A5976"/>
    <w:rsid w:val="000A7E89"/>
    <w:rsid w:val="000B647B"/>
    <w:rsid w:val="001229B4"/>
    <w:rsid w:val="001D601F"/>
    <w:rsid w:val="00206EE3"/>
    <w:rsid w:val="0027403E"/>
    <w:rsid w:val="002A36CC"/>
    <w:rsid w:val="002B0671"/>
    <w:rsid w:val="002D1888"/>
    <w:rsid w:val="002E4047"/>
    <w:rsid w:val="002F3B66"/>
    <w:rsid w:val="00316B93"/>
    <w:rsid w:val="003876C0"/>
    <w:rsid w:val="003B4E7E"/>
    <w:rsid w:val="004B56A5"/>
    <w:rsid w:val="00512DAB"/>
    <w:rsid w:val="00546036"/>
    <w:rsid w:val="0056062E"/>
    <w:rsid w:val="00593656"/>
    <w:rsid w:val="00594E7F"/>
    <w:rsid w:val="005C5854"/>
    <w:rsid w:val="005D25D8"/>
    <w:rsid w:val="005E1D16"/>
    <w:rsid w:val="0060699D"/>
    <w:rsid w:val="0066795F"/>
    <w:rsid w:val="0067733E"/>
    <w:rsid w:val="00680B9E"/>
    <w:rsid w:val="006C0EA8"/>
    <w:rsid w:val="006C1FB8"/>
    <w:rsid w:val="006C2E38"/>
    <w:rsid w:val="006F431D"/>
    <w:rsid w:val="007070C5"/>
    <w:rsid w:val="00712FD8"/>
    <w:rsid w:val="00713073"/>
    <w:rsid w:val="00717A99"/>
    <w:rsid w:val="00726CE2"/>
    <w:rsid w:val="007327C1"/>
    <w:rsid w:val="0074235F"/>
    <w:rsid w:val="00754497"/>
    <w:rsid w:val="007626D8"/>
    <w:rsid w:val="007830B7"/>
    <w:rsid w:val="007C0CD5"/>
    <w:rsid w:val="007C5049"/>
    <w:rsid w:val="00836BF0"/>
    <w:rsid w:val="00844A2E"/>
    <w:rsid w:val="008600C0"/>
    <w:rsid w:val="00892962"/>
    <w:rsid w:val="00893945"/>
    <w:rsid w:val="008E299A"/>
    <w:rsid w:val="0090557F"/>
    <w:rsid w:val="00917E4B"/>
    <w:rsid w:val="00923C0C"/>
    <w:rsid w:val="009261DC"/>
    <w:rsid w:val="00993E7C"/>
    <w:rsid w:val="009A1E35"/>
    <w:rsid w:val="00A263F7"/>
    <w:rsid w:val="00A40FC7"/>
    <w:rsid w:val="00AB7128"/>
    <w:rsid w:val="00AF4C62"/>
    <w:rsid w:val="00B1099F"/>
    <w:rsid w:val="00B37E56"/>
    <w:rsid w:val="00B57D93"/>
    <w:rsid w:val="00B741EF"/>
    <w:rsid w:val="00BB1C0B"/>
    <w:rsid w:val="00C169CF"/>
    <w:rsid w:val="00C22BCD"/>
    <w:rsid w:val="00C42CC5"/>
    <w:rsid w:val="00CA4658"/>
    <w:rsid w:val="00CF5627"/>
    <w:rsid w:val="00D0479D"/>
    <w:rsid w:val="00D41354"/>
    <w:rsid w:val="00E52064"/>
    <w:rsid w:val="00E728BC"/>
    <w:rsid w:val="00E9355E"/>
    <w:rsid w:val="00EA3F64"/>
    <w:rsid w:val="00EC00D0"/>
    <w:rsid w:val="00EC44CD"/>
    <w:rsid w:val="00F3143C"/>
    <w:rsid w:val="00F550DA"/>
    <w:rsid w:val="00FF1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8E185"/>
  <w15:chartTrackingRefBased/>
  <w15:docId w15:val="{A129664C-C463-402E-A7EA-925314352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712FD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712FD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12FD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2FD8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12FD8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12FD8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customStyle="1" w:styleId="ds-markdown-paragraph">
    <w:name w:val="ds-markdown-paragraph"/>
    <w:basedOn w:val="Normal"/>
    <w:rsid w:val="00712F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12FD8"/>
    <w:rPr>
      <w:b/>
      <w:bCs/>
    </w:rPr>
  </w:style>
  <w:style w:type="character" w:styleId="Emphasis">
    <w:name w:val="Emphasis"/>
    <w:basedOn w:val="DefaultParagraphFont"/>
    <w:uiPriority w:val="20"/>
    <w:qFormat/>
    <w:rsid w:val="00712FD8"/>
    <w:rPr>
      <w:i/>
      <w:iCs/>
    </w:rPr>
  </w:style>
  <w:style w:type="character" w:customStyle="1" w:styleId="ds-markdown-task-checkbox">
    <w:name w:val="ds-markdown-task-checkbox"/>
    <w:basedOn w:val="DefaultParagraphFont"/>
    <w:rsid w:val="00712FD8"/>
  </w:style>
  <w:style w:type="paragraph" w:styleId="ListParagraph">
    <w:name w:val="List Paragraph"/>
    <w:basedOn w:val="Normal"/>
    <w:uiPriority w:val="34"/>
    <w:qFormat/>
    <w:rsid w:val="006F431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05EC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428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40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5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698740">
          <w:blockQuote w:val="1"/>
          <w:marLeft w:val="0"/>
          <w:marRight w:val="0"/>
          <w:marTop w:val="240"/>
          <w:marBottom w:val="0"/>
          <w:divBdr>
            <w:top w:val="none" w:sz="0" w:space="0" w:color="auto"/>
            <w:left w:val="single" w:sz="12" w:space="11" w:color="ADB2B8"/>
            <w:bottom w:val="none" w:sz="0" w:space="0" w:color="auto"/>
            <w:right w:val="none" w:sz="0" w:space="0" w:color="auto"/>
          </w:divBdr>
        </w:div>
        <w:div w:id="1810436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7/16/contents" TargetMode="External"/><Relationship Id="rId13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8" Type="http://schemas.openxmlformats.org/officeDocument/2006/relationships/hyperlink" Target="https://assets.publishing.service.gov.uk/media/5a803010e5274a2e8ab4eb1f/Triennial_Analysis_of_SCRs_2011-2014_-__Pathways_to_harm_and_protectio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4/31/contents" TargetMode="External"/><Relationship Id="rId12" Type="http://schemas.openxmlformats.org/officeDocument/2006/relationships/hyperlink" Target="https://www.herefordshiresafeguardingboards.org.uk/wp-content/uploads/2024/03/Final-Report-LCSPR-Child-HN_Herefordshire-January-2024.pdf" TargetMode="External"/><Relationship Id="rId17" Type="http://schemas.openxmlformats.org/officeDocument/2006/relationships/hyperlink" Target="https://learning.nspcc.org.uk/research-resources/statistics-briefings/children-in-car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ice.org.uk/guidance/ng76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rcn.org.uk/Professional-Development/publications/rcn-safeguarding-children-and-young-people-and-children-and-young-people-in-care-uk-pub-012-420" TargetMode="External"/><Relationship Id="rId10" Type="http://schemas.openxmlformats.org/officeDocument/2006/relationships/hyperlink" Target="https://www.legislation.gov.uk/ukpga/2021/17/contents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explore-education-statistics.service.gov.uk/find-statistics/children-looked-after-in-england-including-adoptions/2022/explore" TargetMode="External"/><Relationship Id="rId14" Type="http://schemas.openxmlformats.org/officeDocument/2006/relationships/hyperlink" Target="https://doi.org/10.1016/S2468-2667(17)30118-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678</Words>
  <Characters>3869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Zoya</dc:creator>
  <cp:keywords/>
  <dc:description/>
  <cp:lastModifiedBy>dell</cp:lastModifiedBy>
  <cp:revision>25</cp:revision>
  <dcterms:created xsi:type="dcterms:W3CDTF">2026-09-27T01:00:00Z</dcterms:created>
  <dcterms:modified xsi:type="dcterms:W3CDTF">2026-10-18T12:02:00Z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7ec463a0-9d76-4c96-a2e9-f9d5656fff4b</vt:lpwstr>
  </property>
</Properties>
</file>