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64239" w14:textId="4E27CA84" w:rsidR="00A959BE" w:rsidRPr="00D66C6F" w:rsidRDefault="00D115BF" w:rsidP="00971BF5">
      <w:pPr>
        <w:spacing w:line="360" w:lineRule="auto"/>
        <w:ind w:left="720"/>
        <w:jc w:val="center"/>
        <w:rPr>
          <w:rFonts w:ascii="Arial" w:hAnsi="Arial" w:cs="Arial"/>
          <w:b/>
          <w:bCs/>
          <w:u w:val="single"/>
        </w:rPr>
      </w:pPr>
      <w:bookmarkStart w:id="0" w:name="_Hlk210661381"/>
      <w:r w:rsidRPr="00D66C6F">
        <w:rPr>
          <w:rFonts w:ascii="Arial" w:hAnsi="Arial" w:cs="Arial"/>
          <w:b/>
          <w:bCs/>
          <w:u w:val="single"/>
        </w:rPr>
        <w:t>Title Page</w:t>
      </w:r>
    </w:p>
    <w:p w14:paraId="126EF215" w14:textId="2BC82D9F" w:rsidR="004C3E2B" w:rsidRPr="00D66C6F" w:rsidRDefault="004C3E2B" w:rsidP="004C3E2B">
      <w:pPr>
        <w:spacing w:line="360" w:lineRule="auto"/>
        <w:jc w:val="both"/>
        <w:rPr>
          <w:rFonts w:ascii="Arial" w:eastAsia="Times New Roman" w:hAnsi="Arial" w:cs="Arial"/>
          <w:b/>
          <w:bCs/>
          <w:lang w:eastAsia="en-GB"/>
        </w:rPr>
      </w:pPr>
    </w:p>
    <w:p w14:paraId="7ABA0F30" w14:textId="23F36E8F" w:rsidR="004C3E2B" w:rsidRPr="00D66C6F" w:rsidRDefault="004C3E2B" w:rsidP="004C3E2B">
      <w:pPr>
        <w:spacing w:line="360" w:lineRule="auto"/>
        <w:jc w:val="both"/>
        <w:rPr>
          <w:rFonts w:ascii="Arial" w:eastAsia="Times New Roman" w:hAnsi="Arial" w:cs="Arial"/>
          <w:b/>
          <w:bCs/>
          <w:lang w:eastAsia="en-GB"/>
        </w:rPr>
      </w:pPr>
      <w:r w:rsidRPr="00D66C6F">
        <w:rPr>
          <w:rFonts w:ascii="Arial" w:eastAsia="Times New Roman" w:hAnsi="Arial" w:cs="Arial"/>
          <w:b/>
          <w:bCs/>
          <w:lang w:eastAsia="en-GB"/>
        </w:rPr>
        <w:t>Programme: BA (Hons) Leadership a</w:t>
      </w:r>
      <w:r w:rsidR="006C7E39" w:rsidRPr="00D66C6F">
        <w:rPr>
          <w:rFonts w:ascii="Arial" w:eastAsia="Times New Roman" w:hAnsi="Arial" w:cs="Arial"/>
          <w:b/>
          <w:bCs/>
          <w:lang w:eastAsia="en-GB"/>
        </w:rPr>
        <w:t>nd</w:t>
      </w:r>
      <w:r w:rsidRPr="00D66C6F">
        <w:rPr>
          <w:rFonts w:ascii="Arial" w:eastAsia="Times New Roman" w:hAnsi="Arial" w:cs="Arial"/>
          <w:b/>
          <w:bCs/>
          <w:lang w:eastAsia="en-GB"/>
        </w:rPr>
        <w:t xml:space="preserve"> Management Skills for the Workplace</w:t>
      </w:r>
    </w:p>
    <w:p w14:paraId="723981FE" w14:textId="7317D5FA" w:rsidR="004C3E2B" w:rsidRPr="00D66C6F" w:rsidRDefault="004C3E2B" w:rsidP="004C3E2B">
      <w:pPr>
        <w:spacing w:line="360" w:lineRule="auto"/>
        <w:jc w:val="both"/>
        <w:rPr>
          <w:rFonts w:ascii="Arial" w:eastAsia="Times New Roman" w:hAnsi="Arial" w:cs="Arial"/>
          <w:b/>
          <w:bCs/>
          <w:lang w:eastAsia="en-GB"/>
        </w:rPr>
      </w:pPr>
      <w:r w:rsidRPr="00D66C6F">
        <w:rPr>
          <w:rFonts w:ascii="Arial" w:eastAsia="Times New Roman" w:hAnsi="Arial" w:cs="Arial"/>
          <w:b/>
          <w:bCs/>
          <w:lang w:eastAsia="en-GB"/>
        </w:rPr>
        <w:t>Module</w:t>
      </w:r>
      <w:r w:rsidR="006C7E39" w:rsidRPr="00D66C6F">
        <w:rPr>
          <w:rFonts w:ascii="Arial" w:eastAsia="Times New Roman" w:hAnsi="Arial" w:cs="Arial"/>
          <w:b/>
          <w:bCs/>
          <w:lang w:eastAsia="en-GB"/>
        </w:rPr>
        <w:t xml:space="preserve">: </w:t>
      </w:r>
      <w:r w:rsidRPr="00D66C6F">
        <w:rPr>
          <w:rFonts w:ascii="Arial" w:eastAsia="Times New Roman" w:hAnsi="Arial" w:cs="Arial"/>
          <w:b/>
          <w:bCs/>
          <w:lang w:eastAsia="en-GB"/>
        </w:rPr>
        <w:t>Developing &amp; Managing Individuals &amp; Teams</w:t>
      </w:r>
    </w:p>
    <w:p w14:paraId="4CB11544" w14:textId="5D768A5F" w:rsidR="004C3E2B" w:rsidRPr="00D66C6F" w:rsidRDefault="004C3E2B" w:rsidP="004C3E2B">
      <w:pPr>
        <w:spacing w:line="360" w:lineRule="auto"/>
        <w:jc w:val="both"/>
        <w:rPr>
          <w:rFonts w:ascii="Arial" w:eastAsia="Times New Roman" w:hAnsi="Arial" w:cs="Arial"/>
          <w:b/>
          <w:lang w:eastAsia="en-GB"/>
        </w:rPr>
      </w:pPr>
      <w:r w:rsidRPr="00D66C6F">
        <w:rPr>
          <w:rFonts w:ascii="Arial" w:hAnsi="Arial" w:cs="Arial"/>
          <w:b/>
          <w:bCs/>
        </w:rPr>
        <w:t xml:space="preserve">Module Code: </w:t>
      </w:r>
      <w:r w:rsidRPr="00D66C6F">
        <w:rPr>
          <w:rFonts w:ascii="Arial" w:eastAsia="Times New Roman" w:hAnsi="Arial" w:cs="Arial"/>
          <w:b/>
          <w:lang w:eastAsia="en-GB"/>
        </w:rPr>
        <w:t>LCLM5002</w:t>
      </w:r>
    </w:p>
    <w:p w14:paraId="6F000E30" w14:textId="4AECE244" w:rsidR="004C3E2B" w:rsidRPr="00D66C6F" w:rsidRDefault="004C3E2B" w:rsidP="004C3E2B">
      <w:pPr>
        <w:spacing w:line="360" w:lineRule="auto"/>
        <w:jc w:val="both"/>
        <w:rPr>
          <w:rFonts w:ascii="Arial" w:hAnsi="Arial" w:cs="Arial"/>
          <w:b/>
          <w:bCs/>
        </w:rPr>
      </w:pPr>
    </w:p>
    <w:p w14:paraId="59706647" w14:textId="55ECDA11" w:rsidR="00224A79" w:rsidRPr="00D66C6F" w:rsidRDefault="006C7E39" w:rsidP="004C3E2B">
      <w:pPr>
        <w:spacing w:line="360" w:lineRule="auto"/>
        <w:jc w:val="both"/>
        <w:rPr>
          <w:rFonts w:ascii="Arial" w:hAnsi="Arial" w:cs="Arial"/>
          <w:b/>
          <w:bCs/>
        </w:rPr>
      </w:pPr>
      <w:r w:rsidRPr="00D66C6F">
        <w:rPr>
          <w:rFonts w:ascii="Arial" w:hAnsi="Arial" w:cs="Arial"/>
          <w:b/>
          <w:bCs/>
        </w:rPr>
        <w:t>Component Two</w:t>
      </w:r>
      <w:r w:rsidR="00224A79" w:rsidRPr="00D66C6F">
        <w:rPr>
          <w:rFonts w:ascii="Arial" w:hAnsi="Arial" w:cs="Arial"/>
          <w:b/>
          <w:bCs/>
        </w:rPr>
        <w:t xml:space="preserve"> </w:t>
      </w:r>
      <w:r w:rsidR="004C3E2B" w:rsidRPr="00D66C6F">
        <w:rPr>
          <w:rFonts w:ascii="Arial" w:hAnsi="Arial" w:cs="Arial"/>
          <w:b/>
          <w:bCs/>
        </w:rPr>
        <w:t xml:space="preserve">Assignment Title: </w:t>
      </w:r>
    </w:p>
    <w:p w14:paraId="783ACF53" w14:textId="6840E034" w:rsidR="004C3E2B" w:rsidRPr="00D66C6F" w:rsidRDefault="004C3E2B" w:rsidP="004C3E2B">
      <w:pPr>
        <w:spacing w:line="360" w:lineRule="auto"/>
        <w:jc w:val="both"/>
        <w:rPr>
          <w:rFonts w:ascii="Arial" w:hAnsi="Arial" w:cs="Arial"/>
          <w:b/>
          <w:bCs/>
        </w:rPr>
      </w:pPr>
      <w:r w:rsidRPr="00D66C6F">
        <w:rPr>
          <w:rFonts w:ascii="Arial" w:hAnsi="Arial" w:cs="Arial"/>
          <w:b/>
          <w:bCs/>
        </w:rPr>
        <w:t>Individual Report</w:t>
      </w:r>
      <w:r w:rsidR="006C7E39" w:rsidRPr="00D66C6F">
        <w:rPr>
          <w:rFonts w:ascii="Arial" w:hAnsi="Arial" w:cs="Arial"/>
          <w:b/>
          <w:bCs/>
        </w:rPr>
        <w:t xml:space="preserve"> on: </w:t>
      </w:r>
      <w:r w:rsidRPr="00D66C6F">
        <w:rPr>
          <w:rFonts w:ascii="Arial" w:hAnsi="Arial" w:cs="Arial"/>
          <w:b/>
          <w:bCs/>
        </w:rPr>
        <w:t>HR Practitioner (Human Resources</w:t>
      </w:r>
      <w:r w:rsidR="003134AF" w:rsidRPr="00D66C6F">
        <w:rPr>
          <w:rFonts w:ascii="Arial" w:hAnsi="Arial" w:cs="Arial"/>
          <w:b/>
          <w:bCs/>
        </w:rPr>
        <w:t xml:space="preserve"> </w:t>
      </w:r>
      <w:r w:rsidR="003134AF" w:rsidRPr="00D66C6F">
        <w:rPr>
          <w:rFonts w:ascii="Arial" w:hAnsi="Arial" w:cs="Arial"/>
        </w:rPr>
        <w:t>-</w:t>
      </w:r>
      <w:r w:rsidR="003134AF" w:rsidRPr="00D66C6F">
        <w:rPr>
          <w:rFonts w:ascii="Arial" w:hAnsi="Arial" w:cs="Arial"/>
          <w:b/>
          <w:bCs/>
        </w:rPr>
        <w:t xml:space="preserve"> Porsche Cars GB Ltd</w:t>
      </w:r>
      <w:r w:rsidRPr="00D66C6F">
        <w:rPr>
          <w:rFonts w:ascii="Arial" w:hAnsi="Arial" w:cs="Arial"/>
          <w:b/>
          <w:bCs/>
        </w:rPr>
        <w:t>)</w:t>
      </w:r>
      <w:r w:rsidRPr="00D66C6F">
        <w:rPr>
          <w:rFonts w:ascii="Arial" w:hAnsi="Arial" w:cs="Arial"/>
          <w:noProof/>
          <w14:ligatures w14:val="standardContextual"/>
        </w:rPr>
        <w:t xml:space="preserve"> </w:t>
      </w:r>
    </w:p>
    <w:p w14:paraId="749BCBED" w14:textId="3FA0E6DB" w:rsidR="004C3E2B" w:rsidRPr="00D66C6F" w:rsidRDefault="004C3E2B" w:rsidP="00143F11">
      <w:pPr>
        <w:spacing w:line="360" w:lineRule="auto"/>
        <w:jc w:val="both"/>
        <w:rPr>
          <w:rFonts w:ascii="Arial" w:hAnsi="Arial" w:cs="Arial"/>
          <w:b/>
          <w:bCs/>
        </w:rPr>
      </w:pPr>
    </w:p>
    <w:p w14:paraId="452A5601" w14:textId="7309E496" w:rsidR="004C3E2B" w:rsidRPr="00D66C6F" w:rsidRDefault="004C3E2B" w:rsidP="00143F11">
      <w:pPr>
        <w:spacing w:line="360" w:lineRule="auto"/>
        <w:jc w:val="both"/>
        <w:rPr>
          <w:rFonts w:ascii="Arial" w:hAnsi="Arial" w:cs="Arial"/>
          <w:b/>
          <w:bCs/>
        </w:rPr>
      </w:pPr>
      <w:r w:rsidRPr="00D66C6F">
        <w:rPr>
          <w:rFonts w:ascii="Arial" w:hAnsi="Arial" w:cs="Arial"/>
          <w:b/>
          <w:bCs/>
        </w:rPr>
        <w:t xml:space="preserve">By: </w:t>
      </w:r>
      <w:r w:rsidR="00D115BF" w:rsidRPr="00D66C6F">
        <w:rPr>
          <w:rFonts w:ascii="Arial" w:hAnsi="Arial" w:cs="Arial"/>
          <w:b/>
          <w:bCs/>
        </w:rPr>
        <w:t>Ryan Rehman</w:t>
      </w:r>
      <w:r w:rsidRPr="00D66C6F">
        <w:rPr>
          <w:rFonts w:ascii="Arial" w:hAnsi="Arial" w:cs="Arial"/>
          <w:b/>
          <w:bCs/>
        </w:rPr>
        <w:t xml:space="preserve"> </w:t>
      </w:r>
    </w:p>
    <w:p w14:paraId="70878021" w14:textId="38EE3D0A" w:rsidR="00D115BF" w:rsidRPr="00D66C6F" w:rsidRDefault="004C3E2B" w:rsidP="00143F11">
      <w:pPr>
        <w:spacing w:line="360" w:lineRule="auto"/>
        <w:jc w:val="both"/>
        <w:rPr>
          <w:rFonts w:ascii="Arial" w:hAnsi="Arial" w:cs="Arial"/>
          <w:b/>
          <w:bCs/>
        </w:rPr>
      </w:pPr>
      <w:r w:rsidRPr="00D66C6F">
        <w:rPr>
          <w:rFonts w:ascii="Arial" w:hAnsi="Arial" w:cs="Arial"/>
          <w:b/>
          <w:bCs/>
        </w:rPr>
        <w:t xml:space="preserve">Student No. </w:t>
      </w:r>
      <w:r w:rsidR="00D115BF" w:rsidRPr="00D66C6F">
        <w:rPr>
          <w:rFonts w:ascii="Arial" w:hAnsi="Arial" w:cs="Arial"/>
          <w:b/>
          <w:bCs/>
        </w:rPr>
        <w:t>2309123</w:t>
      </w:r>
    </w:p>
    <w:p w14:paraId="1139E2DB" w14:textId="65EF13F8" w:rsidR="004C3E2B" w:rsidRPr="00D66C6F" w:rsidRDefault="004C3E2B" w:rsidP="00143F11">
      <w:pPr>
        <w:spacing w:line="360" w:lineRule="auto"/>
        <w:jc w:val="both"/>
        <w:rPr>
          <w:rFonts w:ascii="Arial" w:hAnsi="Arial" w:cs="Arial"/>
          <w:b/>
          <w:bCs/>
        </w:rPr>
      </w:pPr>
    </w:p>
    <w:p w14:paraId="0EED8815" w14:textId="573187F4" w:rsidR="00D115BF" w:rsidRPr="00D66C6F" w:rsidRDefault="00B74A3E" w:rsidP="00143F11">
      <w:pPr>
        <w:spacing w:line="360" w:lineRule="auto"/>
        <w:jc w:val="both"/>
        <w:rPr>
          <w:rFonts w:ascii="Arial" w:hAnsi="Arial" w:cs="Arial"/>
          <w:b/>
          <w:bCs/>
        </w:rPr>
      </w:pPr>
      <w:r w:rsidRPr="00D66C6F">
        <w:rPr>
          <w:rFonts w:ascii="Arial" w:hAnsi="Arial" w:cs="Arial"/>
          <w:b/>
          <w:bCs/>
          <w:noProof/>
          <w14:ligatures w14:val="standardContextual"/>
        </w:rPr>
        <mc:AlternateContent>
          <mc:Choice Requires="am3d">
            <w:drawing>
              <wp:anchor distT="0" distB="0" distL="114300" distR="114300" simplePos="0" relativeHeight="251668480" behindDoc="0" locked="0" layoutInCell="1" allowOverlap="1" wp14:anchorId="001D2D16" wp14:editId="6F5C28D4">
                <wp:simplePos x="0" y="0"/>
                <wp:positionH relativeFrom="margin">
                  <wp:posOffset>664359</wp:posOffset>
                </wp:positionH>
                <wp:positionV relativeFrom="paragraph">
                  <wp:posOffset>11263</wp:posOffset>
                </wp:positionV>
                <wp:extent cx="6004676" cy="4767581"/>
                <wp:effectExtent l="0" t="0" r="0" b="0"/>
                <wp:wrapNone/>
                <wp:docPr id="561269739" name="3D Model 1" descr="C7 tuner car yellow"/>
                <wp:cNvGraphicFramePr>
                  <a:graphicFrameLocks xmlns:a="http://schemas.openxmlformats.org/drawingml/2006/main" noChangeAspect="1"/>
                </wp:cNvGraphicFramePr>
                <a:graphic xmlns:a="http://schemas.openxmlformats.org/drawingml/2006/main">
                  <a:graphicData uri="http://schemas.microsoft.com/office/drawing/2017/model3d">
                    <am3d:model3d r:embed="rId8">
                      <am3d:spPr>
                        <a:xfrm>
                          <a:off x="0" y="0"/>
                          <a:ext cx="6004676" cy="4767581"/>
                        </a:xfrm>
                        <a:prstGeom prst="rect">
                          <a:avLst/>
                        </a:prstGeom>
                      </am3d:spPr>
                      <am3d:camera>
                        <am3d:pos x="0" y="0" z="54583236"/>
                        <am3d:up dx="0" dy="36000000" dz="0"/>
                        <am3d:lookAt x="0" y="0" z="0"/>
                        <am3d:perspective fov="2700000"/>
                      </am3d:camera>
                      <am3d:trans>
                        <am3d:meterPerModelUnit n="28442452" d="1000000"/>
                        <am3d:preTrans dx="0" dy="-1694585" dz="-548501"/>
                        <am3d:scale>
                          <am3d:sx n="1000000" d="1000000"/>
                          <am3d:sy n="1000000" d="1000000"/>
                          <am3d:sz n="1000000" d="1000000"/>
                        </am3d:scale>
                        <am3d:rot ax="710971" ay="-752903" az="-156597"/>
                        <am3d:postTrans dx="0" dy="0" dz="0"/>
                      </am3d:trans>
                      <am3d:raster rName="Office3DRenderer" rVer="16.0.8326">
                        <am3d:blip r:embed="rId9"/>
                      </am3d:raster>
                      <am3d:objViewport viewportSz="9810937"/>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8480" behindDoc="0" locked="0" layoutInCell="1" allowOverlap="1" wp14:anchorId="001D2D16" wp14:editId="6F5C28D4">
                <wp:simplePos x="0" y="0"/>
                <wp:positionH relativeFrom="margin">
                  <wp:posOffset>664359</wp:posOffset>
                </wp:positionH>
                <wp:positionV relativeFrom="paragraph">
                  <wp:posOffset>11263</wp:posOffset>
                </wp:positionV>
                <wp:extent cx="6004676" cy="4767581"/>
                <wp:effectExtent l="0" t="0" r="0" b="0"/>
                <wp:wrapNone/>
                <wp:docPr id="561269739" name="3D Model 1" descr="C7 tuner car yellow"/>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61269739" name="3D Model 1" descr="C7 tuner car yellow"/>
                        <pic:cNvPicPr>
                          <a:picLocks noGrp="1" noRot="1" noChangeAspect="1" noMove="1" noResize="1" noEditPoints="1" noAdjustHandles="1" noChangeArrowheads="1" noChangeShapeType="1" noCrop="1"/>
                        </pic:cNvPicPr>
                      </pic:nvPicPr>
                      <pic:blipFill>
                        <a:blip r:embed="rId9"/>
                        <a:stretch>
                          <a:fillRect/>
                        </a:stretch>
                      </pic:blipFill>
                      <pic:spPr>
                        <a:xfrm>
                          <a:off x="0" y="0"/>
                          <a:ext cx="6004560" cy="47675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C3E2B" w:rsidRPr="00D66C6F">
        <w:rPr>
          <w:rFonts w:ascii="Arial" w:hAnsi="Arial" w:cs="Arial"/>
          <w:b/>
          <w:bCs/>
        </w:rPr>
        <w:t xml:space="preserve">Lecturer: </w:t>
      </w:r>
      <w:r w:rsidR="00D115BF" w:rsidRPr="00D66C6F">
        <w:rPr>
          <w:rFonts w:ascii="Arial" w:hAnsi="Arial" w:cs="Arial"/>
          <w:b/>
          <w:bCs/>
        </w:rPr>
        <w:t>Samson Oladejo</w:t>
      </w:r>
    </w:p>
    <w:p w14:paraId="570A84D3" w14:textId="221F2AF7" w:rsidR="00D115BF" w:rsidRPr="00D66C6F" w:rsidRDefault="00D115BF" w:rsidP="004C3E2B">
      <w:pPr>
        <w:spacing w:line="360" w:lineRule="auto"/>
        <w:jc w:val="both"/>
        <w:rPr>
          <w:rFonts w:ascii="Arial" w:hAnsi="Arial" w:cs="Arial"/>
          <w:b/>
          <w:bCs/>
        </w:rPr>
      </w:pPr>
    </w:p>
    <w:p w14:paraId="50D72E38" w14:textId="461315C3" w:rsidR="00D115BF" w:rsidRPr="00D66C6F" w:rsidRDefault="004C3E2B" w:rsidP="00143F11">
      <w:pPr>
        <w:spacing w:line="360" w:lineRule="auto"/>
        <w:jc w:val="both"/>
        <w:rPr>
          <w:rFonts w:ascii="Arial" w:hAnsi="Arial" w:cs="Arial"/>
          <w:b/>
          <w:bCs/>
        </w:rPr>
      </w:pPr>
      <w:r w:rsidRPr="00D66C6F">
        <w:rPr>
          <w:rFonts w:ascii="Arial" w:hAnsi="Arial" w:cs="Arial"/>
          <w:b/>
          <w:bCs/>
        </w:rPr>
        <w:t xml:space="preserve">Submission Deadline: </w:t>
      </w:r>
      <w:r w:rsidR="00D115BF" w:rsidRPr="00D66C6F">
        <w:rPr>
          <w:rFonts w:ascii="Arial" w:hAnsi="Arial" w:cs="Arial"/>
          <w:b/>
          <w:bCs/>
        </w:rPr>
        <w:t>20/07/2026</w:t>
      </w:r>
    </w:p>
    <w:p w14:paraId="7A2BD3E5" w14:textId="7EDBF421" w:rsidR="00B74A3E" w:rsidRPr="00D66C6F" w:rsidRDefault="00B74A3E" w:rsidP="00143F11">
      <w:pPr>
        <w:spacing w:line="360" w:lineRule="auto"/>
        <w:jc w:val="both"/>
        <w:rPr>
          <w:rFonts w:ascii="Arial" w:hAnsi="Arial" w:cs="Arial"/>
          <w:b/>
          <w:bCs/>
        </w:rPr>
      </w:pPr>
    </w:p>
    <w:p w14:paraId="646D045E" w14:textId="1E246E22" w:rsidR="00A959BE" w:rsidRPr="00D66C6F" w:rsidRDefault="00A959BE" w:rsidP="00A93DB8">
      <w:pPr>
        <w:spacing w:line="360" w:lineRule="auto"/>
        <w:ind w:left="720"/>
        <w:jc w:val="both"/>
        <w:rPr>
          <w:rFonts w:ascii="Arial" w:hAnsi="Arial" w:cs="Arial"/>
          <w:b/>
          <w:bCs/>
        </w:rPr>
      </w:pPr>
    </w:p>
    <w:p w14:paraId="49A7BD0A" w14:textId="1CD5FFB0" w:rsidR="00A959BE" w:rsidRPr="00D66C6F" w:rsidRDefault="00A959BE" w:rsidP="00A93DB8">
      <w:pPr>
        <w:spacing w:line="360" w:lineRule="auto"/>
        <w:ind w:left="720"/>
        <w:jc w:val="both"/>
        <w:rPr>
          <w:rFonts w:ascii="Arial" w:hAnsi="Arial" w:cs="Arial"/>
          <w:b/>
          <w:bCs/>
        </w:rPr>
      </w:pPr>
    </w:p>
    <w:p w14:paraId="41BE8B7D" w14:textId="656E764A" w:rsidR="00A959BE" w:rsidRPr="00D66C6F" w:rsidRDefault="00A959BE" w:rsidP="00A93DB8">
      <w:pPr>
        <w:spacing w:line="360" w:lineRule="auto"/>
        <w:ind w:left="720"/>
        <w:jc w:val="both"/>
        <w:rPr>
          <w:rFonts w:ascii="Arial" w:hAnsi="Arial" w:cs="Arial"/>
          <w:b/>
          <w:bCs/>
        </w:rPr>
      </w:pPr>
    </w:p>
    <w:p w14:paraId="23C5857F" w14:textId="2963EECF" w:rsidR="00A959BE" w:rsidRPr="00D66C6F" w:rsidRDefault="00A959BE" w:rsidP="00A93DB8">
      <w:pPr>
        <w:spacing w:line="360" w:lineRule="auto"/>
        <w:ind w:left="720"/>
        <w:jc w:val="both"/>
        <w:rPr>
          <w:rFonts w:ascii="Arial" w:hAnsi="Arial" w:cs="Arial"/>
          <w:b/>
          <w:bCs/>
        </w:rPr>
      </w:pPr>
    </w:p>
    <w:p w14:paraId="51FE1A53" w14:textId="0FB74D56" w:rsidR="00A959BE" w:rsidRPr="00D66C6F" w:rsidRDefault="00A959BE" w:rsidP="00A93DB8">
      <w:pPr>
        <w:spacing w:line="360" w:lineRule="auto"/>
        <w:ind w:left="720"/>
        <w:jc w:val="both"/>
        <w:rPr>
          <w:rFonts w:ascii="Arial" w:hAnsi="Arial" w:cs="Arial"/>
          <w:b/>
          <w:bCs/>
        </w:rPr>
      </w:pPr>
    </w:p>
    <w:p w14:paraId="145FCBC6" w14:textId="136DB535" w:rsidR="00A959BE" w:rsidRPr="00D66C6F" w:rsidRDefault="00A959BE" w:rsidP="00A93DB8">
      <w:pPr>
        <w:spacing w:line="360" w:lineRule="auto"/>
        <w:ind w:left="720"/>
        <w:jc w:val="both"/>
        <w:rPr>
          <w:rFonts w:ascii="Arial" w:hAnsi="Arial" w:cs="Arial"/>
          <w:b/>
          <w:bCs/>
        </w:rPr>
      </w:pPr>
    </w:p>
    <w:p w14:paraId="74A9DFAB" w14:textId="7FB2A3E2" w:rsidR="00A959BE" w:rsidRPr="00D66C6F" w:rsidRDefault="00A959BE" w:rsidP="00A93DB8">
      <w:pPr>
        <w:spacing w:line="360" w:lineRule="auto"/>
        <w:ind w:left="720"/>
        <w:jc w:val="both"/>
        <w:rPr>
          <w:rFonts w:ascii="Arial" w:hAnsi="Arial" w:cs="Arial"/>
          <w:b/>
          <w:bCs/>
        </w:rPr>
      </w:pPr>
    </w:p>
    <w:p w14:paraId="17AAFB7D" w14:textId="77777777" w:rsidR="00A959BE" w:rsidRPr="00D66C6F" w:rsidRDefault="00A959BE" w:rsidP="00A93DB8">
      <w:pPr>
        <w:spacing w:line="360" w:lineRule="auto"/>
        <w:ind w:left="720"/>
        <w:jc w:val="both"/>
        <w:rPr>
          <w:rFonts w:ascii="Arial" w:hAnsi="Arial" w:cs="Arial"/>
          <w:b/>
          <w:bCs/>
        </w:rPr>
      </w:pPr>
    </w:p>
    <w:p w14:paraId="37506A0F" w14:textId="77777777" w:rsidR="00A959BE" w:rsidRPr="00D66C6F" w:rsidRDefault="00A959BE" w:rsidP="00A93DB8">
      <w:pPr>
        <w:spacing w:line="360" w:lineRule="auto"/>
        <w:ind w:left="720"/>
        <w:jc w:val="both"/>
        <w:rPr>
          <w:rFonts w:ascii="Arial" w:hAnsi="Arial" w:cs="Arial"/>
          <w:b/>
          <w:bCs/>
        </w:rPr>
      </w:pPr>
    </w:p>
    <w:p w14:paraId="545F11F2" w14:textId="77777777" w:rsidR="00B74A3E" w:rsidRPr="00D66C6F" w:rsidRDefault="00B74A3E" w:rsidP="00A93DB8">
      <w:pPr>
        <w:spacing w:line="360" w:lineRule="auto"/>
        <w:ind w:left="720"/>
        <w:jc w:val="both"/>
        <w:rPr>
          <w:rFonts w:ascii="Arial" w:hAnsi="Arial" w:cs="Arial"/>
          <w:b/>
          <w:bCs/>
        </w:rPr>
      </w:pPr>
    </w:p>
    <w:p w14:paraId="1F9544C4" w14:textId="378BB3FC" w:rsidR="00A959BE" w:rsidRPr="00D66C6F" w:rsidRDefault="00D115BF" w:rsidP="00971BF5">
      <w:pPr>
        <w:spacing w:line="360" w:lineRule="auto"/>
        <w:ind w:left="720"/>
        <w:jc w:val="center"/>
        <w:rPr>
          <w:rFonts w:ascii="Arial" w:hAnsi="Arial" w:cs="Arial"/>
          <w:b/>
          <w:bCs/>
          <w:u w:val="single"/>
        </w:rPr>
      </w:pPr>
      <w:r w:rsidRPr="00D66C6F">
        <w:rPr>
          <w:rFonts w:ascii="Arial" w:hAnsi="Arial" w:cs="Arial"/>
          <w:b/>
          <w:bCs/>
          <w:u w:val="single"/>
        </w:rPr>
        <w:t>Contents Page</w:t>
      </w:r>
    </w:p>
    <w:p w14:paraId="6E1C285E" w14:textId="0D22FE93" w:rsidR="00A959BE" w:rsidRPr="00D66C6F" w:rsidRDefault="00A93DB8" w:rsidP="00A93DB8">
      <w:pPr>
        <w:spacing w:line="360" w:lineRule="auto"/>
        <w:jc w:val="both"/>
        <w:rPr>
          <w:rFonts w:ascii="Arial" w:hAnsi="Arial" w:cs="Arial"/>
          <w:b/>
          <w:bCs/>
        </w:rPr>
      </w:pPr>
      <w:r w:rsidRPr="00D66C6F">
        <w:rPr>
          <w:rFonts w:ascii="Arial" w:hAnsi="Arial" w:cs="Arial"/>
          <w:b/>
          <w:bCs/>
        </w:rPr>
        <w:t xml:space="preserve">P1 - </w:t>
      </w:r>
      <w:r w:rsidRPr="00D66C6F">
        <w:rPr>
          <w:rFonts w:ascii="Arial" w:hAnsi="Arial" w:cs="Arial"/>
          <w:b/>
          <w:bCs/>
        </w:rPr>
        <w:tab/>
        <w:t>Title Page</w:t>
      </w:r>
    </w:p>
    <w:p w14:paraId="277E50B0" w14:textId="501E23C4" w:rsidR="00A93DB8" w:rsidRPr="00D66C6F" w:rsidRDefault="00A93DB8" w:rsidP="00A93DB8">
      <w:pPr>
        <w:spacing w:line="360" w:lineRule="auto"/>
        <w:jc w:val="both"/>
        <w:rPr>
          <w:rFonts w:ascii="Arial" w:hAnsi="Arial" w:cs="Arial"/>
          <w:b/>
          <w:bCs/>
        </w:rPr>
      </w:pPr>
      <w:r w:rsidRPr="00D66C6F">
        <w:rPr>
          <w:rFonts w:ascii="Arial" w:hAnsi="Arial" w:cs="Arial"/>
          <w:b/>
          <w:bCs/>
        </w:rPr>
        <w:lastRenderedPageBreak/>
        <w:t xml:space="preserve">P2 - </w:t>
      </w:r>
      <w:r w:rsidRPr="00D66C6F">
        <w:rPr>
          <w:rFonts w:ascii="Arial" w:hAnsi="Arial" w:cs="Arial"/>
          <w:b/>
          <w:bCs/>
        </w:rPr>
        <w:tab/>
        <w:t>Contents Page</w:t>
      </w:r>
    </w:p>
    <w:p w14:paraId="662EAD76" w14:textId="3171D7B1" w:rsidR="00A93DB8" w:rsidRPr="00D66C6F" w:rsidRDefault="00A93DB8" w:rsidP="00A93DB8">
      <w:pPr>
        <w:spacing w:line="360" w:lineRule="auto"/>
        <w:jc w:val="both"/>
        <w:rPr>
          <w:rFonts w:ascii="Arial" w:hAnsi="Arial" w:cs="Arial"/>
          <w:b/>
          <w:bCs/>
        </w:rPr>
      </w:pPr>
      <w:r w:rsidRPr="00D66C6F">
        <w:rPr>
          <w:rFonts w:ascii="Arial" w:hAnsi="Arial" w:cs="Arial"/>
          <w:b/>
          <w:bCs/>
        </w:rPr>
        <w:t xml:space="preserve">P3 - </w:t>
      </w:r>
      <w:r w:rsidRPr="00D66C6F">
        <w:rPr>
          <w:rFonts w:ascii="Arial" w:hAnsi="Arial" w:cs="Arial"/>
          <w:b/>
          <w:bCs/>
        </w:rPr>
        <w:tab/>
        <w:t xml:space="preserve">Individual Report </w:t>
      </w:r>
      <w:r w:rsidR="00143F11" w:rsidRPr="00D66C6F">
        <w:rPr>
          <w:rFonts w:ascii="Arial" w:hAnsi="Arial" w:cs="Arial"/>
          <w:b/>
          <w:bCs/>
        </w:rPr>
        <w:t>:</w:t>
      </w:r>
      <w:r w:rsidRPr="00D66C6F">
        <w:rPr>
          <w:rFonts w:ascii="Arial" w:hAnsi="Arial" w:cs="Arial"/>
          <w:b/>
          <w:bCs/>
        </w:rPr>
        <w:t xml:space="preserve"> Human Resources </w:t>
      </w:r>
      <w:r w:rsidR="00143F11" w:rsidRPr="00D66C6F">
        <w:rPr>
          <w:rFonts w:ascii="Arial" w:hAnsi="Arial" w:cs="Arial"/>
          <w:b/>
          <w:bCs/>
        </w:rPr>
        <w:t>Practitioner</w:t>
      </w:r>
    </w:p>
    <w:p w14:paraId="225C58A6" w14:textId="643B39FD" w:rsidR="00A93DB8" w:rsidRPr="00D66C6F" w:rsidRDefault="00A93DB8" w:rsidP="00A93DB8">
      <w:pPr>
        <w:spacing w:line="360" w:lineRule="auto"/>
        <w:jc w:val="both"/>
        <w:rPr>
          <w:rFonts w:ascii="Arial" w:hAnsi="Arial" w:cs="Arial"/>
          <w:b/>
          <w:bCs/>
        </w:rPr>
      </w:pPr>
      <w:r w:rsidRPr="00D66C6F">
        <w:rPr>
          <w:rFonts w:ascii="Arial" w:hAnsi="Arial" w:cs="Arial"/>
          <w:b/>
          <w:bCs/>
        </w:rPr>
        <w:tab/>
        <w:t>Introduction</w:t>
      </w:r>
    </w:p>
    <w:p w14:paraId="048CEB84" w14:textId="388EE84C" w:rsidR="00A93DB8" w:rsidRPr="00D66C6F" w:rsidRDefault="00A93DB8" w:rsidP="00A93DB8">
      <w:pPr>
        <w:spacing w:line="360" w:lineRule="auto"/>
        <w:jc w:val="both"/>
        <w:rPr>
          <w:rFonts w:ascii="Arial" w:hAnsi="Arial" w:cs="Arial"/>
          <w:b/>
          <w:bCs/>
        </w:rPr>
      </w:pPr>
      <w:r w:rsidRPr="00D66C6F">
        <w:rPr>
          <w:rFonts w:ascii="Arial" w:hAnsi="Arial" w:cs="Arial"/>
          <w:b/>
          <w:bCs/>
        </w:rPr>
        <w:tab/>
        <w:t>Contemporary HR Challenges</w:t>
      </w:r>
    </w:p>
    <w:p w14:paraId="0E87722B" w14:textId="2507B505" w:rsidR="00A93DB8" w:rsidRPr="00D66C6F" w:rsidRDefault="00A93DB8" w:rsidP="00A93DB8">
      <w:pPr>
        <w:spacing w:line="360" w:lineRule="auto"/>
        <w:jc w:val="both"/>
        <w:rPr>
          <w:rFonts w:ascii="Arial" w:hAnsi="Arial" w:cs="Arial"/>
          <w:b/>
          <w:bCs/>
        </w:rPr>
      </w:pPr>
      <w:r w:rsidRPr="00D66C6F">
        <w:rPr>
          <w:rFonts w:ascii="Arial" w:hAnsi="Arial" w:cs="Arial"/>
          <w:b/>
          <w:bCs/>
        </w:rPr>
        <w:tab/>
        <w:t>Adapting to Technological Advancements</w:t>
      </w:r>
    </w:p>
    <w:p w14:paraId="2111C782" w14:textId="15DF1A65" w:rsidR="00A93DB8" w:rsidRPr="00D66C6F" w:rsidRDefault="00A93DB8" w:rsidP="00A93DB8">
      <w:pPr>
        <w:spacing w:line="360" w:lineRule="auto"/>
        <w:jc w:val="both"/>
        <w:rPr>
          <w:rFonts w:ascii="Arial" w:hAnsi="Arial" w:cs="Arial"/>
          <w:b/>
          <w:bCs/>
        </w:rPr>
      </w:pPr>
      <w:r w:rsidRPr="00D66C6F">
        <w:rPr>
          <w:rFonts w:ascii="Arial" w:hAnsi="Arial" w:cs="Arial"/>
          <w:b/>
          <w:bCs/>
        </w:rPr>
        <w:t xml:space="preserve">P4 - </w:t>
      </w:r>
      <w:r w:rsidRPr="00D66C6F">
        <w:rPr>
          <w:rFonts w:ascii="Arial" w:hAnsi="Arial" w:cs="Arial"/>
          <w:b/>
          <w:bCs/>
        </w:rPr>
        <w:tab/>
        <w:t>Talent Acquisition and Retention</w:t>
      </w:r>
    </w:p>
    <w:p w14:paraId="0690BF2A" w14:textId="7AF3BA4D" w:rsidR="00A93DB8" w:rsidRPr="00D66C6F" w:rsidRDefault="00A93DB8" w:rsidP="00A93DB8">
      <w:pPr>
        <w:spacing w:line="360" w:lineRule="auto"/>
        <w:jc w:val="both"/>
        <w:rPr>
          <w:rFonts w:ascii="Arial" w:hAnsi="Arial" w:cs="Arial"/>
          <w:b/>
          <w:bCs/>
        </w:rPr>
      </w:pPr>
      <w:r w:rsidRPr="00D66C6F">
        <w:rPr>
          <w:rFonts w:ascii="Arial" w:hAnsi="Arial" w:cs="Arial"/>
          <w:b/>
          <w:bCs/>
        </w:rPr>
        <w:t xml:space="preserve">P5 - </w:t>
      </w:r>
      <w:r w:rsidRPr="00D66C6F">
        <w:rPr>
          <w:rFonts w:ascii="Arial" w:hAnsi="Arial" w:cs="Arial"/>
          <w:b/>
          <w:bCs/>
        </w:rPr>
        <w:tab/>
        <w:t>Diversity, Equity and Inclusion (DEI)</w:t>
      </w:r>
      <w:r w:rsidRPr="00D66C6F">
        <w:rPr>
          <w:rFonts w:ascii="Arial" w:hAnsi="Arial" w:cs="Arial"/>
          <w:b/>
          <w:bCs/>
        </w:rPr>
        <w:tab/>
      </w:r>
    </w:p>
    <w:p w14:paraId="1BA71B9E" w14:textId="2D113ED0" w:rsidR="00A93DB8" w:rsidRPr="00D66C6F" w:rsidRDefault="00A93DB8" w:rsidP="00A93DB8">
      <w:pPr>
        <w:spacing w:line="360" w:lineRule="auto"/>
        <w:ind w:firstLine="720"/>
        <w:jc w:val="both"/>
        <w:rPr>
          <w:rFonts w:ascii="Arial" w:hAnsi="Arial" w:cs="Arial"/>
          <w:b/>
          <w:bCs/>
        </w:rPr>
      </w:pPr>
      <w:r w:rsidRPr="00D66C6F">
        <w:rPr>
          <w:rFonts w:ascii="Arial" w:hAnsi="Arial" w:cs="Arial"/>
          <w:b/>
          <w:bCs/>
        </w:rPr>
        <w:t>Evaluation of Contemporary HR Practices</w:t>
      </w:r>
    </w:p>
    <w:p w14:paraId="444212F2" w14:textId="1DB27007" w:rsidR="00A93DB8" w:rsidRPr="00D66C6F" w:rsidRDefault="00A93DB8" w:rsidP="00A93DB8">
      <w:pPr>
        <w:spacing w:line="360" w:lineRule="auto"/>
        <w:ind w:firstLine="720"/>
        <w:jc w:val="both"/>
        <w:rPr>
          <w:rFonts w:ascii="Arial" w:hAnsi="Arial" w:cs="Arial"/>
          <w:b/>
          <w:bCs/>
        </w:rPr>
      </w:pPr>
      <w:r w:rsidRPr="00D66C6F">
        <w:rPr>
          <w:rFonts w:ascii="Arial" w:hAnsi="Arial" w:cs="Arial"/>
          <w:b/>
          <w:bCs/>
        </w:rPr>
        <w:t>Digital HR Systems and Workforce Analytics</w:t>
      </w:r>
    </w:p>
    <w:p w14:paraId="2BEB28B8" w14:textId="518C2631" w:rsidR="00A93DB8" w:rsidRPr="00D66C6F" w:rsidRDefault="00A93DB8" w:rsidP="00A93DB8">
      <w:pPr>
        <w:spacing w:line="360" w:lineRule="auto"/>
        <w:ind w:left="720"/>
        <w:jc w:val="both"/>
        <w:rPr>
          <w:rFonts w:ascii="Arial" w:hAnsi="Arial" w:cs="Arial"/>
          <w:b/>
          <w:bCs/>
        </w:rPr>
      </w:pPr>
      <w:r w:rsidRPr="00D66C6F">
        <w:rPr>
          <w:rFonts w:ascii="Arial" w:hAnsi="Arial" w:cs="Arial"/>
          <w:b/>
          <w:bCs/>
        </w:rPr>
        <w:t>Strategic Talent Management and Employer Branding</w:t>
      </w:r>
    </w:p>
    <w:p w14:paraId="1832D144" w14:textId="46998BC9" w:rsidR="00A93DB8" w:rsidRPr="00D66C6F" w:rsidRDefault="00D66C6F" w:rsidP="00A93DB8">
      <w:pPr>
        <w:spacing w:line="360" w:lineRule="auto"/>
        <w:jc w:val="both"/>
        <w:rPr>
          <w:rFonts w:ascii="Arial" w:hAnsi="Arial" w:cs="Arial"/>
          <w:b/>
          <w:bCs/>
        </w:rPr>
      </w:pPr>
      <w:r w:rsidRPr="00D66C6F">
        <w:rPr>
          <w:rFonts w:ascii="Arial" w:hAnsi="Arial" w:cs="Arial"/>
          <w:b/>
          <w:bCs/>
          <w:noProof/>
          <w14:ligatures w14:val="standardContextual"/>
        </w:rPr>
        <mc:AlternateContent>
          <mc:Choice Requires="am3d">
            <w:drawing>
              <wp:anchor distT="0" distB="0" distL="114300" distR="114300" simplePos="0" relativeHeight="251670528" behindDoc="0" locked="0" layoutInCell="1" allowOverlap="1" wp14:anchorId="7A80BA5A" wp14:editId="34893470">
                <wp:simplePos x="0" y="0"/>
                <wp:positionH relativeFrom="margin">
                  <wp:posOffset>-329979</wp:posOffset>
                </wp:positionH>
                <wp:positionV relativeFrom="paragraph">
                  <wp:posOffset>370923</wp:posOffset>
                </wp:positionV>
                <wp:extent cx="7301230" cy="5796501"/>
                <wp:effectExtent l="0" t="0" r="0" b="0"/>
                <wp:wrapNone/>
                <wp:docPr id="887400489" name="3D Model 4" descr="Flying saucer"/>
                <wp:cNvGraphicFramePr>
                  <a:graphicFrameLocks xmlns:a="http://schemas.openxmlformats.org/drawingml/2006/main" noChangeAspect="1"/>
                </wp:cNvGraphicFramePr>
                <a:graphic xmlns:a="http://schemas.openxmlformats.org/drawingml/2006/main">
                  <a:graphicData uri="http://schemas.microsoft.com/office/drawing/2017/model3d">
                    <am3d:model3d r:embed="rId10">
                      <am3d:spPr>
                        <a:xfrm>
                          <a:off x="0" y="0"/>
                          <a:ext cx="7301230" cy="5796501"/>
                        </a:xfrm>
                        <a:prstGeom prst="rect">
                          <a:avLst/>
                        </a:prstGeom>
                      </am3d:spPr>
                      <am3d:camera>
                        <am3d:pos x="0" y="0" z="65191403"/>
                        <am3d:up dx="0" dy="36000000" dz="0"/>
                        <am3d:lookAt x="0" y="0" z="0"/>
                        <am3d:perspective fov="2700000"/>
                      </am3d:camera>
                      <am3d:trans>
                        <am3d:meterPerModelUnit n="586920" d="1000000"/>
                        <am3d:preTrans dx="191747" dy="-9077168" dz="2953861"/>
                        <am3d:scale>
                          <am3d:sx n="1000000" d="1000000"/>
                          <am3d:sy n="1000000" d="1000000"/>
                          <am3d:sz n="1000000" d="1000000"/>
                        </am3d:scale>
                        <am3d:rot ax="1480358" ay="-2420443" az="-993610"/>
                        <am3d:postTrans dx="0" dy="0" dz="0"/>
                      </am3d:trans>
                      <am3d:raster rName="Office3DRenderer" rVer="16.0.8326">
                        <am3d:blip r:embed="rId11"/>
                      </am3d:raster>
                      <am3d:extLst>
                        <a:ext uri="{9A65AA19-BECB-4387-8358-8AD5134E1D82}">
                          <a3danim:embedAnim xmlns:a3danim="http://schemas.microsoft.com/office/drawing/2018/animation/model3d" animId="0">
                            <a3danim:animPr length="4133" count="indefinite"/>
                          </a3danim:embedAnim>
                        </a:ext>
                        <a:ext uri="{E9DE012E-A134-456F-84FE-255F9AAD75C6}">
                          <a3danim:posterFrame xmlns:a3danim="http://schemas.microsoft.com/office/drawing/2018/animation/model3d" animId="0"/>
                        </a:ext>
                      </am3d:extLst>
                      <am3d:objViewport viewportSz="697459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0528" behindDoc="0" locked="0" layoutInCell="1" allowOverlap="1" wp14:anchorId="7A80BA5A" wp14:editId="34893470">
                <wp:simplePos x="0" y="0"/>
                <wp:positionH relativeFrom="margin">
                  <wp:posOffset>-329979</wp:posOffset>
                </wp:positionH>
                <wp:positionV relativeFrom="paragraph">
                  <wp:posOffset>370923</wp:posOffset>
                </wp:positionV>
                <wp:extent cx="7301230" cy="5796501"/>
                <wp:effectExtent l="0" t="0" r="0" b="0"/>
                <wp:wrapNone/>
                <wp:docPr id="887400489" name="3D Model 4" descr="Flying sauce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87400489" name="3D Model 4" descr="Flying saucer"/>
                        <pic:cNvPicPr>
                          <a:picLocks noGrp="1" noRot="1" noChangeAspect="1" noMove="1" noResize="1" noEditPoints="1" noAdjustHandles="1" noChangeArrowheads="1" noChangeShapeType="1" noCrop="1"/>
                        </pic:cNvPicPr>
                      </pic:nvPicPr>
                      <pic:blipFill>
                        <a:blip r:embed="rId11"/>
                        <a:stretch>
                          <a:fillRect/>
                        </a:stretch>
                      </pic:blipFill>
                      <pic:spPr>
                        <a:xfrm>
                          <a:off x="0" y="0"/>
                          <a:ext cx="7301230" cy="57962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A93DB8" w:rsidRPr="00D66C6F">
        <w:rPr>
          <w:rFonts w:ascii="Arial" w:hAnsi="Arial" w:cs="Arial"/>
          <w:b/>
          <w:bCs/>
        </w:rPr>
        <w:t xml:space="preserve">P6 - </w:t>
      </w:r>
      <w:r w:rsidR="00A93DB8" w:rsidRPr="00D66C6F">
        <w:rPr>
          <w:rFonts w:ascii="Arial" w:hAnsi="Arial" w:cs="Arial"/>
          <w:b/>
          <w:bCs/>
        </w:rPr>
        <w:tab/>
        <w:t>Inclusive Leadership and Diversity, Equity and Inclusion Practices</w:t>
      </w:r>
    </w:p>
    <w:p w14:paraId="0D62559B" w14:textId="6F06C374" w:rsidR="00A93DB8" w:rsidRPr="00D66C6F" w:rsidRDefault="00A93DB8" w:rsidP="00A93DB8">
      <w:pPr>
        <w:spacing w:line="360" w:lineRule="auto"/>
        <w:jc w:val="both"/>
        <w:rPr>
          <w:rFonts w:ascii="Arial" w:hAnsi="Arial" w:cs="Arial"/>
          <w:b/>
          <w:bCs/>
        </w:rPr>
      </w:pPr>
      <w:r w:rsidRPr="00D66C6F">
        <w:rPr>
          <w:rFonts w:ascii="Arial" w:hAnsi="Arial" w:cs="Arial"/>
          <w:b/>
          <w:bCs/>
        </w:rPr>
        <w:t>P7 -</w:t>
      </w:r>
      <w:r w:rsidRPr="00D66C6F">
        <w:rPr>
          <w:rFonts w:ascii="Arial" w:hAnsi="Arial" w:cs="Arial"/>
          <w:b/>
          <w:bCs/>
        </w:rPr>
        <w:tab/>
        <w:t>References</w:t>
      </w:r>
    </w:p>
    <w:p w14:paraId="0E883811" w14:textId="0DE63BE7" w:rsidR="00A959BE" w:rsidRPr="00D66C6F" w:rsidRDefault="00A959BE" w:rsidP="00A93DB8">
      <w:pPr>
        <w:spacing w:line="360" w:lineRule="auto"/>
        <w:jc w:val="both"/>
        <w:rPr>
          <w:rFonts w:ascii="Arial" w:hAnsi="Arial" w:cs="Arial"/>
          <w:noProof/>
          <w14:ligatures w14:val="standardContextual"/>
        </w:rPr>
      </w:pPr>
    </w:p>
    <w:p w14:paraId="2BB290E1" w14:textId="2722F1BD" w:rsidR="008867D6" w:rsidRPr="00D66C6F" w:rsidRDefault="008867D6" w:rsidP="00A93DB8">
      <w:pPr>
        <w:spacing w:line="360" w:lineRule="auto"/>
        <w:jc w:val="both"/>
        <w:rPr>
          <w:rFonts w:ascii="Arial" w:hAnsi="Arial" w:cs="Arial"/>
          <w:noProof/>
          <w14:ligatures w14:val="standardContextual"/>
        </w:rPr>
      </w:pPr>
    </w:p>
    <w:p w14:paraId="3BFE7E80" w14:textId="44955C30" w:rsidR="008867D6" w:rsidRPr="00D66C6F" w:rsidRDefault="008867D6" w:rsidP="00A93DB8">
      <w:pPr>
        <w:spacing w:line="360" w:lineRule="auto"/>
        <w:jc w:val="both"/>
        <w:rPr>
          <w:rFonts w:ascii="Arial" w:hAnsi="Arial" w:cs="Arial"/>
          <w:noProof/>
          <w14:ligatures w14:val="standardContextual"/>
        </w:rPr>
      </w:pPr>
    </w:p>
    <w:p w14:paraId="35A71E15" w14:textId="2BABC6D4" w:rsidR="008867D6" w:rsidRPr="00D66C6F" w:rsidRDefault="008867D6" w:rsidP="00A93DB8">
      <w:pPr>
        <w:spacing w:line="360" w:lineRule="auto"/>
        <w:jc w:val="both"/>
        <w:rPr>
          <w:rFonts w:ascii="Arial" w:hAnsi="Arial" w:cs="Arial"/>
          <w:noProof/>
          <w14:ligatures w14:val="standardContextual"/>
        </w:rPr>
      </w:pPr>
    </w:p>
    <w:p w14:paraId="30FA373A" w14:textId="3C042B16" w:rsidR="008867D6" w:rsidRPr="00D66C6F" w:rsidRDefault="008867D6" w:rsidP="00A93DB8">
      <w:pPr>
        <w:spacing w:line="360" w:lineRule="auto"/>
        <w:jc w:val="both"/>
        <w:rPr>
          <w:rFonts w:ascii="Arial" w:hAnsi="Arial" w:cs="Arial"/>
          <w:noProof/>
          <w14:ligatures w14:val="standardContextual"/>
        </w:rPr>
      </w:pPr>
    </w:p>
    <w:p w14:paraId="5AF3FFCF" w14:textId="419F1D8E" w:rsidR="008867D6" w:rsidRPr="00D66C6F" w:rsidRDefault="008867D6" w:rsidP="00A93DB8">
      <w:pPr>
        <w:spacing w:line="360" w:lineRule="auto"/>
        <w:jc w:val="both"/>
        <w:rPr>
          <w:rFonts w:ascii="Arial" w:hAnsi="Arial" w:cs="Arial"/>
          <w:noProof/>
          <w14:ligatures w14:val="standardContextual"/>
        </w:rPr>
      </w:pPr>
    </w:p>
    <w:p w14:paraId="4CF11428" w14:textId="7894DA97" w:rsidR="008867D6" w:rsidRPr="00D66C6F" w:rsidRDefault="008867D6" w:rsidP="00A93DB8">
      <w:pPr>
        <w:spacing w:line="360" w:lineRule="auto"/>
        <w:jc w:val="both"/>
        <w:rPr>
          <w:rFonts w:ascii="Arial" w:hAnsi="Arial" w:cs="Arial"/>
          <w:b/>
          <w:bCs/>
        </w:rPr>
      </w:pPr>
    </w:p>
    <w:p w14:paraId="765B4791" w14:textId="75B25F0E" w:rsidR="00A959BE" w:rsidRPr="00D66C6F" w:rsidRDefault="00A959BE" w:rsidP="00A93DB8">
      <w:pPr>
        <w:spacing w:line="360" w:lineRule="auto"/>
        <w:ind w:left="720"/>
        <w:jc w:val="both"/>
        <w:rPr>
          <w:rFonts w:ascii="Arial" w:hAnsi="Arial" w:cs="Arial"/>
          <w:b/>
          <w:bCs/>
        </w:rPr>
      </w:pPr>
    </w:p>
    <w:p w14:paraId="69B72C50" w14:textId="0F6A1615" w:rsidR="00A959BE" w:rsidRPr="00D66C6F" w:rsidRDefault="00A959BE" w:rsidP="00A93DB8">
      <w:pPr>
        <w:spacing w:line="360" w:lineRule="auto"/>
        <w:ind w:left="720"/>
        <w:jc w:val="both"/>
        <w:rPr>
          <w:rFonts w:ascii="Arial" w:hAnsi="Arial" w:cs="Arial"/>
          <w:b/>
          <w:bCs/>
        </w:rPr>
      </w:pPr>
    </w:p>
    <w:p w14:paraId="0023F415" w14:textId="50D1CB95" w:rsidR="008867D6" w:rsidRPr="00D66C6F" w:rsidRDefault="008867D6" w:rsidP="00A93DB8">
      <w:pPr>
        <w:spacing w:line="360" w:lineRule="auto"/>
        <w:ind w:left="720"/>
        <w:jc w:val="both"/>
        <w:rPr>
          <w:rFonts w:ascii="Arial" w:hAnsi="Arial" w:cs="Arial"/>
          <w:b/>
          <w:bCs/>
        </w:rPr>
      </w:pPr>
    </w:p>
    <w:p w14:paraId="068B7084" w14:textId="77777777" w:rsidR="00D66C6F" w:rsidRPr="00D66C6F" w:rsidRDefault="00D66C6F" w:rsidP="004C3E2B">
      <w:pPr>
        <w:spacing w:line="360" w:lineRule="auto"/>
        <w:jc w:val="center"/>
        <w:rPr>
          <w:rFonts w:ascii="Arial" w:hAnsi="Arial" w:cs="Arial"/>
          <w:b/>
          <w:bCs/>
        </w:rPr>
      </w:pPr>
    </w:p>
    <w:p w14:paraId="704DCA7D" w14:textId="77777777" w:rsidR="00D66C6F" w:rsidRPr="00D66C6F" w:rsidRDefault="00D66C6F" w:rsidP="004C3E2B">
      <w:pPr>
        <w:spacing w:line="360" w:lineRule="auto"/>
        <w:jc w:val="center"/>
        <w:rPr>
          <w:rFonts w:ascii="Arial" w:hAnsi="Arial" w:cs="Arial"/>
          <w:b/>
          <w:bCs/>
        </w:rPr>
      </w:pPr>
    </w:p>
    <w:p w14:paraId="50F6378F" w14:textId="77777777" w:rsidR="00D66C6F" w:rsidRDefault="00D66C6F" w:rsidP="004C3E2B">
      <w:pPr>
        <w:spacing w:line="360" w:lineRule="auto"/>
        <w:jc w:val="center"/>
        <w:rPr>
          <w:rFonts w:ascii="Arial" w:hAnsi="Arial" w:cs="Arial"/>
          <w:b/>
          <w:bCs/>
        </w:rPr>
      </w:pPr>
    </w:p>
    <w:p w14:paraId="6ED5A863" w14:textId="77777777" w:rsidR="00D66C6F" w:rsidRDefault="00D66C6F" w:rsidP="004C3E2B">
      <w:pPr>
        <w:spacing w:line="360" w:lineRule="auto"/>
        <w:jc w:val="center"/>
        <w:rPr>
          <w:rFonts w:ascii="Arial" w:hAnsi="Arial" w:cs="Arial"/>
          <w:b/>
          <w:bCs/>
        </w:rPr>
      </w:pPr>
    </w:p>
    <w:p w14:paraId="2F895722" w14:textId="77777777" w:rsidR="00D66C6F" w:rsidRDefault="00D66C6F" w:rsidP="004C3E2B">
      <w:pPr>
        <w:spacing w:line="360" w:lineRule="auto"/>
        <w:jc w:val="center"/>
        <w:rPr>
          <w:rFonts w:ascii="Arial" w:hAnsi="Arial" w:cs="Arial"/>
          <w:b/>
          <w:bCs/>
        </w:rPr>
      </w:pPr>
    </w:p>
    <w:p w14:paraId="389BA4BF" w14:textId="77777777" w:rsidR="00D66C6F" w:rsidRDefault="00D66C6F" w:rsidP="004C3E2B">
      <w:pPr>
        <w:spacing w:line="360" w:lineRule="auto"/>
        <w:jc w:val="center"/>
        <w:rPr>
          <w:rFonts w:ascii="Arial" w:hAnsi="Arial" w:cs="Arial"/>
          <w:b/>
          <w:bCs/>
        </w:rPr>
      </w:pPr>
    </w:p>
    <w:p w14:paraId="3111C619" w14:textId="6AA66F5D" w:rsidR="00D66C6F" w:rsidRDefault="00D66C6F" w:rsidP="004C3E2B">
      <w:pPr>
        <w:spacing w:line="360" w:lineRule="auto"/>
        <w:jc w:val="center"/>
        <w:rPr>
          <w:rFonts w:ascii="Arial" w:hAnsi="Arial" w:cs="Arial"/>
          <w:b/>
          <w:bCs/>
        </w:rPr>
      </w:pPr>
      <w:r w:rsidRPr="00D66C6F">
        <w:rPr>
          <w:rFonts w:ascii="Arial" w:hAnsi="Arial" w:cs="Arial"/>
          <w:noProof/>
          <w14:ligatures w14:val="standardContextual"/>
        </w:rPr>
        <w:lastRenderedPageBreak/>
        <mc:AlternateContent>
          <mc:Choice Requires="am3d">
            <w:drawing>
              <wp:anchor distT="0" distB="0" distL="114300" distR="114300" simplePos="0" relativeHeight="251659264" behindDoc="0" locked="0" layoutInCell="1" allowOverlap="1" wp14:anchorId="35A070FC" wp14:editId="64DFEDE4">
                <wp:simplePos x="0" y="0"/>
                <wp:positionH relativeFrom="margin">
                  <wp:posOffset>4703198</wp:posOffset>
                </wp:positionH>
                <wp:positionV relativeFrom="paragraph">
                  <wp:posOffset>-465152</wp:posOffset>
                </wp:positionV>
                <wp:extent cx="2311372" cy="2551059"/>
                <wp:effectExtent l="0" t="0" r="0" b="1905"/>
                <wp:wrapNone/>
                <wp:docPr id="374252580" name="3D Model 1" descr="Power On Off Icon"/>
                <wp:cNvGraphicFramePr>
                  <a:graphicFrameLocks xmlns:a="http://schemas.openxmlformats.org/drawingml/2006/main" noChangeAspect="1"/>
                </wp:cNvGraphicFramePr>
                <a:graphic xmlns:a="http://schemas.openxmlformats.org/drawingml/2006/main">
                  <a:graphicData uri="http://schemas.microsoft.com/office/drawing/2017/model3d">
                    <am3d:model3d r:embed="rId12">
                      <am3d:spPr>
                        <a:xfrm>
                          <a:off x="0" y="0"/>
                          <a:ext cx="2311372" cy="2551059"/>
                        </a:xfrm>
                        <a:prstGeom prst="rect">
                          <a:avLst/>
                        </a:prstGeom>
                      </am3d:spPr>
                      <am3d:camera>
                        <am3d:pos x="0" y="0" z="62478097"/>
                        <am3d:up dx="0" dy="36000000" dz="0"/>
                        <am3d:lookAt x="0" y="0" z="0"/>
                        <am3d:perspective fov="2700000"/>
                      </am3d:camera>
                      <am3d:trans>
                        <am3d:meterPerModelUnit n="8849558" d="1000000"/>
                        <am3d:preTrans dx="0" dy="0" dz="0"/>
                        <am3d:scale>
                          <am3d:sx n="1000000" d="1000000"/>
                          <am3d:sy n="1000000" d="1000000"/>
                          <am3d:sz n="1000000" d="1000000"/>
                        </am3d:scale>
                        <am3d:rot ax="-727883" ay="-1356571" az="283451"/>
                        <am3d:postTrans dx="0" dy="0" dz="0"/>
                      </am3d:trans>
                      <am3d:raster rName="Office3DRenderer" rVer="16.0.8326">
                        <am3d:blip r:embed="rId13"/>
                      </am3d:raster>
                      <am3d:objViewport viewportSz="335593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35A070FC" wp14:editId="64DFEDE4">
                <wp:simplePos x="0" y="0"/>
                <wp:positionH relativeFrom="margin">
                  <wp:posOffset>4703198</wp:posOffset>
                </wp:positionH>
                <wp:positionV relativeFrom="paragraph">
                  <wp:posOffset>-465152</wp:posOffset>
                </wp:positionV>
                <wp:extent cx="2311372" cy="2551059"/>
                <wp:effectExtent l="0" t="0" r="0" b="1905"/>
                <wp:wrapNone/>
                <wp:docPr id="374252580" name="3D Model 1" descr="Power On Off Icon"/>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74252580" name="3D Model 1" descr="Power On Off Icon"/>
                        <pic:cNvPicPr>
                          <a:picLocks noGrp="1" noRot="1" noChangeAspect="1" noMove="1" noResize="1" noEditPoints="1" noAdjustHandles="1" noChangeArrowheads="1" noChangeShapeType="1" noCrop="1"/>
                        </pic:cNvPicPr>
                      </pic:nvPicPr>
                      <pic:blipFill>
                        <a:blip r:embed="rId13"/>
                        <a:stretch>
                          <a:fillRect/>
                        </a:stretch>
                      </pic:blipFill>
                      <pic:spPr>
                        <a:xfrm>
                          <a:off x="0" y="0"/>
                          <a:ext cx="2310765" cy="255079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5D79FB73" w14:textId="77777777" w:rsidR="00D66C6F" w:rsidRDefault="00D66C6F" w:rsidP="004C3E2B">
      <w:pPr>
        <w:spacing w:line="360" w:lineRule="auto"/>
        <w:jc w:val="center"/>
        <w:rPr>
          <w:rFonts w:ascii="Arial" w:hAnsi="Arial" w:cs="Arial"/>
          <w:b/>
          <w:bCs/>
        </w:rPr>
      </w:pPr>
    </w:p>
    <w:p w14:paraId="2824E674" w14:textId="77777777" w:rsidR="00D66C6F" w:rsidRDefault="00D66C6F" w:rsidP="004C3E2B">
      <w:pPr>
        <w:spacing w:line="360" w:lineRule="auto"/>
        <w:jc w:val="center"/>
        <w:rPr>
          <w:rFonts w:ascii="Arial" w:hAnsi="Arial" w:cs="Arial"/>
          <w:b/>
          <w:bCs/>
        </w:rPr>
      </w:pPr>
    </w:p>
    <w:p w14:paraId="4E4C18A4" w14:textId="77777777" w:rsidR="00D66C6F" w:rsidRDefault="00D66C6F" w:rsidP="004C3E2B">
      <w:pPr>
        <w:spacing w:line="360" w:lineRule="auto"/>
        <w:jc w:val="center"/>
        <w:rPr>
          <w:rFonts w:ascii="Arial" w:hAnsi="Arial" w:cs="Arial"/>
          <w:b/>
          <w:bCs/>
        </w:rPr>
      </w:pPr>
    </w:p>
    <w:p w14:paraId="1523AE01" w14:textId="77777777" w:rsidR="00D66C6F" w:rsidRDefault="00D66C6F" w:rsidP="004C3E2B">
      <w:pPr>
        <w:spacing w:line="360" w:lineRule="auto"/>
        <w:jc w:val="center"/>
        <w:rPr>
          <w:rFonts w:ascii="Arial" w:hAnsi="Arial" w:cs="Arial"/>
          <w:b/>
          <w:bCs/>
        </w:rPr>
      </w:pPr>
    </w:p>
    <w:p w14:paraId="26B46D7B" w14:textId="77777777" w:rsidR="009D1565" w:rsidRDefault="009D1565" w:rsidP="004C3E2B">
      <w:pPr>
        <w:spacing w:line="360" w:lineRule="auto"/>
        <w:jc w:val="center"/>
        <w:rPr>
          <w:rFonts w:ascii="Arial" w:hAnsi="Arial" w:cs="Arial"/>
          <w:b/>
          <w:bCs/>
        </w:rPr>
      </w:pPr>
    </w:p>
    <w:p w14:paraId="0436F008" w14:textId="77777777" w:rsidR="009D1565" w:rsidRDefault="009D1565" w:rsidP="004C3E2B">
      <w:pPr>
        <w:spacing w:line="360" w:lineRule="auto"/>
        <w:jc w:val="center"/>
        <w:rPr>
          <w:rFonts w:ascii="Arial" w:hAnsi="Arial" w:cs="Arial"/>
          <w:b/>
          <w:bCs/>
        </w:rPr>
      </w:pPr>
    </w:p>
    <w:p w14:paraId="3AB65788" w14:textId="72D8DA2D" w:rsidR="00705B26" w:rsidRPr="00D66C6F" w:rsidRDefault="00705B26" w:rsidP="004C3E2B">
      <w:pPr>
        <w:spacing w:line="360" w:lineRule="auto"/>
        <w:jc w:val="center"/>
        <w:rPr>
          <w:rFonts w:ascii="Arial" w:hAnsi="Arial" w:cs="Arial"/>
          <w:b/>
          <w:bCs/>
        </w:rPr>
      </w:pPr>
      <w:r w:rsidRPr="00D66C6F">
        <w:rPr>
          <w:rFonts w:ascii="Arial" w:hAnsi="Arial" w:cs="Arial"/>
          <w:b/>
          <w:bCs/>
        </w:rPr>
        <w:t>Introduction</w:t>
      </w:r>
    </w:p>
    <w:p w14:paraId="0048CA90" w14:textId="2838FDD0" w:rsidR="00705B26" w:rsidRPr="00D66C6F" w:rsidRDefault="00D66C6F" w:rsidP="00143F11">
      <w:pPr>
        <w:spacing w:line="360" w:lineRule="auto"/>
        <w:jc w:val="both"/>
        <w:rPr>
          <w:rFonts w:ascii="Arial" w:hAnsi="Arial" w:cs="Arial"/>
        </w:rPr>
      </w:pPr>
      <w:r w:rsidRPr="00D66C6F">
        <w:rPr>
          <w:rFonts w:ascii="Arial" w:hAnsi="Arial" w:cs="Arial"/>
        </w:rPr>
        <w:t>As a HR practitioner</w:t>
      </w:r>
      <w:r w:rsidR="00143F11" w:rsidRPr="00D66C6F">
        <w:rPr>
          <w:rFonts w:ascii="Arial" w:hAnsi="Arial" w:cs="Arial"/>
        </w:rPr>
        <w:t>, I am c</w:t>
      </w:r>
      <w:r w:rsidR="00705B26" w:rsidRPr="00D66C6F">
        <w:rPr>
          <w:rFonts w:ascii="Arial" w:hAnsi="Arial" w:cs="Arial"/>
        </w:rPr>
        <w:t>ritically examin</w:t>
      </w:r>
      <w:r w:rsidR="00E2771E" w:rsidRPr="00D66C6F">
        <w:rPr>
          <w:rFonts w:ascii="Arial" w:hAnsi="Arial" w:cs="Arial"/>
        </w:rPr>
        <w:t>ing</w:t>
      </w:r>
      <w:r w:rsidR="00705B26" w:rsidRPr="00D66C6F">
        <w:rPr>
          <w:rFonts w:ascii="Arial" w:hAnsi="Arial" w:cs="Arial"/>
        </w:rPr>
        <w:t xml:space="preserve"> contemporary Human Resource challenges</w:t>
      </w:r>
      <w:r w:rsidR="004C3E2B" w:rsidRPr="00D66C6F">
        <w:rPr>
          <w:rFonts w:ascii="Arial" w:hAnsi="Arial" w:cs="Arial"/>
        </w:rPr>
        <w:t xml:space="preserve"> within</w:t>
      </w:r>
      <w:r w:rsidR="00705B26" w:rsidRPr="00D66C6F">
        <w:rPr>
          <w:rFonts w:ascii="Arial" w:hAnsi="Arial" w:cs="Arial"/>
        </w:rPr>
        <w:t xml:space="preserve"> Porsche Cars Great Britain Ltd (PCGB)</w:t>
      </w:r>
      <w:r w:rsidR="00244264" w:rsidRPr="00D66C6F">
        <w:rPr>
          <w:rFonts w:ascii="Arial" w:hAnsi="Arial" w:cs="Arial"/>
        </w:rPr>
        <w:t>. O</w:t>
      </w:r>
      <w:r w:rsidR="004C3E2B" w:rsidRPr="00D66C6F">
        <w:rPr>
          <w:rFonts w:ascii="Arial" w:hAnsi="Arial" w:cs="Arial"/>
        </w:rPr>
        <w:t>perating in an ever</w:t>
      </w:r>
      <w:r w:rsidR="00705B26" w:rsidRPr="00D66C6F">
        <w:rPr>
          <w:rFonts w:ascii="Arial" w:hAnsi="Arial" w:cs="Arial"/>
        </w:rPr>
        <w:t xml:space="preserve"> increasingly competitive automotive environment</w:t>
      </w:r>
      <w:r w:rsidR="004C3E2B" w:rsidRPr="00D66C6F">
        <w:rPr>
          <w:rFonts w:ascii="Arial" w:hAnsi="Arial" w:cs="Arial"/>
        </w:rPr>
        <w:t>, r</w:t>
      </w:r>
      <w:r w:rsidR="008511F2" w:rsidRPr="00D66C6F">
        <w:rPr>
          <w:rFonts w:ascii="Arial" w:hAnsi="Arial" w:cs="Arial"/>
        </w:rPr>
        <w:t>evolutionised</w:t>
      </w:r>
      <w:r w:rsidR="00705B26" w:rsidRPr="00D66C6F">
        <w:rPr>
          <w:rFonts w:ascii="Arial" w:hAnsi="Arial" w:cs="Arial"/>
        </w:rPr>
        <w:t xml:space="preserve"> by technological transformation, talent pressures and growing expectations around diversity, equity and inclusion (DEI). </w:t>
      </w:r>
      <w:r w:rsidR="00E2771E" w:rsidRPr="00D66C6F">
        <w:rPr>
          <w:rFonts w:ascii="Arial" w:hAnsi="Arial" w:cs="Arial"/>
        </w:rPr>
        <w:t>As it stands,</w:t>
      </w:r>
      <w:r w:rsidR="00705B26" w:rsidRPr="00D66C6F">
        <w:rPr>
          <w:rFonts w:ascii="Arial" w:hAnsi="Arial" w:cs="Arial"/>
        </w:rPr>
        <w:t xml:space="preserve"> Porsche</w:t>
      </w:r>
      <w:r w:rsidR="008268E8" w:rsidRPr="00D66C6F">
        <w:rPr>
          <w:rFonts w:ascii="Arial" w:hAnsi="Arial" w:cs="Arial"/>
        </w:rPr>
        <w:t>, (widely regarded as an illustrious brand)</w:t>
      </w:r>
      <w:r w:rsidR="00705B26" w:rsidRPr="00D66C6F">
        <w:rPr>
          <w:rFonts w:ascii="Arial" w:hAnsi="Arial" w:cs="Arial"/>
        </w:rPr>
        <w:t xml:space="preserve"> </w:t>
      </w:r>
      <w:r w:rsidR="004C3E2B" w:rsidRPr="00D66C6F">
        <w:rPr>
          <w:rFonts w:ascii="Arial" w:hAnsi="Arial" w:cs="Arial"/>
        </w:rPr>
        <w:t>has</w:t>
      </w:r>
      <w:r w:rsidR="008511F2" w:rsidRPr="00D66C6F">
        <w:rPr>
          <w:rFonts w:ascii="Arial" w:hAnsi="Arial" w:cs="Arial"/>
        </w:rPr>
        <w:t xml:space="preserve"> </w:t>
      </w:r>
      <w:r w:rsidR="008268E8" w:rsidRPr="00D66C6F">
        <w:rPr>
          <w:rFonts w:ascii="Arial" w:hAnsi="Arial" w:cs="Arial"/>
        </w:rPr>
        <w:t>previously</w:t>
      </w:r>
      <w:r w:rsidR="00705B26" w:rsidRPr="00D66C6F">
        <w:rPr>
          <w:rFonts w:ascii="Arial" w:hAnsi="Arial" w:cs="Arial"/>
        </w:rPr>
        <w:t xml:space="preserve"> </w:t>
      </w:r>
      <w:r w:rsidR="008511F2" w:rsidRPr="00D66C6F">
        <w:rPr>
          <w:rFonts w:ascii="Arial" w:hAnsi="Arial" w:cs="Arial"/>
        </w:rPr>
        <w:t>established</w:t>
      </w:r>
      <w:r w:rsidR="008268E8" w:rsidRPr="00D66C6F">
        <w:rPr>
          <w:rFonts w:ascii="Arial" w:hAnsi="Arial" w:cs="Arial"/>
        </w:rPr>
        <w:t xml:space="preserve"> itself</w:t>
      </w:r>
      <w:r w:rsidR="008511F2" w:rsidRPr="00D66C6F">
        <w:rPr>
          <w:rFonts w:ascii="Arial" w:hAnsi="Arial" w:cs="Arial"/>
        </w:rPr>
        <w:t xml:space="preserve"> in</w:t>
      </w:r>
      <w:r w:rsidR="009B4E62" w:rsidRPr="00D66C6F">
        <w:rPr>
          <w:rFonts w:ascii="Arial" w:hAnsi="Arial" w:cs="Arial"/>
        </w:rPr>
        <w:t xml:space="preserve"> modern day</w:t>
      </w:r>
      <w:r w:rsidR="00705B26" w:rsidRPr="00D66C6F">
        <w:rPr>
          <w:rFonts w:ascii="Arial" w:hAnsi="Arial" w:cs="Arial"/>
        </w:rPr>
        <w:t xml:space="preserve"> elect</w:t>
      </w:r>
      <w:r w:rsidR="00E2771E" w:rsidRPr="00D66C6F">
        <w:rPr>
          <w:rFonts w:ascii="Arial" w:hAnsi="Arial" w:cs="Arial"/>
        </w:rPr>
        <w:t>ric vehicles</w:t>
      </w:r>
      <w:r w:rsidR="008268E8" w:rsidRPr="00D66C6F">
        <w:rPr>
          <w:rFonts w:ascii="Arial" w:hAnsi="Arial" w:cs="Arial"/>
        </w:rPr>
        <w:t xml:space="preserve"> </w:t>
      </w:r>
      <w:r w:rsidR="009B4E62" w:rsidRPr="00D66C6F">
        <w:rPr>
          <w:rFonts w:ascii="Arial" w:hAnsi="Arial" w:cs="Arial"/>
        </w:rPr>
        <w:t>in 2010</w:t>
      </w:r>
      <w:r w:rsidRPr="00D66C6F">
        <w:rPr>
          <w:rFonts w:ascii="Arial" w:hAnsi="Arial" w:cs="Arial"/>
        </w:rPr>
        <w:t xml:space="preserve"> (Porsche, 2023)</w:t>
      </w:r>
      <w:r w:rsidR="00B04366" w:rsidRPr="00D66C6F">
        <w:rPr>
          <w:rFonts w:ascii="Arial" w:hAnsi="Arial" w:cs="Arial"/>
        </w:rPr>
        <w:t>. HR department</w:t>
      </w:r>
      <w:r w:rsidR="009B4E62" w:rsidRPr="00D66C6F">
        <w:rPr>
          <w:rFonts w:ascii="Arial" w:hAnsi="Arial" w:cs="Arial"/>
        </w:rPr>
        <w:t>s</w:t>
      </w:r>
      <w:r w:rsidR="00B04366" w:rsidRPr="00D66C6F">
        <w:rPr>
          <w:rFonts w:ascii="Arial" w:hAnsi="Arial" w:cs="Arial"/>
        </w:rPr>
        <w:t xml:space="preserve"> for decades have been predominately admin orientated, </w:t>
      </w:r>
      <w:r w:rsidR="00E2771E" w:rsidRPr="00D66C6F">
        <w:rPr>
          <w:rFonts w:ascii="Arial" w:hAnsi="Arial" w:cs="Arial"/>
        </w:rPr>
        <w:t>whereas now,</w:t>
      </w:r>
      <w:r w:rsidR="008268E8" w:rsidRPr="00D66C6F">
        <w:rPr>
          <w:rFonts w:ascii="Arial" w:hAnsi="Arial" w:cs="Arial"/>
        </w:rPr>
        <w:t xml:space="preserve"> as</w:t>
      </w:r>
      <w:r w:rsidR="00E2771E" w:rsidRPr="00D66C6F">
        <w:rPr>
          <w:rFonts w:ascii="Arial" w:hAnsi="Arial" w:cs="Arial"/>
        </w:rPr>
        <w:t xml:space="preserve"> </w:t>
      </w:r>
      <w:r w:rsidR="008268E8" w:rsidRPr="00D66C6F">
        <w:rPr>
          <w:rFonts w:ascii="Arial" w:hAnsi="Arial" w:cs="Arial"/>
        </w:rPr>
        <w:t>AI move</w:t>
      </w:r>
      <w:r w:rsidR="009B4E62" w:rsidRPr="00D66C6F">
        <w:rPr>
          <w:rFonts w:ascii="Arial" w:hAnsi="Arial" w:cs="Arial"/>
        </w:rPr>
        <w:t xml:space="preserve">s </w:t>
      </w:r>
      <w:r w:rsidR="008268E8" w:rsidRPr="00D66C6F">
        <w:rPr>
          <w:rFonts w:ascii="Arial" w:hAnsi="Arial" w:cs="Arial"/>
        </w:rPr>
        <w:t xml:space="preserve">from experimentation to everyday infrastructure, </w:t>
      </w:r>
      <w:r w:rsidR="009B4E62" w:rsidRPr="00D66C6F">
        <w:rPr>
          <w:rFonts w:ascii="Arial" w:hAnsi="Arial" w:cs="Arial"/>
        </w:rPr>
        <w:t>f</w:t>
      </w:r>
      <w:r w:rsidR="008268E8" w:rsidRPr="00D66C6F">
        <w:rPr>
          <w:rFonts w:ascii="Arial" w:hAnsi="Arial" w:cs="Arial"/>
        </w:rPr>
        <w:t>or</w:t>
      </w:r>
      <w:r w:rsidR="00244264" w:rsidRPr="00D66C6F">
        <w:rPr>
          <w:rFonts w:ascii="Arial" w:hAnsi="Arial" w:cs="Arial"/>
        </w:rPr>
        <w:t xml:space="preserve"> Porsche</w:t>
      </w:r>
      <w:r w:rsidR="008268E8" w:rsidRPr="00D66C6F">
        <w:rPr>
          <w:rFonts w:ascii="Arial" w:hAnsi="Arial" w:cs="Arial"/>
        </w:rPr>
        <w:t xml:space="preserve"> </w:t>
      </w:r>
      <w:r w:rsidR="00E2771E" w:rsidRPr="00D66C6F">
        <w:rPr>
          <w:rFonts w:ascii="Arial" w:hAnsi="Arial" w:cs="Arial"/>
        </w:rPr>
        <w:t xml:space="preserve">HR </w:t>
      </w:r>
      <w:r w:rsidR="00B04366" w:rsidRPr="00D66C6F">
        <w:rPr>
          <w:rFonts w:ascii="Arial" w:hAnsi="Arial" w:cs="Arial"/>
        </w:rPr>
        <w:t>practitioner</w:t>
      </w:r>
      <w:r w:rsidR="00143F11" w:rsidRPr="00D66C6F">
        <w:rPr>
          <w:rFonts w:ascii="Arial" w:hAnsi="Arial" w:cs="Arial"/>
        </w:rPr>
        <w:t>s</w:t>
      </w:r>
      <w:r w:rsidR="009B4E62" w:rsidRPr="00D66C6F">
        <w:rPr>
          <w:rFonts w:ascii="Arial" w:hAnsi="Arial" w:cs="Arial"/>
        </w:rPr>
        <w:t xml:space="preserve"> </w:t>
      </w:r>
      <w:r w:rsidR="008268E8" w:rsidRPr="00D66C6F">
        <w:rPr>
          <w:rFonts w:ascii="Arial" w:hAnsi="Arial" w:cs="Arial"/>
        </w:rPr>
        <w:t>that shift brings a practical question:</w:t>
      </w:r>
      <w:r w:rsidR="00E2771E" w:rsidRPr="00D66C6F">
        <w:rPr>
          <w:rFonts w:ascii="Arial" w:hAnsi="Arial" w:cs="Arial"/>
        </w:rPr>
        <w:t xml:space="preserve"> </w:t>
      </w:r>
      <w:r w:rsidR="009B4E62" w:rsidRPr="00D66C6F">
        <w:rPr>
          <w:rFonts w:ascii="Arial" w:hAnsi="Arial" w:cs="Arial"/>
        </w:rPr>
        <w:t>How do we make productivity gains while protecting the conditions for good work – fairness, capability, sustainable performance and employee trust</w:t>
      </w:r>
      <w:r w:rsidR="00AE139F" w:rsidRPr="00D66C6F">
        <w:rPr>
          <w:rFonts w:ascii="Arial" w:hAnsi="Arial" w:cs="Arial"/>
        </w:rPr>
        <w:t>?</w:t>
      </w:r>
      <w:r w:rsidR="00B04366" w:rsidRPr="00D66C6F">
        <w:rPr>
          <w:rFonts w:ascii="Arial" w:hAnsi="Arial" w:cs="Arial"/>
        </w:rPr>
        <w:t xml:space="preserve"> </w:t>
      </w:r>
      <w:r w:rsidR="0049696A" w:rsidRPr="00D66C6F">
        <w:rPr>
          <w:rFonts w:ascii="Arial" w:hAnsi="Arial" w:cs="Arial"/>
        </w:rPr>
        <w:t>(CIPD, 2024)</w:t>
      </w:r>
      <w:r w:rsidR="00705B26" w:rsidRPr="00D66C6F">
        <w:rPr>
          <w:rFonts w:ascii="Arial" w:hAnsi="Arial" w:cs="Arial"/>
        </w:rPr>
        <w:t xml:space="preserve">. </w:t>
      </w:r>
      <w:r w:rsidR="00E2771E" w:rsidRPr="00D66C6F">
        <w:rPr>
          <w:rFonts w:ascii="Arial" w:hAnsi="Arial" w:cs="Arial"/>
        </w:rPr>
        <w:t>Ev</w:t>
      </w:r>
      <w:r w:rsidR="00705B26" w:rsidRPr="00D66C6F">
        <w:rPr>
          <w:rFonts w:ascii="Arial" w:hAnsi="Arial" w:cs="Arial"/>
        </w:rPr>
        <w:t>aluat</w:t>
      </w:r>
      <w:r w:rsidR="00E2771E" w:rsidRPr="00D66C6F">
        <w:rPr>
          <w:rFonts w:ascii="Arial" w:hAnsi="Arial" w:cs="Arial"/>
        </w:rPr>
        <w:t>ing</w:t>
      </w:r>
      <w:r w:rsidR="00705B26" w:rsidRPr="00D66C6F">
        <w:rPr>
          <w:rFonts w:ascii="Arial" w:hAnsi="Arial" w:cs="Arial"/>
        </w:rPr>
        <w:t xml:space="preserve"> key HR challenges, assess</w:t>
      </w:r>
      <w:r w:rsidR="00E2771E" w:rsidRPr="00D66C6F">
        <w:rPr>
          <w:rFonts w:ascii="Arial" w:hAnsi="Arial" w:cs="Arial"/>
        </w:rPr>
        <w:t>ing</w:t>
      </w:r>
      <w:r w:rsidR="00705B26" w:rsidRPr="00D66C6F">
        <w:rPr>
          <w:rFonts w:ascii="Arial" w:hAnsi="Arial" w:cs="Arial"/>
        </w:rPr>
        <w:t xml:space="preserve"> appropriate contemporary HR practices, and critically examin</w:t>
      </w:r>
      <w:r w:rsidR="00E2771E" w:rsidRPr="00D66C6F">
        <w:rPr>
          <w:rFonts w:ascii="Arial" w:hAnsi="Arial" w:cs="Arial"/>
        </w:rPr>
        <w:t>ing</w:t>
      </w:r>
      <w:r w:rsidR="00705B26" w:rsidRPr="00D66C6F">
        <w:rPr>
          <w:rFonts w:ascii="Arial" w:hAnsi="Arial" w:cs="Arial"/>
        </w:rPr>
        <w:t xml:space="preserve"> managerial implementation approaches. </w:t>
      </w:r>
      <w:r w:rsidR="00B04366" w:rsidRPr="00D66C6F">
        <w:rPr>
          <w:rFonts w:ascii="Arial" w:hAnsi="Arial" w:cs="Arial"/>
        </w:rPr>
        <w:t>Backed by</w:t>
      </w:r>
      <w:r w:rsidR="004A652A" w:rsidRPr="00D66C6F">
        <w:rPr>
          <w:rFonts w:ascii="Arial" w:hAnsi="Arial" w:cs="Arial"/>
        </w:rPr>
        <w:t xml:space="preserve"> e</w:t>
      </w:r>
      <w:r w:rsidR="00705B26" w:rsidRPr="00D66C6F">
        <w:rPr>
          <w:rFonts w:ascii="Arial" w:hAnsi="Arial" w:cs="Arial"/>
        </w:rPr>
        <w:t>vidence</w:t>
      </w:r>
      <w:r w:rsidR="00E2771E" w:rsidRPr="00D66C6F">
        <w:rPr>
          <w:rFonts w:ascii="Arial" w:hAnsi="Arial" w:cs="Arial"/>
        </w:rPr>
        <w:t xml:space="preserve"> </w:t>
      </w:r>
      <w:r w:rsidR="00705B26" w:rsidRPr="00D66C6F">
        <w:rPr>
          <w:rFonts w:ascii="Arial" w:hAnsi="Arial" w:cs="Arial"/>
        </w:rPr>
        <w:t>drawn from academic literature, industry research and Porsche-specific sources to provide practical recommendations for future organisational capability.</w:t>
      </w:r>
      <w:r w:rsidR="00A959BE" w:rsidRPr="00D66C6F">
        <w:rPr>
          <w:rFonts w:ascii="Arial" w:hAnsi="Arial" w:cs="Arial"/>
          <w:b/>
          <w:bCs/>
          <w:noProof/>
          <w14:ligatures w14:val="standardContextual"/>
        </w:rPr>
        <w:t xml:space="preserve"> </w:t>
      </w:r>
    </w:p>
    <w:p w14:paraId="78549535" w14:textId="77777777" w:rsidR="00B04366" w:rsidRPr="00D66C6F" w:rsidRDefault="00B04366" w:rsidP="00143F11">
      <w:pPr>
        <w:spacing w:line="360" w:lineRule="auto"/>
        <w:jc w:val="center"/>
        <w:rPr>
          <w:rFonts w:ascii="Arial" w:hAnsi="Arial" w:cs="Arial"/>
          <w:b/>
          <w:bCs/>
        </w:rPr>
      </w:pPr>
    </w:p>
    <w:p w14:paraId="038F94BD" w14:textId="2DCEF9DE" w:rsidR="00705B26" w:rsidRPr="00D66C6F" w:rsidRDefault="00705B26" w:rsidP="00143F11">
      <w:pPr>
        <w:spacing w:line="360" w:lineRule="auto"/>
        <w:jc w:val="center"/>
        <w:rPr>
          <w:rFonts w:ascii="Arial" w:hAnsi="Arial" w:cs="Arial"/>
          <w:b/>
          <w:bCs/>
        </w:rPr>
      </w:pPr>
      <w:r w:rsidRPr="00D66C6F">
        <w:rPr>
          <w:rFonts w:ascii="Arial" w:hAnsi="Arial" w:cs="Arial"/>
          <w:b/>
          <w:bCs/>
        </w:rPr>
        <w:t>1. Contemporary HR Challenges</w:t>
      </w:r>
    </w:p>
    <w:p w14:paraId="72F28323" w14:textId="79A9CCA2" w:rsidR="004A652A" w:rsidRPr="00D66C6F" w:rsidRDefault="00705B26" w:rsidP="00143F11">
      <w:pPr>
        <w:spacing w:line="360" w:lineRule="auto"/>
        <w:jc w:val="both"/>
        <w:rPr>
          <w:rFonts w:ascii="Arial" w:hAnsi="Arial" w:cs="Arial"/>
        </w:rPr>
      </w:pPr>
      <w:r w:rsidRPr="00D66C6F">
        <w:rPr>
          <w:rFonts w:ascii="Arial" w:hAnsi="Arial" w:cs="Arial"/>
        </w:rPr>
        <w:t xml:space="preserve">Porsche Cars Great Britain Ltd (PCGB) operates within a premium automotive sector experiencing significant disruption from </w:t>
      </w:r>
      <w:r w:rsidR="004A652A" w:rsidRPr="00D66C6F">
        <w:rPr>
          <w:rFonts w:ascii="Arial" w:hAnsi="Arial" w:cs="Arial"/>
        </w:rPr>
        <w:t>market transformation to</w:t>
      </w:r>
      <w:r w:rsidRPr="00D66C6F">
        <w:rPr>
          <w:rFonts w:ascii="Arial" w:hAnsi="Arial" w:cs="Arial"/>
        </w:rPr>
        <w:t xml:space="preserve"> changing workforce expectations. These developments have transformed HR from an operational support function into a strategic contributor </w:t>
      </w:r>
      <w:r w:rsidR="004A652A" w:rsidRPr="00D66C6F">
        <w:rPr>
          <w:rFonts w:ascii="Arial" w:hAnsi="Arial" w:cs="Arial"/>
        </w:rPr>
        <w:t xml:space="preserve">now </w:t>
      </w:r>
      <w:r w:rsidRPr="00D66C6F">
        <w:rPr>
          <w:rFonts w:ascii="Arial" w:hAnsi="Arial" w:cs="Arial"/>
        </w:rPr>
        <w:t>responsible for developing organisational capability, securing specialist talent and maintaining an inclusive culture</w:t>
      </w:r>
      <w:r w:rsidR="004A652A" w:rsidRPr="00D66C6F">
        <w:rPr>
          <w:rFonts w:ascii="Arial" w:hAnsi="Arial" w:cs="Arial"/>
        </w:rPr>
        <w:t xml:space="preserve"> within PCGB</w:t>
      </w:r>
      <w:r w:rsidRPr="00D66C6F">
        <w:rPr>
          <w:rFonts w:ascii="Arial" w:hAnsi="Arial" w:cs="Arial"/>
        </w:rPr>
        <w:t>. Th</w:t>
      </w:r>
      <w:r w:rsidR="00143F11" w:rsidRPr="00D66C6F">
        <w:rPr>
          <w:rFonts w:ascii="Arial" w:hAnsi="Arial" w:cs="Arial"/>
        </w:rPr>
        <w:t>ere are three</w:t>
      </w:r>
      <w:r w:rsidRPr="00D66C6F">
        <w:rPr>
          <w:rFonts w:ascii="Arial" w:hAnsi="Arial" w:cs="Arial"/>
        </w:rPr>
        <w:t xml:space="preserve"> interconnected HR challenges particularly significant for PCGB</w:t>
      </w:r>
      <w:r w:rsidR="00143F11" w:rsidRPr="00D66C6F">
        <w:rPr>
          <w:rFonts w:ascii="Arial" w:hAnsi="Arial" w:cs="Arial"/>
        </w:rPr>
        <w:t>.</w:t>
      </w:r>
      <w:r w:rsidRPr="00D66C6F">
        <w:rPr>
          <w:rFonts w:ascii="Arial" w:hAnsi="Arial" w:cs="Arial"/>
        </w:rPr>
        <w:t xml:space="preserve"> </w:t>
      </w:r>
    </w:p>
    <w:p w14:paraId="1635ECED" w14:textId="367F63B0" w:rsidR="00B04366" w:rsidRDefault="00A205C0" w:rsidP="00B04366">
      <w:pPr>
        <w:spacing w:line="360" w:lineRule="auto"/>
        <w:jc w:val="center"/>
        <w:rPr>
          <w:rFonts w:ascii="Arial" w:hAnsi="Arial" w:cs="Arial"/>
          <w:b/>
          <w:bCs/>
        </w:rPr>
      </w:pPr>
      <w:r w:rsidRPr="00D66C6F">
        <w:rPr>
          <w:rFonts w:ascii="Arial" w:hAnsi="Arial" w:cs="Arial"/>
          <w:noProof/>
        </w:rPr>
        <w:drawing>
          <wp:inline distT="0" distB="0" distL="0" distR="0" wp14:anchorId="1E7DFB6C" wp14:editId="7D5E5D7E">
            <wp:extent cx="6748423" cy="1283970"/>
            <wp:effectExtent l="0" t="0" r="0" b="0"/>
            <wp:docPr id="1668674092" name="Diagram 1">
              <a:extLst xmlns:a="http://schemas.openxmlformats.org/drawingml/2006/main">
                <a:ext uri="{FF2B5EF4-FFF2-40B4-BE49-F238E27FC236}">
                  <a16:creationId xmlns:a16="http://schemas.microsoft.com/office/drawing/2014/main" id="{993B9097-D89C-AEDB-9279-6C1AAD8BF58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F7D30B4" w14:textId="31D13EFF" w:rsidR="00D66C6F" w:rsidRDefault="00D66C6F" w:rsidP="00B04366">
      <w:pPr>
        <w:spacing w:line="360" w:lineRule="auto"/>
        <w:jc w:val="center"/>
        <w:rPr>
          <w:rFonts w:ascii="Arial" w:hAnsi="Arial" w:cs="Arial"/>
          <w:b/>
          <w:bCs/>
        </w:rPr>
      </w:pPr>
    </w:p>
    <w:p w14:paraId="4666D192" w14:textId="067431B4" w:rsidR="00705B26" w:rsidRPr="00D66C6F" w:rsidRDefault="00705B26" w:rsidP="00B04366">
      <w:pPr>
        <w:spacing w:line="360" w:lineRule="auto"/>
        <w:jc w:val="center"/>
        <w:rPr>
          <w:rFonts w:ascii="Arial" w:hAnsi="Arial" w:cs="Arial"/>
          <w:b/>
          <w:bCs/>
        </w:rPr>
      </w:pPr>
      <w:r w:rsidRPr="00D66C6F">
        <w:rPr>
          <w:rFonts w:ascii="Arial" w:hAnsi="Arial" w:cs="Arial"/>
          <w:b/>
          <w:bCs/>
        </w:rPr>
        <w:lastRenderedPageBreak/>
        <w:t>1.1 Adapting to Technological Advancements</w:t>
      </w:r>
    </w:p>
    <w:p w14:paraId="3DC54505" w14:textId="79D57E6C" w:rsidR="00705B26" w:rsidRPr="00D66C6F" w:rsidRDefault="00705B26" w:rsidP="00143F11">
      <w:pPr>
        <w:spacing w:line="360" w:lineRule="auto"/>
        <w:jc w:val="both"/>
        <w:rPr>
          <w:rFonts w:ascii="Arial" w:hAnsi="Arial" w:cs="Arial"/>
        </w:rPr>
      </w:pPr>
      <w:r w:rsidRPr="00D66C6F">
        <w:rPr>
          <w:rFonts w:ascii="Arial" w:hAnsi="Arial" w:cs="Arial"/>
        </w:rPr>
        <w:t>The transition towards electric vehicles (EVs)</w:t>
      </w:r>
      <w:r w:rsidR="00B04366" w:rsidRPr="00D66C6F">
        <w:rPr>
          <w:rFonts w:ascii="Arial" w:hAnsi="Arial" w:cs="Arial"/>
        </w:rPr>
        <w:t xml:space="preserve"> and</w:t>
      </w:r>
      <w:r w:rsidRPr="00D66C6F">
        <w:rPr>
          <w:rFonts w:ascii="Arial" w:hAnsi="Arial" w:cs="Arial"/>
        </w:rPr>
        <w:t xml:space="preserve"> </w:t>
      </w:r>
      <w:r w:rsidR="00B04366" w:rsidRPr="00D66C6F">
        <w:rPr>
          <w:rFonts w:ascii="Arial" w:hAnsi="Arial" w:cs="Arial"/>
        </w:rPr>
        <w:t>integrating</w:t>
      </w:r>
      <w:r w:rsidRPr="00D66C6F">
        <w:rPr>
          <w:rFonts w:ascii="Arial" w:hAnsi="Arial" w:cs="Arial"/>
        </w:rPr>
        <w:t xml:space="preserve"> tech</w:t>
      </w:r>
      <w:r w:rsidR="00B04366" w:rsidRPr="00D66C6F">
        <w:rPr>
          <w:rFonts w:ascii="Arial" w:hAnsi="Arial" w:cs="Arial"/>
        </w:rPr>
        <w:t>nologies</w:t>
      </w:r>
      <w:r w:rsidRPr="00D66C6F">
        <w:rPr>
          <w:rFonts w:ascii="Arial" w:hAnsi="Arial" w:cs="Arial"/>
        </w:rPr>
        <w:t xml:space="preserve"> and data-driven customer experiences requires PCGB to develop new workforce capabilities. Porsche’s global strategy increasingly focuses on digital innovation, electrification and sustainable mobility, creating demand for employees with advanced technical, digital and analytical skills (Porsche AG, 2024). However, technological transformation is not solely a technological challenge; it is fundamentally a people and capability challenge</w:t>
      </w:r>
      <w:r w:rsidR="004A652A" w:rsidRPr="00D66C6F">
        <w:rPr>
          <w:rFonts w:ascii="Arial" w:hAnsi="Arial" w:cs="Arial"/>
        </w:rPr>
        <w:t>, and in understanding so, H</w:t>
      </w:r>
      <w:r w:rsidRPr="00D66C6F">
        <w:rPr>
          <w:rFonts w:ascii="Arial" w:hAnsi="Arial" w:cs="Arial"/>
        </w:rPr>
        <w:t>uman Capital Theory argues that organisational investment in employee knowledge, skills and abilities generates productivity improvements and long-term competitive advantage (Becker, 1964). Therefore, PCGB must ensure employees possess the capability to work alongside emerging technologies rather than viewing digitalisation as a replacement for human expertise. This is particularly relevant within premium automotive organisations where customer experience, craftsmanship and technical excellence remain central sources of competitive differentiation.</w:t>
      </w:r>
    </w:p>
    <w:p w14:paraId="53F5B299" w14:textId="0E5FF5E4" w:rsidR="00705B26" w:rsidRDefault="009D1565" w:rsidP="00143F11">
      <w:pPr>
        <w:spacing w:line="360" w:lineRule="auto"/>
        <w:jc w:val="both"/>
        <w:rPr>
          <w:rFonts w:ascii="Arial" w:hAnsi="Arial" w:cs="Arial"/>
        </w:rPr>
      </w:pPr>
      <w:r>
        <w:rPr>
          <w:rFonts w:ascii="Arial" w:hAnsi="Arial" w:cs="Arial"/>
          <w:noProof/>
          <w14:ligatures w14:val="standardContextual"/>
        </w:rPr>
        <mc:AlternateContent>
          <mc:Choice Requires="am3d">
            <w:drawing>
              <wp:anchor distT="0" distB="0" distL="114300" distR="114300" simplePos="0" relativeHeight="251671552" behindDoc="0" locked="0" layoutInCell="1" allowOverlap="1" wp14:anchorId="0DA3D015" wp14:editId="4A4BC4C5">
                <wp:simplePos x="0" y="0"/>
                <wp:positionH relativeFrom="page">
                  <wp:posOffset>453225</wp:posOffset>
                </wp:positionH>
                <wp:positionV relativeFrom="paragraph">
                  <wp:posOffset>1552547</wp:posOffset>
                </wp:positionV>
                <wp:extent cx="6949026" cy="4964430"/>
                <wp:effectExtent l="0" t="0" r="0" b="7620"/>
                <wp:wrapNone/>
                <wp:docPr id="160980146" name="3D Model 9" descr="Cpu"/>
                <wp:cNvGraphicFramePr>
                  <a:graphicFrameLocks xmlns:a="http://schemas.openxmlformats.org/drawingml/2006/main" noChangeAspect="1"/>
                </wp:cNvGraphicFramePr>
                <a:graphic xmlns:a="http://schemas.openxmlformats.org/drawingml/2006/main">
                  <a:graphicData uri="http://schemas.microsoft.com/office/drawing/2017/model3d">
                    <am3d:model3d r:embed="rId19">
                      <am3d:spPr>
                        <a:xfrm>
                          <a:off x="0" y="0"/>
                          <a:ext cx="6949026" cy="4964430"/>
                        </a:xfrm>
                        <a:prstGeom prst="rect">
                          <a:avLst/>
                        </a:prstGeom>
                      </am3d:spPr>
                      <am3d:camera>
                        <am3d:pos x="0" y="0" z="66566187"/>
                        <am3d:up dx="0" dy="36000000" dz="0"/>
                        <am3d:lookAt x="0" y="0" z="0"/>
                        <am3d:perspective fov="2700000"/>
                      </am3d:camera>
                      <am3d:trans>
                        <am3d:meterPerModelUnit n="19999999" d="1000000"/>
                        <am3d:preTrans dx="0" dy="-55664" dz="0"/>
                        <am3d:scale>
                          <am3d:sx n="1000000" d="1000000"/>
                          <am3d:sy n="1000000" d="1000000"/>
                          <am3d:sz n="1000000" d="1000000"/>
                        </am3d:scale>
                        <am3d:rot ax="4681467" ay="-118069" az="-551753"/>
                        <am3d:postTrans dx="0" dy="0" dz="0"/>
                      </am3d:trans>
                      <am3d:raster rName="Office3DRenderer" rVer="16.0.8326">
                        <am3d:blip r:embed="rId20"/>
                      </am3d:raster>
                      <am3d:objViewport viewportSz="630248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1552" behindDoc="0" locked="0" layoutInCell="1" allowOverlap="1" wp14:anchorId="0DA3D015" wp14:editId="4A4BC4C5">
                <wp:simplePos x="0" y="0"/>
                <wp:positionH relativeFrom="page">
                  <wp:posOffset>453225</wp:posOffset>
                </wp:positionH>
                <wp:positionV relativeFrom="paragraph">
                  <wp:posOffset>1552547</wp:posOffset>
                </wp:positionV>
                <wp:extent cx="6949026" cy="4964430"/>
                <wp:effectExtent l="0" t="0" r="0" b="7620"/>
                <wp:wrapNone/>
                <wp:docPr id="160980146" name="3D Model 9" descr="Cpu"/>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0980146" name="3D Model 9" descr="Cpu"/>
                        <pic:cNvPicPr>
                          <a:picLocks noGrp="1" noRot="1" noChangeAspect="1" noMove="1" noResize="1" noEditPoints="1" noAdjustHandles="1" noChangeArrowheads="1" noChangeShapeType="1" noCrop="1"/>
                        </pic:cNvPicPr>
                      </pic:nvPicPr>
                      <pic:blipFill>
                        <a:blip r:embed="rId20"/>
                        <a:stretch>
                          <a:fillRect/>
                        </a:stretch>
                      </pic:blipFill>
                      <pic:spPr>
                        <a:xfrm>
                          <a:off x="0" y="0"/>
                          <a:ext cx="6948805" cy="496443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A652A" w:rsidRPr="00D66C6F">
        <w:rPr>
          <w:rFonts w:ascii="Arial" w:hAnsi="Arial" w:cs="Arial"/>
        </w:rPr>
        <w:t>In comparison</w:t>
      </w:r>
      <w:r w:rsidR="00705B26" w:rsidRPr="00D66C6F">
        <w:rPr>
          <w:rFonts w:ascii="Arial" w:hAnsi="Arial" w:cs="Arial"/>
        </w:rPr>
        <w:t>, digital transformation can</w:t>
      </w:r>
      <w:r w:rsidR="00B04366" w:rsidRPr="00D66C6F">
        <w:rPr>
          <w:rFonts w:ascii="Arial" w:hAnsi="Arial" w:cs="Arial"/>
        </w:rPr>
        <w:t xml:space="preserve"> c</w:t>
      </w:r>
      <w:r w:rsidR="00705B26" w:rsidRPr="00D66C6F">
        <w:rPr>
          <w:rFonts w:ascii="Arial" w:hAnsi="Arial" w:cs="Arial"/>
        </w:rPr>
        <w:t>reate employee uncertainty</w:t>
      </w:r>
      <w:r w:rsidR="00B04366" w:rsidRPr="00D66C6F">
        <w:rPr>
          <w:rFonts w:ascii="Arial" w:hAnsi="Arial" w:cs="Arial"/>
        </w:rPr>
        <w:t xml:space="preserve"> and r</w:t>
      </w:r>
      <w:r w:rsidR="00143F11" w:rsidRPr="00D66C6F">
        <w:rPr>
          <w:rFonts w:ascii="Arial" w:hAnsi="Arial" w:cs="Arial"/>
        </w:rPr>
        <w:t>e</w:t>
      </w:r>
      <w:r w:rsidR="00705B26" w:rsidRPr="00D66C6F">
        <w:rPr>
          <w:rFonts w:ascii="Arial" w:hAnsi="Arial" w:cs="Arial"/>
        </w:rPr>
        <w:t>sistance and skills gaps if poorly managed</w:t>
      </w:r>
      <w:r w:rsidR="00B04366" w:rsidRPr="00D66C6F">
        <w:rPr>
          <w:rFonts w:ascii="Arial" w:hAnsi="Arial" w:cs="Arial"/>
        </w:rPr>
        <w:t xml:space="preserve">. </w:t>
      </w:r>
      <w:r w:rsidR="00705B26" w:rsidRPr="00D66C6F">
        <w:rPr>
          <w:rFonts w:ascii="Arial" w:hAnsi="Arial" w:cs="Arial"/>
        </w:rPr>
        <w:t>Vial (2019) argues that digital transformation requires organisational changes in processes, structures and value creation,</w:t>
      </w:r>
      <w:r w:rsidR="004A652A" w:rsidRPr="00D66C6F">
        <w:rPr>
          <w:rFonts w:ascii="Arial" w:hAnsi="Arial" w:cs="Arial"/>
        </w:rPr>
        <w:t xml:space="preserve"> and not</w:t>
      </w:r>
      <w:r w:rsidR="00705B26" w:rsidRPr="00D66C6F">
        <w:rPr>
          <w:rFonts w:ascii="Arial" w:hAnsi="Arial" w:cs="Arial"/>
        </w:rPr>
        <w:t xml:space="preserve"> simply implementing new technologies. Furthermore, Leicht-Deobald et al. (2019) highlight</w:t>
      </w:r>
      <w:r w:rsidR="004A652A" w:rsidRPr="00D66C6F">
        <w:rPr>
          <w:rFonts w:ascii="Arial" w:hAnsi="Arial" w:cs="Arial"/>
        </w:rPr>
        <w:t>ed</w:t>
      </w:r>
      <w:r w:rsidR="00705B26" w:rsidRPr="00D66C6F">
        <w:rPr>
          <w:rFonts w:ascii="Arial" w:hAnsi="Arial" w:cs="Arial"/>
        </w:rPr>
        <w:t xml:space="preserve"> that algorithmic decision-making within HR creates ethical challenges surrounding transparency, accountability and employee trust. </w:t>
      </w:r>
      <w:r w:rsidR="004A652A" w:rsidRPr="00D66C6F">
        <w:rPr>
          <w:rFonts w:ascii="Arial" w:hAnsi="Arial" w:cs="Arial"/>
        </w:rPr>
        <w:t>In continuation</w:t>
      </w:r>
      <w:r w:rsidR="00705B26" w:rsidRPr="00D66C6F">
        <w:rPr>
          <w:rFonts w:ascii="Arial" w:hAnsi="Arial" w:cs="Arial"/>
        </w:rPr>
        <w:t xml:space="preserve">, </w:t>
      </w:r>
      <w:r w:rsidR="004A652A" w:rsidRPr="00D66C6F">
        <w:rPr>
          <w:rFonts w:ascii="Arial" w:hAnsi="Arial" w:cs="Arial"/>
        </w:rPr>
        <w:t>the</w:t>
      </w:r>
      <w:r w:rsidR="00705B26" w:rsidRPr="00D66C6F">
        <w:rPr>
          <w:rFonts w:ascii="Arial" w:hAnsi="Arial" w:cs="Arial"/>
        </w:rPr>
        <w:t xml:space="preserve"> HR function</w:t>
      </w:r>
      <w:r w:rsidR="004A652A" w:rsidRPr="00D66C6F">
        <w:rPr>
          <w:rFonts w:ascii="Arial" w:hAnsi="Arial" w:cs="Arial"/>
        </w:rPr>
        <w:t xml:space="preserve"> for PCGB</w:t>
      </w:r>
      <w:r w:rsidR="00705B26" w:rsidRPr="00D66C6F">
        <w:rPr>
          <w:rFonts w:ascii="Arial" w:hAnsi="Arial" w:cs="Arial"/>
        </w:rPr>
        <w:t xml:space="preserve"> must support responsible technology adoption through digital skills development, workforce analytics and effective change management</w:t>
      </w:r>
      <w:r w:rsidR="004A652A" w:rsidRPr="00D66C6F">
        <w:rPr>
          <w:rFonts w:ascii="Arial" w:hAnsi="Arial" w:cs="Arial"/>
        </w:rPr>
        <w:t xml:space="preserve"> in aligning with organisation goals</w:t>
      </w:r>
      <w:r w:rsidR="00705B26" w:rsidRPr="00D66C6F">
        <w:rPr>
          <w:rFonts w:ascii="Arial" w:hAnsi="Arial" w:cs="Arial"/>
        </w:rPr>
        <w:t>.</w:t>
      </w:r>
    </w:p>
    <w:p w14:paraId="54423FD3" w14:textId="610C77DC" w:rsidR="00D66C6F" w:rsidRDefault="00D66C6F" w:rsidP="00143F11">
      <w:pPr>
        <w:spacing w:line="360" w:lineRule="auto"/>
        <w:jc w:val="both"/>
        <w:rPr>
          <w:rFonts w:ascii="Arial" w:hAnsi="Arial" w:cs="Arial"/>
        </w:rPr>
      </w:pPr>
    </w:p>
    <w:p w14:paraId="2561652A" w14:textId="607F3D79" w:rsidR="00D66C6F" w:rsidRDefault="00D66C6F" w:rsidP="00143F11">
      <w:pPr>
        <w:spacing w:line="360" w:lineRule="auto"/>
        <w:jc w:val="both"/>
        <w:rPr>
          <w:rFonts w:ascii="Arial" w:hAnsi="Arial" w:cs="Arial"/>
        </w:rPr>
      </w:pPr>
    </w:p>
    <w:p w14:paraId="2539D1A3" w14:textId="663B60AC" w:rsidR="009D1565" w:rsidRDefault="009D1565" w:rsidP="00143F11">
      <w:pPr>
        <w:spacing w:line="360" w:lineRule="auto"/>
        <w:jc w:val="both"/>
        <w:rPr>
          <w:rFonts w:ascii="Arial" w:hAnsi="Arial" w:cs="Arial"/>
        </w:rPr>
      </w:pPr>
    </w:p>
    <w:p w14:paraId="53F08725" w14:textId="5482DC44" w:rsidR="009D1565" w:rsidRDefault="009D1565" w:rsidP="00143F11">
      <w:pPr>
        <w:spacing w:line="360" w:lineRule="auto"/>
        <w:jc w:val="both"/>
        <w:rPr>
          <w:rFonts w:ascii="Arial" w:hAnsi="Arial" w:cs="Arial"/>
        </w:rPr>
      </w:pPr>
    </w:p>
    <w:p w14:paraId="5F469777" w14:textId="2F261191" w:rsidR="009D1565" w:rsidRDefault="009D1565" w:rsidP="00143F11">
      <w:pPr>
        <w:spacing w:line="360" w:lineRule="auto"/>
        <w:jc w:val="both"/>
        <w:rPr>
          <w:rFonts w:ascii="Arial" w:hAnsi="Arial" w:cs="Arial"/>
        </w:rPr>
      </w:pPr>
    </w:p>
    <w:p w14:paraId="1BDC7AC3" w14:textId="77777777" w:rsidR="009D1565" w:rsidRDefault="009D1565" w:rsidP="00143F11">
      <w:pPr>
        <w:spacing w:line="360" w:lineRule="auto"/>
        <w:jc w:val="both"/>
        <w:rPr>
          <w:rFonts w:ascii="Arial" w:hAnsi="Arial" w:cs="Arial"/>
        </w:rPr>
      </w:pPr>
    </w:p>
    <w:p w14:paraId="5DEE4214" w14:textId="77777777" w:rsidR="009D1565" w:rsidRDefault="009D1565" w:rsidP="00143F11">
      <w:pPr>
        <w:spacing w:line="360" w:lineRule="auto"/>
        <w:jc w:val="both"/>
        <w:rPr>
          <w:rFonts w:ascii="Arial" w:hAnsi="Arial" w:cs="Arial"/>
        </w:rPr>
      </w:pPr>
    </w:p>
    <w:p w14:paraId="335DD03C" w14:textId="77777777" w:rsidR="009D1565" w:rsidRDefault="009D1565" w:rsidP="00143F11">
      <w:pPr>
        <w:spacing w:line="360" w:lineRule="auto"/>
        <w:jc w:val="both"/>
        <w:rPr>
          <w:rFonts w:ascii="Arial" w:hAnsi="Arial" w:cs="Arial"/>
        </w:rPr>
      </w:pPr>
    </w:p>
    <w:p w14:paraId="74DB050B" w14:textId="39F5421B" w:rsidR="009D1565" w:rsidRDefault="009D1565" w:rsidP="00143F11">
      <w:pPr>
        <w:spacing w:line="360" w:lineRule="auto"/>
        <w:jc w:val="both"/>
        <w:rPr>
          <w:rFonts w:ascii="Arial" w:hAnsi="Arial" w:cs="Arial"/>
        </w:rPr>
      </w:pPr>
    </w:p>
    <w:p w14:paraId="4717CF47" w14:textId="53AE2526" w:rsidR="009D1565" w:rsidRDefault="009D1565" w:rsidP="00143F11">
      <w:pPr>
        <w:spacing w:line="360" w:lineRule="auto"/>
        <w:jc w:val="both"/>
        <w:rPr>
          <w:rFonts w:ascii="Arial" w:hAnsi="Arial" w:cs="Arial"/>
        </w:rPr>
      </w:pPr>
    </w:p>
    <w:p w14:paraId="46472272" w14:textId="6046BC4E" w:rsidR="009D1565" w:rsidRPr="00D66C6F" w:rsidRDefault="009D1565" w:rsidP="00143F11">
      <w:pPr>
        <w:spacing w:line="360" w:lineRule="auto"/>
        <w:jc w:val="both"/>
        <w:rPr>
          <w:rFonts w:ascii="Arial" w:hAnsi="Arial" w:cs="Arial"/>
        </w:rPr>
      </w:pPr>
    </w:p>
    <w:p w14:paraId="2C758068" w14:textId="6893A5AB" w:rsidR="00B04366" w:rsidRDefault="00B04366" w:rsidP="00143F11">
      <w:pPr>
        <w:spacing w:line="360" w:lineRule="auto"/>
        <w:jc w:val="center"/>
        <w:rPr>
          <w:rFonts w:ascii="Arial" w:hAnsi="Arial" w:cs="Arial"/>
          <w:b/>
          <w:bCs/>
        </w:rPr>
      </w:pPr>
    </w:p>
    <w:p w14:paraId="09C83F79" w14:textId="3EE75628" w:rsidR="00D66C6F" w:rsidRDefault="00D66C6F" w:rsidP="00143F11">
      <w:pPr>
        <w:spacing w:line="360" w:lineRule="auto"/>
        <w:jc w:val="center"/>
        <w:rPr>
          <w:rFonts w:ascii="Arial" w:hAnsi="Arial" w:cs="Arial"/>
          <w:b/>
          <w:bCs/>
        </w:rPr>
      </w:pPr>
    </w:p>
    <w:p w14:paraId="0E38512C" w14:textId="77777777" w:rsidR="00D66C6F" w:rsidRDefault="00D66C6F" w:rsidP="00143F11">
      <w:pPr>
        <w:spacing w:line="360" w:lineRule="auto"/>
        <w:jc w:val="center"/>
        <w:rPr>
          <w:rFonts w:ascii="Arial" w:hAnsi="Arial" w:cs="Arial"/>
          <w:b/>
          <w:bCs/>
        </w:rPr>
      </w:pPr>
    </w:p>
    <w:p w14:paraId="7CEB05A7" w14:textId="5AD3F96C" w:rsidR="00D66C6F" w:rsidRDefault="009D1565" w:rsidP="00143F11">
      <w:pPr>
        <w:spacing w:line="360" w:lineRule="auto"/>
        <w:jc w:val="center"/>
        <w:rPr>
          <w:rFonts w:ascii="Arial" w:hAnsi="Arial" w:cs="Arial"/>
          <w:b/>
          <w:bCs/>
        </w:rPr>
      </w:pPr>
      <w:r w:rsidRPr="00D66C6F">
        <w:rPr>
          <w:rFonts w:ascii="Arial" w:hAnsi="Arial" w:cs="Arial"/>
          <w:b/>
          <w:bCs/>
          <w:i/>
          <w:iCs/>
          <w:noProof/>
          <w14:ligatures w14:val="standardContextual"/>
        </w:rPr>
        <w:lastRenderedPageBreak/>
        <mc:AlternateContent>
          <mc:Choice Requires="am3d">
            <w:drawing>
              <wp:anchor distT="0" distB="0" distL="114300" distR="114300" simplePos="0" relativeHeight="251666432" behindDoc="0" locked="0" layoutInCell="1" allowOverlap="1" wp14:anchorId="1D68B280" wp14:editId="340E17CB">
                <wp:simplePos x="0" y="0"/>
                <wp:positionH relativeFrom="margin">
                  <wp:posOffset>-218661</wp:posOffset>
                </wp:positionH>
                <wp:positionV relativeFrom="paragraph">
                  <wp:posOffset>-369737</wp:posOffset>
                </wp:positionV>
                <wp:extent cx="7148195" cy="3904091"/>
                <wp:effectExtent l="0" t="0" r="0" b="0"/>
                <wp:wrapNone/>
                <wp:docPr id="1394894977" name="3D Model 5" descr="Group"/>
                <wp:cNvGraphicFramePr>
                  <a:graphicFrameLocks xmlns:a="http://schemas.openxmlformats.org/drawingml/2006/main" noChangeAspect="1"/>
                </wp:cNvGraphicFramePr>
                <a:graphic xmlns:a="http://schemas.openxmlformats.org/drawingml/2006/main">
                  <a:graphicData uri="http://schemas.microsoft.com/office/drawing/2017/model3d">
                    <am3d:model3d r:embed="rId21">
                      <am3d:spPr>
                        <a:xfrm>
                          <a:off x="0" y="0"/>
                          <a:ext cx="7148195" cy="3904091"/>
                        </a:xfrm>
                        <a:prstGeom prst="rect">
                          <a:avLst/>
                        </a:prstGeom>
                      </am3d:spPr>
                      <am3d:camera>
                        <am3d:pos x="0" y="0" z="67562836"/>
                        <am3d:up dx="0" dy="36000000" dz="0"/>
                        <am3d:lookAt x="0" y="0" z="0"/>
                        <am3d:perspective fov="2700000"/>
                      </am3d:camera>
                      <am3d:trans>
                        <am3d:meterPerModelUnit n="117406" d="1000000"/>
                        <am3d:preTrans dx="0" dy="-4526626" dz="0"/>
                        <am3d:scale>
                          <am3d:sx n="1000000" d="1000000"/>
                          <am3d:sy n="1000000" d="1000000"/>
                          <am3d:sz n="1000000" d="1000000"/>
                        </am3d:scale>
                        <am3d:rot ax="1379605"/>
                        <am3d:postTrans dx="0" dy="0" dz="0"/>
                      </am3d:trans>
                      <am3d:raster rName="Office3DRenderer" rVer="16.0.8326">
                        <am3d:blip r:embed="rId22"/>
                      </am3d:raster>
                      <am3d:objViewport viewportSz="761902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6432" behindDoc="0" locked="0" layoutInCell="1" allowOverlap="1" wp14:anchorId="1D68B280" wp14:editId="340E17CB">
                <wp:simplePos x="0" y="0"/>
                <wp:positionH relativeFrom="margin">
                  <wp:posOffset>-218661</wp:posOffset>
                </wp:positionH>
                <wp:positionV relativeFrom="paragraph">
                  <wp:posOffset>-369737</wp:posOffset>
                </wp:positionV>
                <wp:extent cx="7148195" cy="3904091"/>
                <wp:effectExtent l="0" t="0" r="0" b="0"/>
                <wp:wrapNone/>
                <wp:docPr id="1394894977" name="3D Model 5" descr="Group"/>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94894977" name="3D Model 5" descr="Group"/>
                        <pic:cNvPicPr>
                          <a:picLocks noGrp="1" noRot="1" noChangeAspect="1" noMove="1" noResize="1" noEditPoints="1" noAdjustHandles="1" noChangeArrowheads="1" noChangeShapeType="1" noCrop="1"/>
                        </pic:cNvPicPr>
                      </pic:nvPicPr>
                      <pic:blipFill>
                        <a:blip r:embed="rId22"/>
                        <a:stretch>
                          <a:fillRect/>
                        </a:stretch>
                      </pic:blipFill>
                      <pic:spPr>
                        <a:xfrm>
                          <a:off x="0" y="0"/>
                          <a:ext cx="7148195" cy="390398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70DAC395" w14:textId="77777777" w:rsidR="00D66C6F" w:rsidRDefault="00D66C6F" w:rsidP="00143F11">
      <w:pPr>
        <w:spacing w:line="360" w:lineRule="auto"/>
        <w:jc w:val="center"/>
        <w:rPr>
          <w:rFonts w:ascii="Arial" w:hAnsi="Arial" w:cs="Arial"/>
          <w:b/>
          <w:bCs/>
        </w:rPr>
      </w:pPr>
    </w:p>
    <w:p w14:paraId="4CBFF4A1" w14:textId="77777777" w:rsidR="00D66C6F" w:rsidRDefault="00D66C6F" w:rsidP="00143F11">
      <w:pPr>
        <w:spacing w:line="360" w:lineRule="auto"/>
        <w:jc w:val="center"/>
        <w:rPr>
          <w:rFonts w:ascii="Arial" w:hAnsi="Arial" w:cs="Arial"/>
          <w:b/>
          <w:bCs/>
        </w:rPr>
      </w:pPr>
    </w:p>
    <w:p w14:paraId="78B00301" w14:textId="77777777" w:rsidR="00D66C6F" w:rsidRDefault="00D66C6F" w:rsidP="00143F11">
      <w:pPr>
        <w:spacing w:line="360" w:lineRule="auto"/>
        <w:jc w:val="center"/>
        <w:rPr>
          <w:rFonts w:ascii="Arial" w:hAnsi="Arial" w:cs="Arial"/>
          <w:b/>
          <w:bCs/>
        </w:rPr>
      </w:pPr>
    </w:p>
    <w:p w14:paraId="6AD59F58" w14:textId="77777777" w:rsidR="009D1565" w:rsidRDefault="009D1565" w:rsidP="00143F11">
      <w:pPr>
        <w:spacing w:line="360" w:lineRule="auto"/>
        <w:jc w:val="center"/>
        <w:rPr>
          <w:rFonts w:ascii="Arial" w:hAnsi="Arial" w:cs="Arial"/>
          <w:b/>
          <w:bCs/>
        </w:rPr>
      </w:pPr>
    </w:p>
    <w:p w14:paraId="0DB1894E" w14:textId="77777777" w:rsidR="009D1565" w:rsidRDefault="009D1565" w:rsidP="00143F11">
      <w:pPr>
        <w:spacing w:line="360" w:lineRule="auto"/>
        <w:jc w:val="center"/>
        <w:rPr>
          <w:rFonts w:ascii="Arial" w:hAnsi="Arial" w:cs="Arial"/>
          <w:b/>
          <w:bCs/>
        </w:rPr>
      </w:pPr>
    </w:p>
    <w:p w14:paraId="1E993ED4" w14:textId="77777777" w:rsidR="009D1565" w:rsidRDefault="009D1565" w:rsidP="00143F11">
      <w:pPr>
        <w:spacing w:line="360" w:lineRule="auto"/>
        <w:jc w:val="center"/>
        <w:rPr>
          <w:rFonts w:ascii="Arial" w:hAnsi="Arial" w:cs="Arial"/>
          <w:b/>
          <w:bCs/>
        </w:rPr>
      </w:pPr>
    </w:p>
    <w:p w14:paraId="7FAD73C0" w14:textId="77777777" w:rsidR="009D1565" w:rsidRDefault="009D1565" w:rsidP="00143F11">
      <w:pPr>
        <w:spacing w:line="360" w:lineRule="auto"/>
        <w:jc w:val="center"/>
        <w:rPr>
          <w:rFonts w:ascii="Arial" w:hAnsi="Arial" w:cs="Arial"/>
          <w:b/>
          <w:bCs/>
        </w:rPr>
      </w:pPr>
    </w:p>
    <w:p w14:paraId="48392CCD" w14:textId="77777777" w:rsidR="009D1565" w:rsidRDefault="009D1565" w:rsidP="00143F11">
      <w:pPr>
        <w:spacing w:line="360" w:lineRule="auto"/>
        <w:jc w:val="center"/>
        <w:rPr>
          <w:rFonts w:ascii="Arial" w:hAnsi="Arial" w:cs="Arial"/>
          <w:b/>
          <w:bCs/>
        </w:rPr>
      </w:pPr>
    </w:p>
    <w:p w14:paraId="2D71A1D6" w14:textId="77777777" w:rsidR="009D1565" w:rsidRDefault="009D1565" w:rsidP="00143F11">
      <w:pPr>
        <w:spacing w:line="360" w:lineRule="auto"/>
        <w:jc w:val="center"/>
        <w:rPr>
          <w:rFonts w:ascii="Arial" w:hAnsi="Arial" w:cs="Arial"/>
          <w:b/>
          <w:bCs/>
        </w:rPr>
      </w:pPr>
    </w:p>
    <w:p w14:paraId="5194058A" w14:textId="77777777" w:rsidR="009D1565" w:rsidRPr="00D66C6F" w:rsidRDefault="009D1565" w:rsidP="00143F11">
      <w:pPr>
        <w:spacing w:line="360" w:lineRule="auto"/>
        <w:jc w:val="center"/>
        <w:rPr>
          <w:rFonts w:ascii="Arial" w:hAnsi="Arial" w:cs="Arial"/>
          <w:b/>
          <w:bCs/>
        </w:rPr>
      </w:pPr>
    </w:p>
    <w:p w14:paraId="13D172FF" w14:textId="7A62697B" w:rsidR="00705B26" w:rsidRPr="00D66C6F" w:rsidRDefault="00705B26" w:rsidP="00143F11">
      <w:pPr>
        <w:spacing w:line="360" w:lineRule="auto"/>
        <w:jc w:val="center"/>
        <w:rPr>
          <w:rFonts w:ascii="Arial" w:hAnsi="Arial" w:cs="Arial"/>
          <w:b/>
          <w:bCs/>
        </w:rPr>
      </w:pPr>
      <w:r w:rsidRPr="00D66C6F">
        <w:rPr>
          <w:rFonts w:ascii="Arial" w:hAnsi="Arial" w:cs="Arial"/>
          <w:b/>
          <w:bCs/>
        </w:rPr>
        <w:t>1.2 Talent Acquisition and Retention</w:t>
      </w:r>
    </w:p>
    <w:p w14:paraId="65356B30" w14:textId="1EE4B790" w:rsidR="00705B26" w:rsidRPr="00D66C6F" w:rsidRDefault="00705B26" w:rsidP="00143F11">
      <w:pPr>
        <w:spacing w:line="360" w:lineRule="auto"/>
        <w:jc w:val="both"/>
        <w:rPr>
          <w:rFonts w:ascii="Arial" w:hAnsi="Arial" w:cs="Arial"/>
        </w:rPr>
      </w:pPr>
      <w:r w:rsidRPr="00D66C6F">
        <w:rPr>
          <w:rFonts w:ascii="Arial" w:hAnsi="Arial" w:cs="Arial"/>
        </w:rPr>
        <w:t xml:space="preserve">A second major challenge facing PCGB is securing and retaining specialist talent required </w:t>
      </w:r>
      <w:r w:rsidR="00A959BE" w:rsidRPr="00D66C6F">
        <w:rPr>
          <w:rFonts w:ascii="Arial" w:hAnsi="Arial" w:cs="Arial"/>
        </w:rPr>
        <w:t xml:space="preserve">to remain competitive in the </w:t>
      </w:r>
      <w:r w:rsidRPr="00D66C6F">
        <w:rPr>
          <w:rFonts w:ascii="Arial" w:hAnsi="Arial" w:cs="Arial"/>
        </w:rPr>
        <w:t>future</w:t>
      </w:r>
      <w:r w:rsidR="00A959BE" w:rsidRPr="00D66C6F">
        <w:rPr>
          <w:rFonts w:ascii="Arial" w:hAnsi="Arial" w:cs="Arial"/>
        </w:rPr>
        <w:t xml:space="preserve"> of</w:t>
      </w:r>
      <w:r w:rsidRPr="00D66C6F">
        <w:rPr>
          <w:rFonts w:ascii="Arial" w:hAnsi="Arial" w:cs="Arial"/>
        </w:rPr>
        <w:t xml:space="preserve"> automotive. The shift towards electrification, software development and digital customer ecosystems has increased competition for employees with engineering, technology and data expertise. The Resource-Based View (RBV) suggests that organisations achieve sustainable competitive advantage when they possess valuable, rare and difficult-to-imitate resources, including highly skilled human capital (Barney, 1991).</w:t>
      </w:r>
    </w:p>
    <w:p w14:paraId="4D5E0660" w14:textId="5F66A475" w:rsidR="00705B26" w:rsidRPr="00D66C6F" w:rsidRDefault="00705B26" w:rsidP="00143F11">
      <w:pPr>
        <w:spacing w:line="360" w:lineRule="auto"/>
        <w:jc w:val="both"/>
        <w:rPr>
          <w:rFonts w:ascii="Arial" w:hAnsi="Arial" w:cs="Arial"/>
        </w:rPr>
      </w:pPr>
      <w:r w:rsidRPr="00D66C6F">
        <w:rPr>
          <w:rFonts w:ascii="Arial" w:hAnsi="Arial" w:cs="Arial"/>
        </w:rPr>
        <w:t xml:space="preserve">For PCGB, attracting talent is not solely dependent on remuneration but also on employer reputation, career development opportunities and organisational purpose. Strategic Human Resource Management research highlights that alignment between business strategy and people practices enables organisations to build capabilities that competitors cannot easily replicate (Boxall and Purcell, 2016). </w:t>
      </w:r>
      <w:r w:rsidR="00A205C0" w:rsidRPr="00D66C6F">
        <w:rPr>
          <w:rFonts w:ascii="Arial" w:hAnsi="Arial" w:cs="Arial"/>
        </w:rPr>
        <w:t>Although employer branding improves organisational</w:t>
      </w:r>
      <w:r w:rsidR="00820047" w:rsidRPr="00D66C6F">
        <w:rPr>
          <w:rFonts w:ascii="Arial" w:hAnsi="Arial" w:cs="Arial"/>
        </w:rPr>
        <w:t xml:space="preserve"> attractiveness, its effectiveness depends on organisational reputation, employer experience and consistency between employer and workplace reality,</w:t>
      </w:r>
      <w:r w:rsidR="00A205C0" w:rsidRPr="00D66C6F">
        <w:rPr>
          <w:rFonts w:ascii="Arial" w:hAnsi="Arial" w:cs="Arial"/>
        </w:rPr>
        <w:t xml:space="preserve"> </w:t>
      </w:r>
      <w:r w:rsidR="00820047" w:rsidRPr="00D66C6F">
        <w:rPr>
          <w:rFonts w:ascii="Arial" w:hAnsi="Arial" w:cs="Arial"/>
        </w:rPr>
        <w:t>t</w:t>
      </w:r>
      <w:r w:rsidRPr="00D66C6F">
        <w:rPr>
          <w:rFonts w:ascii="Arial" w:hAnsi="Arial" w:cs="Arial"/>
        </w:rPr>
        <w:t>herefore, HR must strengthen employer branding, workforce planning and internal development pathways to ensure future skills availability</w:t>
      </w:r>
      <w:r w:rsidR="00820047" w:rsidRPr="00D66C6F">
        <w:rPr>
          <w:rFonts w:ascii="Arial" w:hAnsi="Arial" w:cs="Arial"/>
        </w:rPr>
        <w:t xml:space="preserve"> in line with organisational goals</w:t>
      </w:r>
      <w:r w:rsidRPr="00D66C6F">
        <w:rPr>
          <w:rFonts w:ascii="Arial" w:hAnsi="Arial" w:cs="Arial"/>
        </w:rPr>
        <w:t>.</w:t>
      </w:r>
    </w:p>
    <w:p w14:paraId="2B2766F8" w14:textId="5A40FC3A" w:rsidR="00705B26" w:rsidRDefault="00705B26" w:rsidP="00143F11">
      <w:pPr>
        <w:spacing w:line="360" w:lineRule="auto"/>
        <w:jc w:val="both"/>
        <w:rPr>
          <w:rFonts w:ascii="Arial" w:hAnsi="Arial" w:cs="Arial"/>
        </w:rPr>
      </w:pPr>
      <w:r w:rsidRPr="00D66C6F">
        <w:rPr>
          <w:rFonts w:ascii="Arial" w:hAnsi="Arial" w:cs="Arial"/>
        </w:rPr>
        <w:t xml:space="preserve">Retention represents a significant challenge because highly skilled employees have increased mobility within competitive markets. </w:t>
      </w:r>
      <w:r w:rsidR="00820047" w:rsidRPr="00D66C6F">
        <w:rPr>
          <w:rFonts w:ascii="Arial" w:hAnsi="Arial" w:cs="Arial"/>
        </w:rPr>
        <w:t xml:space="preserve">The </w:t>
      </w:r>
      <w:r w:rsidRPr="00D66C6F">
        <w:rPr>
          <w:rFonts w:ascii="Arial" w:hAnsi="Arial" w:cs="Arial"/>
        </w:rPr>
        <w:t xml:space="preserve">Social Exchange Theory </w:t>
      </w:r>
      <w:r w:rsidR="00820047" w:rsidRPr="00D66C6F">
        <w:rPr>
          <w:rFonts w:ascii="Arial" w:hAnsi="Arial" w:cs="Arial"/>
        </w:rPr>
        <w:t xml:space="preserve">proposes </w:t>
      </w:r>
      <w:r w:rsidRPr="00D66C6F">
        <w:rPr>
          <w:rFonts w:ascii="Arial" w:hAnsi="Arial" w:cs="Arial"/>
        </w:rPr>
        <w:t>employees develop stronger organisational commitment when they perceive that employers provide support, development and meaningful investment in their future (Blau, 1964). For PCGB, ineffective career progression, limited learning opportunities or inconsistent leadership behaviours could negatively influence engagement and retention. Consequently, maintaining employee commitment requires a strategic approach combining learning and development, employee wellbeing and effective leadership capability.</w:t>
      </w:r>
    </w:p>
    <w:p w14:paraId="0924B8EB" w14:textId="2D2A2630" w:rsidR="009D1565" w:rsidRDefault="009D1565" w:rsidP="00143F11">
      <w:pPr>
        <w:spacing w:line="360" w:lineRule="auto"/>
        <w:jc w:val="both"/>
        <w:rPr>
          <w:rFonts w:ascii="Arial" w:hAnsi="Arial" w:cs="Arial"/>
        </w:rPr>
      </w:pPr>
      <w:r>
        <w:rPr>
          <w:rFonts w:ascii="Arial" w:hAnsi="Arial" w:cs="Arial"/>
          <w:b/>
          <w:bCs/>
          <w:noProof/>
          <w14:ligatures w14:val="standardContextual"/>
        </w:rPr>
        <w:lastRenderedPageBreak/>
        <mc:AlternateContent>
          <mc:Choice Requires="am3d">
            <w:drawing>
              <wp:anchor distT="0" distB="0" distL="114300" distR="114300" simplePos="0" relativeHeight="251672576" behindDoc="0" locked="0" layoutInCell="1" allowOverlap="1" wp14:anchorId="5D72FBE6" wp14:editId="4507C605">
                <wp:simplePos x="0" y="0"/>
                <wp:positionH relativeFrom="page">
                  <wp:align>left</wp:align>
                </wp:positionH>
                <wp:positionV relativeFrom="paragraph">
                  <wp:posOffset>-424870</wp:posOffset>
                </wp:positionV>
                <wp:extent cx="3498574" cy="1700530"/>
                <wp:effectExtent l="0" t="0" r="0" b="0"/>
                <wp:wrapNone/>
                <wp:docPr id="1890326758" name="3D Model 10" descr="Equal sign"/>
                <wp:cNvGraphicFramePr>
                  <a:graphicFrameLocks xmlns:a="http://schemas.openxmlformats.org/drawingml/2006/main" noChangeAspect="1"/>
                </wp:cNvGraphicFramePr>
                <a:graphic xmlns:a="http://schemas.openxmlformats.org/drawingml/2006/main">
                  <a:graphicData uri="http://schemas.microsoft.com/office/drawing/2017/model3d">
                    <am3d:model3d r:embed="rId23">
                      <am3d:spPr>
                        <a:xfrm>
                          <a:off x="0" y="0"/>
                          <a:ext cx="3498574" cy="1700530"/>
                        </a:xfrm>
                        <a:prstGeom prst="rect">
                          <a:avLst/>
                        </a:prstGeom>
                      </am3d:spPr>
                      <am3d:camera>
                        <am3d:pos x="0" y="0" z="56963514"/>
                        <am3d:up dx="0" dy="36000000" dz="0"/>
                        <am3d:lookAt x="0" y="0" z="0"/>
                        <am3d:perspective fov="2700000"/>
                      </am3d:camera>
                      <am3d:trans>
                        <am3d:meterPerModelUnit n="3904325" d="1000000"/>
                        <am3d:preTrans dx="0" dy="-12196367" dz="2246"/>
                        <am3d:scale>
                          <am3d:sx n="1000000" d="1000000"/>
                          <am3d:sy n="1000000" d="1000000"/>
                          <am3d:sz n="1000000" d="1000000"/>
                        </am3d:scale>
                        <am3d:rot/>
                        <am3d:postTrans dx="0" dy="0" dz="0"/>
                      </am3d:trans>
                      <am3d:raster rName="Office3DRenderer" rVer="16.0.8326">
                        <am3d:blip r:embed="rId24"/>
                      </am3d:raster>
                      <am3d:objViewport viewportSz="319953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2576" behindDoc="0" locked="0" layoutInCell="1" allowOverlap="1" wp14:anchorId="5D72FBE6" wp14:editId="4507C605">
                <wp:simplePos x="0" y="0"/>
                <wp:positionH relativeFrom="page">
                  <wp:align>left</wp:align>
                </wp:positionH>
                <wp:positionV relativeFrom="paragraph">
                  <wp:posOffset>-424870</wp:posOffset>
                </wp:positionV>
                <wp:extent cx="3498574" cy="1700530"/>
                <wp:effectExtent l="0" t="0" r="0" b="0"/>
                <wp:wrapNone/>
                <wp:docPr id="1890326758" name="3D Model 10" descr="Equal sign"/>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890326758" name="3D Model 10" descr="Equal sign"/>
                        <pic:cNvPicPr>
                          <a:picLocks noGrp="1" noRot="1" noChangeAspect="1" noMove="1" noResize="1" noEditPoints="1" noAdjustHandles="1" noChangeArrowheads="1" noChangeShapeType="1" noCrop="1"/>
                        </pic:cNvPicPr>
                      </pic:nvPicPr>
                      <pic:blipFill>
                        <a:blip r:embed="rId24"/>
                        <a:stretch>
                          <a:fillRect/>
                        </a:stretch>
                      </pic:blipFill>
                      <pic:spPr>
                        <a:xfrm>
                          <a:off x="0" y="0"/>
                          <a:ext cx="3498215" cy="170053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133D1304" w14:textId="415318FD" w:rsidR="009D1565" w:rsidRDefault="009D1565" w:rsidP="00143F11">
      <w:pPr>
        <w:spacing w:line="360" w:lineRule="auto"/>
        <w:jc w:val="both"/>
        <w:rPr>
          <w:rFonts w:ascii="Arial" w:hAnsi="Arial" w:cs="Arial"/>
        </w:rPr>
      </w:pPr>
    </w:p>
    <w:p w14:paraId="47C67D71" w14:textId="0B5AFDC6" w:rsidR="009D1565" w:rsidRDefault="009D1565" w:rsidP="00143F11">
      <w:pPr>
        <w:spacing w:line="360" w:lineRule="auto"/>
        <w:jc w:val="both"/>
        <w:rPr>
          <w:rFonts w:ascii="Arial" w:hAnsi="Arial" w:cs="Arial"/>
        </w:rPr>
      </w:pPr>
    </w:p>
    <w:p w14:paraId="5324C32F" w14:textId="26D4859B" w:rsidR="009D1565" w:rsidRPr="00D66C6F" w:rsidRDefault="009D1565" w:rsidP="00143F11">
      <w:pPr>
        <w:spacing w:line="360" w:lineRule="auto"/>
        <w:jc w:val="both"/>
        <w:rPr>
          <w:rFonts w:ascii="Arial" w:hAnsi="Arial" w:cs="Arial"/>
        </w:rPr>
      </w:pPr>
    </w:p>
    <w:p w14:paraId="7A07D9A0" w14:textId="77777777" w:rsidR="009D1565" w:rsidRDefault="009D1565" w:rsidP="00143F11">
      <w:pPr>
        <w:spacing w:line="360" w:lineRule="auto"/>
        <w:jc w:val="center"/>
        <w:rPr>
          <w:rFonts w:ascii="Arial" w:hAnsi="Arial" w:cs="Arial"/>
          <w:b/>
          <w:bCs/>
        </w:rPr>
      </w:pPr>
    </w:p>
    <w:p w14:paraId="21A6069F" w14:textId="0B2A8A49" w:rsidR="00705B26" w:rsidRPr="00D66C6F" w:rsidRDefault="00705B26" w:rsidP="00143F11">
      <w:pPr>
        <w:spacing w:line="360" w:lineRule="auto"/>
        <w:jc w:val="center"/>
        <w:rPr>
          <w:rFonts w:ascii="Arial" w:hAnsi="Arial" w:cs="Arial"/>
          <w:b/>
          <w:bCs/>
        </w:rPr>
      </w:pPr>
      <w:r w:rsidRPr="00D66C6F">
        <w:rPr>
          <w:rFonts w:ascii="Arial" w:hAnsi="Arial" w:cs="Arial"/>
          <w:b/>
          <w:bCs/>
        </w:rPr>
        <w:t>1.3 Diversity, Equity and Inclusion (DEI)</w:t>
      </w:r>
    </w:p>
    <w:p w14:paraId="7958C305" w14:textId="4EE32BF6" w:rsidR="00705B26" w:rsidRPr="00D66C6F" w:rsidRDefault="00705B26" w:rsidP="00143F11">
      <w:pPr>
        <w:spacing w:line="360" w:lineRule="auto"/>
        <w:jc w:val="both"/>
        <w:rPr>
          <w:rFonts w:ascii="Arial" w:hAnsi="Arial" w:cs="Arial"/>
        </w:rPr>
      </w:pPr>
      <w:r w:rsidRPr="00D66C6F">
        <w:rPr>
          <w:rFonts w:ascii="Arial" w:hAnsi="Arial" w:cs="Arial"/>
        </w:rPr>
        <w:t xml:space="preserve">The third challenge concerns embedding DEI into organisational culture and leadership practice. Within the automotive sector, historically characterised by technical </w:t>
      </w:r>
      <w:r w:rsidR="00971BF5" w:rsidRPr="00D66C6F">
        <w:rPr>
          <w:rFonts w:ascii="Arial" w:hAnsi="Arial" w:cs="Arial"/>
        </w:rPr>
        <w:t>specialists</w:t>
      </w:r>
      <w:r w:rsidRPr="00D66C6F">
        <w:rPr>
          <w:rFonts w:ascii="Arial" w:hAnsi="Arial" w:cs="Arial"/>
        </w:rPr>
        <w:t xml:space="preserve"> and traditionally male-dominated roles, improving diversity represents both a workforce challenge and an opportunity to access broader talent pools. Porsche identifies diversity and equal opportunity as important elements of its sustainability and corporate responsibility agenda (Porsche AG, 2024).</w:t>
      </w:r>
    </w:p>
    <w:p w14:paraId="5D3E9F09" w14:textId="77777777" w:rsidR="00705B26" w:rsidRPr="00D66C6F" w:rsidRDefault="00705B26" w:rsidP="00143F11">
      <w:pPr>
        <w:spacing w:line="360" w:lineRule="auto"/>
        <w:jc w:val="both"/>
        <w:rPr>
          <w:rFonts w:ascii="Arial" w:hAnsi="Arial" w:cs="Arial"/>
        </w:rPr>
      </w:pPr>
      <w:r w:rsidRPr="00D66C6F">
        <w:rPr>
          <w:rFonts w:ascii="Arial" w:hAnsi="Arial" w:cs="Arial"/>
        </w:rPr>
        <w:t>Research demonstrates that diversity alone does not automatically create improved performance; rather, organisations must develop inclusive environments where employees experience belonging and are able to contribute effectively. Shore et al. (2011) define inclusion as achieving a balance between employees’ need for belongingness and their ability to maintain individual uniqueness. Similarly, Mor Barak (2022) argues that inclusive organisations require systemic integration of diversity principles into leadership, policies and everyday behaviours.</w:t>
      </w:r>
    </w:p>
    <w:p w14:paraId="4667FECD" w14:textId="205D161E" w:rsidR="00705B26" w:rsidRPr="00D66C6F" w:rsidRDefault="00705B26" w:rsidP="00143F11">
      <w:pPr>
        <w:spacing w:line="360" w:lineRule="auto"/>
        <w:jc w:val="both"/>
        <w:rPr>
          <w:rFonts w:ascii="Arial" w:hAnsi="Arial" w:cs="Arial"/>
        </w:rPr>
      </w:pPr>
      <w:r w:rsidRPr="00D66C6F">
        <w:rPr>
          <w:rFonts w:ascii="Arial" w:hAnsi="Arial" w:cs="Arial"/>
        </w:rPr>
        <w:t>For PCGB, DEI challenges extend beyond recruitment practices and require cultural transformation. Leaders and managers play a critical role because employees often experience organisational values through daily management behaviours. Without visible leadership accountability, DEI initiatives risk becoming symbolic rather than creating meaningful organisational change. Therefore, PCGB must integrate inclusive leadership development, fair progression opportunities and measurable diversity objectives to support long-term workforce sustainability.</w:t>
      </w:r>
    </w:p>
    <w:p w14:paraId="1EA6D2D8" w14:textId="575096E3" w:rsidR="00705B26" w:rsidRDefault="00840648" w:rsidP="00143F11">
      <w:pPr>
        <w:spacing w:line="360" w:lineRule="auto"/>
        <w:jc w:val="both"/>
        <w:rPr>
          <w:rFonts w:ascii="Arial" w:hAnsi="Arial" w:cs="Arial"/>
        </w:rPr>
      </w:pPr>
      <w:r w:rsidRPr="00D66C6F">
        <w:rPr>
          <w:rFonts w:ascii="Arial" w:hAnsi="Arial" w:cs="Arial"/>
        </w:rPr>
        <w:t>Having reflected over the evaluation,</w:t>
      </w:r>
      <w:r w:rsidR="00705B26" w:rsidRPr="00D66C6F">
        <w:rPr>
          <w:rFonts w:ascii="Arial" w:hAnsi="Arial" w:cs="Arial"/>
        </w:rPr>
        <w:t xml:space="preserve"> the</w:t>
      </w:r>
      <w:r w:rsidRPr="00D66C6F">
        <w:rPr>
          <w:rFonts w:ascii="Arial" w:hAnsi="Arial" w:cs="Arial"/>
        </w:rPr>
        <w:t xml:space="preserve">se </w:t>
      </w:r>
      <w:r w:rsidR="00705B26" w:rsidRPr="00D66C6F">
        <w:rPr>
          <w:rFonts w:ascii="Arial" w:hAnsi="Arial" w:cs="Arial"/>
        </w:rPr>
        <w:t>three</w:t>
      </w:r>
      <w:r w:rsidRPr="00D66C6F">
        <w:rPr>
          <w:rFonts w:ascii="Arial" w:hAnsi="Arial" w:cs="Arial"/>
        </w:rPr>
        <w:t xml:space="preserve"> </w:t>
      </w:r>
      <w:r w:rsidR="00705B26" w:rsidRPr="00D66C6F">
        <w:rPr>
          <w:rFonts w:ascii="Arial" w:hAnsi="Arial" w:cs="Arial"/>
        </w:rPr>
        <w:t xml:space="preserve">HR challenges </w:t>
      </w:r>
      <w:r w:rsidRPr="00D66C6F">
        <w:rPr>
          <w:rFonts w:ascii="Arial" w:hAnsi="Arial" w:cs="Arial"/>
        </w:rPr>
        <w:t xml:space="preserve">are </w:t>
      </w:r>
      <w:r w:rsidR="00705B26" w:rsidRPr="00D66C6F">
        <w:rPr>
          <w:rFonts w:ascii="Arial" w:hAnsi="Arial" w:cs="Arial"/>
        </w:rPr>
        <w:t>interconnected. Addressing these challenges strategically</w:t>
      </w:r>
      <w:r w:rsidRPr="00D66C6F">
        <w:rPr>
          <w:rFonts w:ascii="Arial" w:hAnsi="Arial" w:cs="Arial"/>
        </w:rPr>
        <w:t xml:space="preserve"> with employee development and retention focused ethics </w:t>
      </w:r>
      <w:r w:rsidR="00705B26" w:rsidRPr="00D66C6F">
        <w:rPr>
          <w:rFonts w:ascii="Arial" w:hAnsi="Arial" w:cs="Arial"/>
        </w:rPr>
        <w:t xml:space="preserve">will enable PCGB to maintain its premium market position while developing the workforce capability for future </w:t>
      </w:r>
      <w:r w:rsidRPr="00D66C6F">
        <w:rPr>
          <w:rFonts w:ascii="Arial" w:hAnsi="Arial" w:cs="Arial"/>
        </w:rPr>
        <w:t>job readiness.</w:t>
      </w:r>
    </w:p>
    <w:p w14:paraId="736DA471" w14:textId="56448BB3" w:rsidR="009D1565" w:rsidRDefault="009D1565" w:rsidP="00143F11">
      <w:pPr>
        <w:spacing w:line="360" w:lineRule="auto"/>
        <w:jc w:val="both"/>
        <w:rPr>
          <w:rFonts w:ascii="Arial" w:hAnsi="Arial" w:cs="Arial"/>
        </w:rPr>
      </w:pPr>
      <w:r w:rsidRPr="00D66C6F">
        <w:rPr>
          <w:rFonts w:ascii="Arial" w:hAnsi="Arial" w:cs="Arial"/>
          <w:b/>
          <w:bCs/>
          <w:noProof/>
          <w14:ligatures w14:val="standardContextual"/>
        </w:rPr>
        <mc:AlternateContent>
          <mc:Choice Requires="am3d">
            <w:drawing>
              <wp:anchor distT="0" distB="0" distL="114300" distR="114300" simplePos="0" relativeHeight="251674624" behindDoc="0" locked="0" layoutInCell="1" allowOverlap="1" wp14:anchorId="1EB042B9" wp14:editId="7159C3E3">
                <wp:simplePos x="0" y="0"/>
                <wp:positionH relativeFrom="margin">
                  <wp:align>left</wp:align>
                </wp:positionH>
                <wp:positionV relativeFrom="paragraph">
                  <wp:posOffset>-1491</wp:posOffset>
                </wp:positionV>
                <wp:extent cx="6448425" cy="2250219"/>
                <wp:effectExtent l="0" t="0" r="0" b="0"/>
                <wp:wrapNone/>
                <wp:docPr id="951075035" name="3D Model 8" descr="Repeat"/>
                <wp:cNvGraphicFramePr>
                  <a:graphicFrameLocks xmlns:a="http://schemas.openxmlformats.org/drawingml/2006/main" noChangeAspect="1"/>
                </wp:cNvGraphicFramePr>
                <a:graphic xmlns:a="http://schemas.openxmlformats.org/drawingml/2006/main">
                  <a:graphicData uri="http://schemas.microsoft.com/office/drawing/2017/model3d">
                    <am3d:model3d r:embed="rId25">
                      <am3d:spPr>
                        <a:xfrm>
                          <a:off x="0" y="0"/>
                          <a:ext cx="6448425" cy="2250219"/>
                        </a:xfrm>
                        <a:prstGeom prst="rect">
                          <a:avLst/>
                        </a:prstGeom>
                      </am3d:spPr>
                      <am3d:camera>
                        <am3d:pos x="0" y="0" z="66122481"/>
                        <am3d:up dx="0" dy="36000000" dz="0"/>
                        <am3d:lookAt x="0" y="0" z="0"/>
                        <am3d:perspective fov="2700000"/>
                      </am3d:camera>
                      <am3d:trans>
                        <am3d:meterPerModelUnit n="3032270" d="1000000"/>
                        <am3d:preTrans dx="16513" dy="-17967886" dz="-1006"/>
                        <am3d:scale>
                          <am3d:sx n="1000000" d="1000000"/>
                          <am3d:sy n="1000000" d="1000000"/>
                          <am3d:sz n="1000000" d="1000000"/>
                        </am3d:scale>
                        <am3d:rot/>
                        <am3d:postTrans dx="0" dy="0" dz="0"/>
                      </am3d:trans>
                      <am3d:raster rName="Office3DRenderer" rVer="16.0.8326">
                        <am3d:blip r:embed="rId26"/>
                      </am3d:raster>
                      <am3d:objViewport viewportSz="336094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4624" behindDoc="0" locked="0" layoutInCell="1" allowOverlap="1" wp14:anchorId="1EB042B9" wp14:editId="7159C3E3">
                <wp:simplePos x="0" y="0"/>
                <wp:positionH relativeFrom="margin">
                  <wp:align>left</wp:align>
                </wp:positionH>
                <wp:positionV relativeFrom="paragraph">
                  <wp:posOffset>-1491</wp:posOffset>
                </wp:positionV>
                <wp:extent cx="6448425" cy="2250219"/>
                <wp:effectExtent l="0" t="0" r="0" b="0"/>
                <wp:wrapNone/>
                <wp:docPr id="951075035" name="3D Model 8" descr="Repea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51075035" name="3D Model 8" descr="Repeat"/>
                        <pic:cNvPicPr>
                          <a:picLocks noGrp="1" noRot="1" noChangeAspect="1" noMove="1" noResize="1" noEditPoints="1" noAdjustHandles="1" noChangeArrowheads="1" noChangeShapeType="1" noCrop="1"/>
                        </pic:cNvPicPr>
                      </pic:nvPicPr>
                      <pic:blipFill>
                        <a:blip r:embed="rId26"/>
                        <a:stretch>
                          <a:fillRect/>
                        </a:stretch>
                      </pic:blipFill>
                      <pic:spPr>
                        <a:xfrm>
                          <a:off x="0" y="0"/>
                          <a:ext cx="6448425" cy="224980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5A0F0577" w14:textId="77777777" w:rsidR="009D1565" w:rsidRDefault="009D1565" w:rsidP="00143F11">
      <w:pPr>
        <w:spacing w:line="360" w:lineRule="auto"/>
        <w:jc w:val="both"/>
        <w:rPr>
          <w:rFonts w:ascii="Arial" w:hAnsi="Arial" w:cs="Arial"/>
        </w:rPr>
      </w:pPr>
    </w:p>
    <w:p w14:paraId="0A8885C4" w14:textId="77777777" w:rsidR="009D1565" w:rsidRDefault="009D1565" w:rsidP="00143F11">
      <w:pPr>
        <w:spacing w:line="360" w:lineRule="auto"/>
        <w:jc w:val="both"/>
        <w:rPr>
          <w:rFonts w:ascii="Arial" w:hAnsi="Arial" w:cs="Arial"/>
        </w:rPr>
      </w:pPr>
    </w:p>
    <w:p w14:paraId="04150986" w14:textId="77777777" w:rsidR="009D1565" w:rsidRDefault="009D1565" w:rsidP="00143F11">
      <w:pPr>
        <w:spacing w:line="360" w:lineRule="auto"/>
        <w:jc w:val="both"/>
        <w:rPr>
          <w:rFonts w:ascii="Arial" w:hAnsi="Arial" w:cs="Arial"/>
        </w:rPr>
      </w:pPr>
    </w:p>
    <w:p w14:paraId="454D9ACB" w14:textId="77777777" w:rsidR="009D1565" w:rsidRDefault="009D1565" w:rsidP="00143F11">
      <w:pPr>
        <w:spacing w:line="360" w:lineRule="auto"/>
        <w:jc w:val="both"/>
        <w:rPr>
          <w:rFonts w:ascii="Arial" w:hAnsi="Arial" w:cs="Arial"/>
        </w:rPr>
      </w:pPr>
    </w:p>
    <w:p w14:paraId="7E6921CD" w14:textId="77777777" w:rsidR="009D1565" w:rsidRPr="00D66C6F" w:rsidRDefault="009D1565" w:rsidP="00143F11">
      <w:pPr>
        <w:spacing w:line="360" w:lineRule="auto"/>
        <w:jc w:val="both"/>
        <w:rPr>
          <w:rFonts w:ascii="Arial" w:hAnsi="Arial" w:cs="Arial"/>
        </w:rPr>
      </w:pPr>
    </w:p>
    <w:p w14:paraId="53381DF9" w14:textId="77777777" w:rsidR="00D66C6F" w:rsidRPr="00D66C6F" w:rsidRDefault="00D66C6F" w:rsidP="00143F11">
      <w:pPr>
        <w:spacing w:line="360" w:lineRule="auto"/>
        <w:jc w:val="both"/>
        <w:rPr>
          <w:rFonts w:ascii="Arial" w:hAnsi="Arial" w:cs="Arial"/>
        </w:rPr>
      </w:pPr>
    </w:p>
    <w:p w14:paraId="00F3702E" w14:textId="05DD3CB6" w:rsidR="00705B26" w:rsidRPr="00D66C6F" w:rsidRDefault="00705B26" w:rsidP="00143F11">
      <w:pPr>
        <w:spacing w:line="360" w:lineRule="auto"/>
        <w:jc w:val="center"/>
        <w:rPr>
          <w:rFonts w:ascii="Arial" w:hAnsi="Arial" w:cs="Arial"/>
          <w:b/>
          <w:bCs/>
        </w:rPr>
      </w:pPr>
      <w:r w:rsidRPr="00D66C6F">
        <w:rPr>
          <w:rFonts w:ascii="Arial" w:hAnsi="Arial" w:cs="Arial"/>
          <w:b/>
          <w:bCs/>
        </w:rPr>
        <w:lastRenderedPageBreak/>
        <w:t>2. Evaluation of Contemporary HR Practices</w:t>
      </w:r>
    </w:p>
    <w:p w14:paraId="02D31FA9" w14:textId="77777777" w:rsidR="00567B49" w:rsidRDefault="00705B26" w:rsidP="00143F11">
      <w:pPr>
        <w:spacing w:line="360" w:lineRule="auto"/>
        <w:jc w:val="both"/>
        <w:rPr>
          <w:rFonts w:ascii="Arial" w:hAnsi="Arial" w:cs="Arial"/>
        </w:rPr>
      </w:pPr>
      <w:r w:rsidRPr="00D66C6F">
        <w:rPr>
          <w:rFonts w:ascii="Arial" w:hAnsi="Arial" w:cs="Arial"/>
        </w:rPr>
        <w:t xml:space="preserve">To address the identified HR challenges, PCGB requires contemporary HR practices that integrate technological capability, strategic talent management and inclusive organisational development. Effective HR strategies must move beyond traditional administrative activities and contribute directly to organisational performance </w:t>
      </w:r>
    </w:p>
    <w:p w14:paraId="162341AC" w14:textId="76324D79" w:rsidR="00705B26" w:rsidRDefault="00705B26" w:rsidP="00143F11">
      <w:pPr>
        <w:spacing w:line="360" w:lineRule="auto"/>
        <w:jc w:val="both"/>
        <w:rPr>
          <w:rFonts w:ascii="Arial" w:hAnsi="Arial" w:cs="Arial"/>
        </w:rPr>
      </w:pPr>
      <w:r w:rsidRPr="00D66C6F">
        <w:rPr>
          <w:rFonts w:ascii="Arial" w:hAnsi="Arial" w:cs="Arial"/>
        </w:rPr>
        <w:t>by developing the workforce capabilities required</w:t>
      </w:r>
      <w:r w:rsidR="00840648" w:rsidRPr="00D66C6F">
        <w:rPr>
          <w:rFonts w:ascii="Arial" w:hAnsi="Arial" w:cs="Arial"/>
        </w:rPr>
        <w:t xml:space="preserve"> individually</w:t>
      </w:r>
      <w:r w:rsidRPr="00D66C6F">
        <w:rPr>
          <w:rFonts w:ascii="Arial" w:hAnsi="Arial" w:cs="Arial"/>
        </w:rPr>
        <w:t xml:space="preserve"> for Porsche’s future competitiveness. This section evaluates three relevant HR approaches</w:t>
      </w:r>
      <w:r w:rsidR="00840648" w:rsidRPr="00D66C6F">
        <w:rPr>
          <w:rFonts w:ascii="Arial" w:hAnsi="Arial" w:cs="Arial"/>
        </w:rPr>
        <w:t>.</w:t>
      </w:r>
    </w:p>
    <w:p w14:paraId="0AEF5AFB" w14:textId="10A07F85" w:rsidR="009D1565" w:rsidRDefault="00567B49" w:rsidP="00143F11">
      <w:pPr>
        <w:spacing w:line="360" w:lineRule="auto"/>
        <w:jc w:val="both"/>
        <w:rPr>
          <w:rFonts w:ascii="Arial" w:hAnsi="Arial" w:cs="Arial"/>
        </w:rPr>
      </w:pPr>
      <w:r>
        <w:rPr>
          <w:rFonts w:ascii="Arial" w:hAnsi="Arial" w:cs="Arial"/>
          <w:noProof/>
          <w14:ligatures w14:val="standardContextual"/>
        </w:rPr>
        <w:drawing>
          <wp:inline distT="0" distB="0" distL="0" distR="0" wp14:anchorId="7848CA7C" wp14:editId="52E6EC99">
            <wp:extent cx="6917634" cy="4555490"/>
            <wp:effectExtent l="0" t="0" r="0" b="0"/>
            <wp:docPr id="966129538" name="Graphic 12" descr="Remote wo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29538" name="Graphic 966129538" descr="Remote work with solid fill"/>
                    <pic:cNvPicPr/>
                  </pic:nvPicPr>
                  <pic:blipFill>
                    <a:blip r:embed="rId27">
                      <a:extLst>
                        <a:ext uri="{96DAC541-7B7A-43D3-8B79-37D633B846F1}">
                          <asvg:svgBlip xmlns:asvg="http://schemas.microsoft.com/office/drawing/2016/SVG/main" r:embed="rId28"/>
                        </a:ext>
                      </a:extLst>
                    </a:blip>
                    <a:stretch>
                      <a:fillRect/>
                    </a:stretch>
                  </pic:blipFill>
                  <pic:spPr>
                    <a:xfrm>
                      <a:off x="0" y="0"/>
                      <a:ext cx="6955491" cy="4580420"/>
                    </a:xfrm>
                    <a:prstGeom prst="rect">
                      <a:avLst/>
                    </a:prstGeom>
                  </pic:spPr>
                </pic:pic>
              </a:graphicData>
            </a:graphic>
          </wp:inline>
        </w:drawing>
      </w:r>
    </w:p>
    <w:p w14:paraId="619B165C" w14:textId="6C5D97D3" w:rsidR="00705B26" w:rsidRPr="00D66C6F" w:rsidRDefault="00705B26" w:rsidP="00143F11">
      <w:pPr>
        <w:spacing w:line="360" w:lineRule="auto"/>
        <w:jc w:val="center"/>
        <w:rPr>
          <w:rFonts w:ascii="Arial" w:hAnsi="Arial" w:cs="Arial"/>
          <w:b/>
          <w:bCs/>
        </w:rPr>
      </w:pPr>
      <w:r w:rsidRPr="00D66C6F">
        <w:rPr>
          <w:rFonts w:ascii="Arial" w:hAnsi="Arial" w:cs="Arial"/>
          <w:b/>
          <w:bCs/>
        </w:rPr>
        <w:t>2.1 Digital HR Systems and Workforce Analytics</w:t>
      </w:r>
    </w:p>
    <w:p w14:paraId="15B5B994" w14:textId="77777777" w:rsidR="00705B26" w:rsidRPr="00D66C6F" w:rsidRDefault="00705B26" w:rsidP="00143F11">
      <w:pPr>
        <w:spacing w:line="360" w:lineRule="auto"/>
        <w:jc w:val="both"/>
        <w:rPr>
          <w:rFonts w:ascii="Arial" w:hAnsi="Arial" w:cs="Arial"/>
        </w:rPr>
      </w:pPr>
      <w:r w:rsidRPr="00D66C6F">
        <w:rPr>
          <w:rFonts w:ascii="Arial" w:hAnsi="Arial" w:cs="Arial"/>
        </w:rPr>
        <w:t>Digital HR systems and workforce analytics provide organisations with the ability to make evidence-based decisions regarding skills, workforce planning and employee performance. Marler and Boudreau (2017) argue that HR analytics can enhance strategic decision-making by converting workforce data into meaningful insights that support organisational objectives. For PCGB, workforce analytics could identify future capability gaps associated with electrification, artificial intelligence and digital customer platforms, enabling targeted recruitment and employee development.</w:t>
      </w:r>
    </w:p>
    <w:p w14:paraId="779D1F01" w14:textId="77777777" w:rsidR="00705B26" w:rsidRDefault="00705B26" w:rsidP="00143F11">
      <w:pPr>
        <w:spacing w:line="360" w:lineRule="auto"/>
        <w:jc w:val="both"/>
        <w:rPr>
          <w:rFonts w:ascii="Arial" w:hAnsi="Arial" w:cs="Arial"/>
        </w:rPr>
      </w:pPr>
      <w:r w:rsidRPr="00D66C6F">
        <w:rPr>
          <w:rFonts w:ascii="Arial" w:hAnsi="Arial" w:cs="Arial"/>
        </w:rPr>
        <w:t xml:space="preserve">However, the implementation of digital HR technologies requires careful consideration. While analytics can improve efficiency, excessive reliance on automated decision-making may create ethical risks relating to transparency, fairness and employee trust. Leicht-Deobald et al. (2019) highlight that algorithmic HR decisions can create accountability challenges when employees do not understand how decisions are </w:t>
      </w:r>
      <w:r w:rsidRPr="00D66C6F">
        <w:rPr>
          <w:rFonts w:ascii="Arial" w:hAnsi="Arial" w:cs="Arial"/>
        </w:rPr>
        <w:lastRenderedPageBreak/>
        <w:t>generated. Therefore, PCGB should adopt a human-centred approach where technology supports, rather than replaces, managerial judgement. A phased implementation strategy involving employee consultation, training and clear governance would improve acceptance and reduce resistance.</w:t>
      </w:r>
    </w:p>
    <w:p w14:paraId="445A52F9" w14:textId="77777777" w:rsidR="00567B49" w:rsidRPr="00D66C6F" w:rsidRDefault="00567B49" w:rsidP="00143F11">
      <w:pPr>
        <w:spacing w:line="360" w:lineRule="auto"/>
        <w:jc w:val="both"/>
        <w:rPr>
          <w:rFonts w:ascii="Arial" w:hAnsi="Arial" w:cs="Arial"/>
        </w:rPr>
      </w:pPr>
    </w:p>
    <w:p w14:paraId="0B586EAD" w14:textId="77777777" w:rsidR="00D66C6F" w:rsidRPr="00D66C6F" w:rsidRDefault="00D66C6F" w:rsidP="00143F11">
      <w:pPr>
        <w:spacing w:line="360" w:lineRule="auto"/>
        <w:jc w:val="both"/>
        <w:rPr>
          <w:rFonts w:ascii="Arial" w:hAnsi="Arial" w:cs="Arial"/>
        </w:rPr>
      </w:pPr>
    </w:p>
    <w:p w14:paraId="61BB6B10" w14:textId="32D87725" w:rsidR="00705B26" w:rsidRPr="00D66C6F" w:rsidRDefault="00705B26" w:rsidP="00143F11">
      <w:pPr>
        <w:spacing w:line="360" w:lineRule="auto"/>
        <w:jc w:val="center"/>
        <w:rPr>
          <w:rFonts w:ascii="Arial" w:hAnsi="Arial" w:cs="Arial"/>
          <w:b/>
          <w:bCs/>
        </w:rPr>
      </w:pPr>
      <w:r w:rsidRPr="00D66C6F">
        <w:rPr>
          <w:rFonts w:ascii="Arial" w:hAnsi="Arial" w:cs="Arial"/>
          <w:b/>
          <w:bCs/>
        </w:rPr>
        <w:t>2.2 Strategic Talent Management and Employer Branding</w:t>
      </w:r>
    </w:p>
    <w:p w14:paraId="6E072ED5" w14:textId="77777777" w:rsidR="00705B26" w:rsidRPr="00D66C6F" w:rsidRDefault="00705B26" w:rsidP="00143F11">
      <w:pPr>
        <w:spacing w:line="360" w:lineRule="auto"/>
        <w:jc w:val="both"/>
        <w:rPr>
          <w:rFonts w:ascii="Arial" w:hAnsi="Arial" w:cs="Arial"/>
        </w:rPr>
      </w:pPr>
      <w:r w:rsidRPr="00D66C6F">
        <w:rPr>
          <w:rFonts w:ascii="Arial" w:hAnsi="Arial" w:cs="Arial"/>
        </w:rPr>
        <w:t>Strategic talent management is essential for PCGB due to increasing competition for employees with specialist engineering, software and digital skills. The Resource-Based View identifies human capability as a potential source of sustainable competitive advantage when it is valuable, rare and difficult for competitors to replicate (Barney, 1991). Consequently, PCGB should develop integrated talent strategies incorporating workforce planning, employer branding, learning and development, and internal career pathways.</w:t>
      </w:r>
    </w:p>
    <w:p w14:paraId="249CA268" w14:textId="77777777" w:rsidR="00705B26" w:rsidRPr="00D66C6F" w:rsidRDefault="00705B26" w:rsidP="00143F11">
      <w:pPr>
        <w:spacing w:line="360" w:lineRule="auto"/>
        <w:jc w:val="both"/>
        <w:rPr>
          <w:rFonts w:ascii="Arial" w:hAnsi="Arial" w:cs="Arial"/>
        </w:rPr>
      </w:pPr>
      <w:r w:rsidRPr="00D66C6F">
        <w:rPr>
          <w:rFonts w:ascii="Arial" w:hAnsi="Arial" w:cs="Arial"/>
        </w:rPr>
        <w:t>Employer branding is particularly important within premium automotive organisations where reputation influences attraction and retention. According to Backhaus and Tikoo (2004), employer branding communicates organisational values and creates a psychological connection between employees and employers. For PCGB, the Porsche brand itself provides a strong foundation for attracting talent; however, the employee experience must align with external brand promises. Failure to provide meaningful development opportunities or supportive leadership could weaken retention despite a prestigious organisational reputation.</w:t>
      </w:r>
    </w:p>
    <w:p w14:paraId="280F4188" w14:textId="77777777" w:rsidR="00705B26" w:rsidRPr="00D66C6F" w:rsidRDefault="00705B26" w:rsidP="00143F11">
      <w:pPr>
        <w:spacing w:line="360" w:lineRule="auto"/>
        <w:jc w:val="both"/>
        <w:rPr>
          <w:rFonts w:ascii="Arial" w:hAnsi="Arial" w:cs="Arial"/>
        </w:rPr>
      </w:pPr>
      <w:r w:rsidRPr="00D66C6F">
        <w:rPr>
          <w:rFonts w:ascii="Arial" w:hAnsi="Arial" w:cs="Arial"/>
        </w:rPr>
        <w:t>Learning and development should therefore become a strategic priority. Garavan et al. (2012) suggest that talent development enhances organisational capability by improving employee knowledge, skills and adaptability. For PCGB, investment in digital upskilling, leadership development and specialist technical training would support workforce readiness while strengthening employee commitment.</w:t>
      </w:r>
    </w:p>
    <w:p w14:paraId="7688CB34" w14:textId="77777777" w:rsidR="00D66C6F" w:rsidRPr="00D66C6F" w:rsidRDefault="00D66C6F" w:rsidP="00143F11">
      <w:pPr>
        <w:spacing w:line="360" w:lineRule="auto"/>
        <w:jc w:val="both"/>
        <w:rPr>
          <w:rFonts w:ascii="Arial" w:hAnsi="Arial" w:cs="Arial"/>
        </w:rPr>
      </w:pPr>
    </w:p>
    <w:p w14:paraId="6C51B866" w14:textId="30F9574E" w:rsidR="00705B26" w:rsidRPr="00D66C6F" w:rsidRDefault="00705B26" w:rsidP="00143F11">
      <w:pPr>
        <w:spacing w:line="360" w:lineRule="auto"/>
        <w:jc w:val="center"/>
        <w:rPr>
          <w:rFonts w:ascii="Arial" w:hAnsi="Arial" w:cs="Arial"/>
          <w:b/>
          <w:bCs/>
        </w:rPr>
      </w:pPr>
      <w:r w:rsidRPr="00D66C6F">
        <w:rPr>
          <w:rFonts w:ascii="Arial" w:hAnsi="Arial" w:cs="Arial"/>
          <w:b/>
          <w:bCs/>
        </w:rPr>
        <w:t>2.3 Inclusive Leadership and Diversity, Equity and Inclusion Practices</w:t>
      </w:r>
    </w:p>
    <w:p w14:paraId="161C1186" w14:textId="77777777" w:rsidR="00705B26" w:rsidRPr="00D66C6F" w:rsidRDefault="00705B26" w:rsidP="00143F11">
      <w:pPr>
        <w:spacing w:line="360" w:lineRule="auto"/>
        <w:jc w:val="both"/>
        <w:rPr>
          <w:rFonts w:ascii="Arial" w:hAnsi="Arial" w:cs="Arial"/>
        </w:rPr>
      </w:pPr>
      <w:r w:rsidRPr="00D66C6F">
        <w:rPr>
          <w:rFonts w:ascii="Arial" w:hAnsi="Arial" w:cs="Arial"/>
        </w:rPr>
        <w:t>DEI practices are increasingly recognised as contributors to innovation, employee engagement and organisational resilience. However, effective DEI requires more than policies or recruitment targets; it requires cultural integration through leadership behaviour and organisational systems. Shore et al. (2011) argue that inclusion occurs when employees experience both belongingness and recognition of their individual uniqueness. Therefore, PCGB should ensure diversity initiatives create an environment where employees feel valued and able to contribute.</w:t>
      </w:r>
    </w:p>
    <w:p w14:paraId="4DD90DE2" w14:textId="77777777" w:rsidR="00705B26" w:rsidRPr="00D66C6F" w:rsidRDefault="00705B26" w:rsidP="00143F11">
      <w:pPr>
        <w:spacing w:line="360" w:lineRule="auto"/>
        <w:jc w:val="both"/>
        <w:rPr>
          <w:rFonts w:ascii="Arial" w:hAnsi="Arial" w:cs="Arial"/>
        </w:rPr>
      </w:pPr>
      <w:r w:rsidRPr="00D66C6F">
        <w:rPr>
          <w:rFonts w:ascii="Arial" w:hAnsi="Arial" w:cs="Arial"/>
        </w:rPr>
        <w:t>Inclusive recruitment practices, such as structured interviews, diverse recruitment panels and objective assessment methods, can help reduce unconscious bias. However, recruitment processes alone cannot create sustainable inclusion. Mor Barak (2022) argues that diversity management requires organisational-wide integration, including leadership accountability, employee development and inclusive workplace practices.</w:t>
      </w:r>
    </w:p>
    <w:p w14:paraId="1AF66687" w14:textId="77777777" w:rsidR="00705B26" w:rsidRPr="00D66C6F" w:rsidRDefault="00705B26" w:rsidP="00143F11">
      <w:pPr>
        <w:spacing w:line="360" w:lineRule="auto"/>
        <w:jc w:val="both"/>
        <w:rPr>
          <w:rFonts w:ascii="Arial" w:hAnsi="Arial" w:cs="Arial"/>
        </w:rPr>
      </w:pPr>
      <w:r w:rsidRPr="00D66C6F">
        <w:rPr>
          <w:rFonts w:ascii="Arial" w:hAnsi="Arial" w:cs="Arial"/>
        </w:rPr>
        <w:lastRenderedPageBreak/>
        <w:t>For PCGB, developing inclusive leadership capability among managers is particularly important because managers influence employee experiences through everyday decisions, communication and career opportunities. Research by Nishii (2013) demonstrates that inclusive climates improve employee outcomes by encouraging collaboration and reducing perceptions of exclusion. Therefore, leadership development programmes should equip managers with the skills to manage diverse teams effectively and embed inclusion within operational decision-making.</w:t>
      </w:r>
    </w:p>
    <w:p w14:paraId="79C81132" w14:textId="77777777" w:rsidR="00705B26" w:rsidRPr="00D66C6F" w:rsidRDefault="00705B26" w:rsidP="00143F11">
      <w:pPr>
        <w:spacing w:line="360" w:lineRule="auto"/>
        <w:jc w:val="both"/>
        <w:rPr>
          <w:rFonts w:ascii="Arial" w:hAnsi="Arial" w:cs="Arial"/>
        </w:rPr>
      </w:pPr>
      <w:r w:rsidRPr="00D66C6F">
        <w:rPr>
          <w:rFonts w:ascii="Arial" w:hAnsi="Arial" w:cs="Arial"/>
        </w:rPr>
        <w:t>Overall, contemporary HR practices provide PCGB with significant opportunities to address workforce challenges; however, their effectiveness depends on strategic alignment and implementation quality. Digital HR systems must be balanced with human judgement, talent management must connect directly with Porsche’s future capability requirements, and DEI initiatives must become embedded within organisational culture. These approaches collectively support PCGB’s ability to maintain competitive advantage through a skilled, engaged and inclusive workforce.</w:t>
      </w:r>
    </w:p>
    <w:p w14:paraId="0B48A84C" w14:textId="77777777" w:rsidR="00705B26" w:rsidRPr="00D66C6F" w:rsidRDefault="00705B26" w:rsidP="00A93DB8">
      <w:pPr>
        <w:spacing w:line="360" w:lineRule="auto"/>
        <w:ind w:left="720"/>
        <w:jc w:val="both"/>
        <w:rPr>
          <w:rFonts w:ascii="Arial" w:hAnsi="Arial" w:cs="Arial"/>
          <w:b/>
          <w:bCs/>
        </w:rPr>
      </w:pPr>
    </w:p>
    <w:p w14:paraId="7D6D2C45" w14:textId="77777777" w:rsidR="00705B26" w:rsidRPr="00D66C6F" w:rsidRDefault="00705B26" w:rsidP="00A93DB8">
      <w:pPr>
        <w:spacing w:line="360" w:lineRule="auto"/>
        <w:ind w:left="720"/>
        <w:jc w:val="both"/>
        <w:rPr>
          <w:rFonts w:ascii="Arial" w:hAnsi="Arial" w:cs="Arial"/>
          <w:b/>
          <w:bCs/>
        </w:rPr>
      </w:pPr>
    </w:p>
    <w:p w14:paraId="604849E7" w14:textId="77777777" w:rsidR="00705B26" w:rsidRPr="00D66C6F" w:rsidRDefault="00705B26" w:rsidP="00A93DB8">
      <w:pPr>
        <w:spacing w:line="360" w:lineRule="auto"/>
        <w:ind w:left="720"/>
        <w:jc w:val="both"/>
        <w:rPr>
          <w:rFonts w:ascii="Arial" w:hAnsi="Arial" w:cs="Arial"/>
          <w:b/>
          <w:bCs/>
        </w:rPr>
      </w:pPr>
    </w:p>
    <w:p w14:paraId="5048000E" w14:textId="77777777" w:rsidR="00705B26" w:rsidRPr="00D66C6F" w:rsidRDefault="00705B26" w:rsidP="00A93DB8">
      <w:pPr>
        <w:spacing w:line="360" w:lineRule="auto"/>
        <w:ind w:left="720"/>
        <w:jc w:val="both"/>
        <w:rPr>
          <w:rFonts w:ascii="Arial" w:hAnsi="Arial" w:cs="Arial"/>
          <w:b/>
          <w:bCs/>
        </w:rPr>
      </w:pPr>
    </w:p>
    <w:p w14:paraId="7536EA75" w14:textId="77777777" w:rsidR="00705B26" w:rsidRPr="00D66C6F" w:rsidRDefault="00705B26" w:rsidP="00A93DB8">
      <w:pPr>
        <w:spacing w:line="360" w:lineRule="auto"/>
        <w:ind w:left="720"/>
        <w:jc w:val="both"/>
        <w:rPr>
          <w:rFonts w:ascii="Arial" w:hAnsi="Arial" w:cs="Arial"/>
          <w:b/>
          <w:bCs/>
        </w:rPr>
      </w:pPr>
    </w:p>
    <w:p w14:paraId="56CD6E62" w14:textId="77777777" w:rsidR="00705B26" w:rsidRPr="00D66C6F" w:rsidRDefault="00705B26" w:rsidP="00A93DB8">
      <w:pPr>
        <w:spacing w:line="360" w:lineRule="auto"/>
        <w:ind w:left="720"/>
        <w:jc w:val="both"/>
        <w:rPr>
          <w:rFonts w:ascii="Arial" w:hAnsi="Arial" w:cs="Arial"/>
          <w:b/>
          <w:bCs/>
        </w:rPr>
      </w:pPr>
    </w:p>
    <w:p w14:paraId="22108463" w14:textId="77777777" w:rsidR="00705B26" w:rsidRPr="00D66C6F" w:rsidRDefault="00705B26" w:rsidP="00A93DB8">
      <w:pPr>
        <w:spacing w:line="360" w:lineRule="auto"/>
        <w:ind w:left="720"/>
        <w:jc w:val="both"/>
        <w:rPr>
          <w:rFonts w:ascii="Arial" w:hAnsi="Arial" w:cs="Arial"/>
          <w:b/>
          <w:bCs/>
        </w:rPr>
      </w:pPr>
    </w:p>
    <w:p w14:paraId="6EB39B2F" w14:textId="77777777" w:rsidR="00705B26" w:rsidRPr="00D66C6F" w:rsidRDefault="00705B26" w:rsidP="00A93DB8">
      <w:pPr>
        <w:spacing w:line="360" w:lineRule="auto"/>
        <w:ind w:left="720"/>
        <w:jc w:val="both"/>
        <w:rPr>
          <w:rFonts w:ascii="Arial" w:hAnsi="Arial" w:cs="Arial"/>
          <w:b/>
          <w:bCs/>
        </w:rPr>
      </w:pPr>
    </w:p>
    <w:p w14:paraId="7B555661" w14:textId="77777777" w:rsidR="00705B26" w:rsidRPr="00D66C6F" w:rsidRDefault="00705B26" w:rsidP="00A93DB8">
      <w:pPr>
        <w:spacing w:line="360" w:lineRule="auto"/>
        <w:ind w:left="720"/>
        <w:jc w:val="both"/>
        <w:rPr>
          <w:rFonts w:ascii="Arial" w:hAnsi="Arial" w:cs="Arial"/>
          <w:b/>
          <w:bCs/>
        </w:rPr>
      </w:pPr>
    </w:p>
    <w:p w14:paraId="13DFAE45" w14:textId="77777777" w:rsidR="00705B26" w:rsidRPr="00D66C6F" w:rsidRDefault="00705B26" w:rsidP="00A93DB8">
      <w:pPr>
        <w:spacing w:line="360" w:lineRule="auto"/>
        <w:ind w:left="720"/>
        <w:jc w:val="both"/>
        <w:rPr>
          <w:rFonts w:ascii="Arial" w:hAnsi="Arial" w:cs="Arial"/>
          <w:b/>
          <w:bCs/>
        </w:rPr>
      </w:pPr>
    </w:p>
    <w:p w14:paraId="072D3741" w14:textId="77777777" w:rsidR="00705B26" w:rsidRPr="00D66C6F" w:rsidRDefault="00705B26" w:rsidP="00A93DB8">
      <w:pPr>
        <w:spacing w:line="360" w:lineRule="auto"/>
        <w:ind w:left="720"/>
        <w:jc w:val="both"/>
        <w:rPr>
          <w:rFonts w:ascii="Arial" w:hAnsi="Arial" w:cs="Arial"/>
          <w:b/>
          <w:bCs/>
        </w:rPr>
      </w:pPr>
    </w:p>
    <w:p w14:paraId="4B6015C0" w14:textId="527A793C" w:rsidR="00705B26" w:rsidRPr="00D66C6F" w:rsidRDefault="00705B26" w:rsidP="00A93DB8">
      <w:pPr>
        <w:spacing w:line="360" w:lineRule="auto"/>
        <w:ind w:left="720"/>
        <w:jc w:val="both"/>
        <w:rPr>
          <w:rFonts w:ascii="Arial" w:hAnsi="Arial" w:cs="Arial"/>
          <w:b/>
          <w:bCs/>
          <w:i/>
          <w:iCs/>
        </w:rPr>
      </w:pPr>
      <w:r w:rsidRPr="00D66C6F">
        <w:rPr>
          <w:rFonts w:ascii="Arial" w:hAnsi="Arial" w:cs="Arial"/>
          <w:b/>
          <w:bCs/>
          <w:i/>
          <w:iCs/>
        </w:rPr>
        <w:t>References:</w:t>
      </w:r>
    </w:p>
    <w:bookmarkEnd w:id="0"/>
    <w:p w14:paraId="510E962A" w14:textId="28568F8E"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Backhaus, K. and Tikoo, S. (2004) ‘Conceptualizing and researching employer branding’, </w:t>
      </w:r>
      <w:r w:rsidRPr="00D66C6F">
        <w:rPr>
          <w:rFonts w:ascii="Arial" w:hAnsi="Arial" w:cs="Arial"/>
          <w:i/>
          <w:iCs/>
        </w:rPr>
        <w:t>Career Development International</w:t>
      </w:r>
      <w:r w:rsidRPr="00D66C6F">
        <w:rPr>
          <w:rFonts w:ascii="Arial" w:hAnsi="Arial" w:cs="Arial"/>
        </w:rPr>
        <w:t>, 9(5), pp.501–517.</w:t>
      </w:r>
    </w:p>
    <w:p w14:paraId="37A3B2F2" w14:textId="58D9F7E6"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Barney, J. (1991) ‘Firm Resources and Sustained Competitive Advantage’, </w:t>
      </w:r>
      <w:r w:rsidRPr="00D66C6F">
        <w:rPr>
          <w:rFonts w:ascii="Arial" w:hAnsi="Arial" w:cs="Arial"/>
          <w:i/>
          <w:iCs/>
        </w:rPr>
        <w:t>Journal of Management</w:t>
      </w:r>
      <w:r w:rsidRPr="00D66C6F">
        <w:rPr>
          <w:rFonts w:ascii="Arial" w:hAnsi="Arial" w:cs="Arial"/>
        </w:rPr>
        <w:t>, 17(1), pp.99–120.</w:t>
      </w:r>
    </w:p>
    <w:p w14:paraId="1E14BC71" w14:textId="6207AA12"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Becker, G.S. (1964) </w:t>
      </w:r>
      <w:r w:rsidRPr="00D66C6F">
        <w:rPr>
          <w:rFonts w:ascii="Arial" w:hAnsi="Arial" w:cs="Arial"/>
          <w:i/>
          <w:iCs/>
        </w:rPr>
        <w:t>Human Capital: A Theoretical and Empirical Analysis, with Special Reference to Education</w:t>
      </w:r>
      <w:r w:rsidRPr="00D66C6F">
        <w:rPr>
          <w:rFonts w:ascii="Arial" w:hAnsi="Arial" w:cs="Arial"/>
        </w:rPr>
        <w:t>. New York: Columbia University Press.</w:t>
      </w:r>
    </w:p>
    <w:p w14:paraId="1C8DFC51" w14:textId="38B600F6"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Blau, P.M. (1964) </w:t>
      </w:r>
      <w:r w:rsidRPr="00D66C6F">
        <w:rPr>
          <w:rFonts w:ascii="Arial" w:hAnsi="Arial" w:cs="Arial"/>
          <w:i/>
          <w:iCs/>
        </w:rPr>
        <w:t>Exchange and Power in Social Life</w:t>
      </w:r>
      <w:r w:rsidRPr="00D66C6F">
        <w:rPr>
          <w:rFonts w:ascii="Arial" w:hAnsi="Arial" w:cs="Arial"/>
        </w:rPr>
        <w:t>. New York: Wiley.</w:t>
      </w:r>
    </w:p>
    <w:p w14:paraId="0E156AEC" w14:textId="41874C88"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Boxall, P. and Purcell, J. (2016) </w:t>
      </w:r>
      <w:r w:rsidRPr="00D66C6F">
        <w:rPr>
          <w:rFonts w:ascii="Arial" w:hAnsi="Arial" w:cs="Arial"/>
          <w:i/>
          <w:iCs/>
        </w:rPr>
        <w:t>Strategy and Human Resource Management</w:t>
      </w:r>
      <w:r w:rsidRPr="00D66C6F">
        <w:rPr>
          <w:rFonts w:ascii="Arial" w:hAnsi="Arial" w:cs="Arial"/>
        </w:rPr>
        <w:t>. 4th edn. London: Palgrave Macmillan.</w:t>
      </w:r>
    </w:p>
    <w:p w14:paraId="66B39BC0" w14:textId="3C8B739B"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lastRenderedPageBreak/>
        <w:t xml:space="preserve">Garavan, T.N., Carbery, R. and Rock, A. (2012) ‘Mapping talent development: Definition, scope and architecture’, </w:t>
      </w:r>
      <w:r w:rsidRPr="00D66C6F">
        <w:rPr>
          <w:rFonts w:ascii="Arial" w:hAnsi="Arial" w:cs="Arial"/>
          <w:i/>
          <w:iCs/>
        </w:rPr>
        <w:t>European Journal of Training and Development</w:t>
      </w:r>
      <w:r w:rsidRPr="00D66C6F">
        <w:rPr>
          <w:rFonts w:ascii="Arial" w:hAnsi="Arial" w:cs="Arial"/>
        </w:rPr>
        <w:t>, 36(1), pp.5–24.</w:t>
      </w:r>
    </w:p>
    <w:p w14:paraId="136B018D" w14:textId="494F8A60"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Leicht-Deobald, U., Busch, T., Schank, C., Weibel, A., Schafheitle, S., Wildhaber, I. and Kasper, G. (2019) ‘The challenges of algorithm-based HR decision-making for personal integrity’, </w:t>
      </w:r>
      <w:r w:rsidRPr="00D66C6F">
        <w:rPr>
          <w:rFonts w:ascii="Arial" w:hAnsi="Arial" w:cs="Arial"/>
          <w:i/>
          <w:iCs/>
        </w:rPr>
        <w:t>Journal of Business Ethics</w:t>
      </w:r>
      <w:r w:rsidRPr="00D66C6F">
        <w:rPr>
          <w:rFonts w:ascii="Arial" w:hAnsi="Arial" w:cs="Arial"/>
        </w:rPr>
        <w:t>, 160, pp.377–392.</w:t>
      </w:r>
    </w:p>
    <w:p w14:paraId="0B2727D0" w14:textId="02D70C55"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Marler, J.H. and Boudreau, J.W. (2017) ‘An evidence-based review of HR Analytics’, </w:t>
      </w:r>
      <w:r w:rsidRPr="00D66C6F">
        <w:rPr>
          <w:rFonts w:ascii="Arial" w:hAnsi="Arial" w:cs="Arial"/>
          <w:i/>
          <w:iCs/>
        </w:rPr>
        <w:t>The International Journal of Human Resource Management</w:t>
      </w:r>
      <w:r w:rsidRPr="00D66C6F">
        <w:rPr>
          <w:rFonts w:ascii="Arial" w:hAnsi="Arial" w:cs="Arial"/>
        </w:rPr>
        <w:t>, 28(1), pp.3–26.</w:t>
      </w:r>
    </w:p>
    <w:p w14:paraId="782F02C4" w14:textId="234BFA6D"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Mor Barak, M.E. (2022) </w:t>
      </w:r>
      <w:r w:rsidRPr="00D66C6F">
        <w:rPr>
          <w:rFonts w:ascii="Arial" w:hAnsi="Arial" w:cs="Arial"/>
          <w:i/>
          <w:iCs/>
        </w:rPr>
        <w:t>Managing Diversity: Toward a Globally Inclusive Workplace</w:t>
      </w:r>
      <w:r w:rsidRPr="00D66C6F">
        <w:rPr>
          <w:rFonts w:ascii="Arial" w:hAnsi="Arial" w:cs="Arial"/>
        </w:rPr>
        <w:t>. 5th edn. Thousand Oaks: Sage.</w:t>
      </w:r>
    </w:p>
    <w:p w14:paraId="3E8A1FDA" w14:textId="139A0A77"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Nishii, L.H. (2013) ‘The benefits of climate for inclusion for gender-diverse groups’, </w:t>
      </w:r>
      <w:r w:rsidRPr="00D66C6F">
        <w:rPr>
          <w:rFonts w:ascii="Arial" w:hAnsi="Arial" w:cs="Arial"/>
          <w:i/>
          <w:iCs/>
        </w:rPr>
        <w:t>Academy of Management Journal</w:t>
      </w:r>
      <w:r w:rsidRPr="00D66C6F">
        <w:rPr>
          <w:rFonts w:ascii="Arial" w:hAnsi="Arial" w:cs="Arial"/>
        </w:rPr>
        <w:t>, 56(6), pp.1754–1774.</w:t>
      </w:r>
    </w:p>
    <w:p w14:paraId="53F4B168" w14:textId="10367AE0"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Porsche AG (2024) </w:t>
      </w:r>
      <w:r w:rsidRPr="00D66C6F">
        <w:rPr>
          <w:rFonts w:ascii="Arial" w:hAnsi="Arial" w:cs="Arial"/>
          <w:i/>
          <w:iCs/>
        </w:rPr>
        <w:t>Annual and Sustainability Report 2023</w:t>
      </w:r>
      <w:r w:rsidRPr="00D66C6F">
        <w:rPr>
          <w:rFonts w:ascii="Arial" w:hAnsi="Arial" w:cs="Arial"/>
        </w:rPr>
        <w:t>. Stuttgart: Porsche AG.</w:t>
      </w:r>
    </w:p>
    <w:p w14:paraId="6D46B9FF" w14:textId="6E910B45"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Shore, L.M., Randel, A.E., Chung, B.G., Dean, M.A., Ehrhart, K.H. and Singh, G. (2011) ‘Inclusion and Diversity in Work Groups: A Review and Model for Future Research’, </w:t>
      </w:r>
      <w:r w:rsidRPr="00D66C6F">
        <w:rPr>
          <w:rFonts w:ascii="Arial" w:hAnsi="Arial" w:cs="Arial"/>
          <w:i/>
          <w:iCs/>
        </w:rPr>
        <w:t>Journal of Management</w:t>
      </w:r>
      <w:r w:rsidRPr="00D66C6F">
        <w:rPr>
          <w:rFonts w:ascii="Arial" w:hAnsi="Arial" w:cs="Arial"/>
        </w:rPr>
        <w:t>, 37(4), pp.1262–1289.</w:t>
      </w:r>
    </w:p>
    <w:p w14:paraId="5DB1D5A1" w14:textId="3390FBF5" w:rsidR="005E73C3"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Vial, G. (2019) ‘Understanding digital transformation: A review and a research agenda’, </w:t>
      </w:r>
      <w:r w:rsidRPr="00D66C6F">
        <w:rPr>
          <w:rFonts w:ascii="Arial" w:hAnsi="Arial" w:cs="Arial"/>
          <w:i/>
          <w:iCs/>
        </w:rPr>
        <w:t>The Journal of Strategic Information Systems</w:t>
      </w:r>
      <w:r w:rsidRPr="00D66C6F">
        <w:rPr>
          <w:rFonts w:ascii="Arial" w:hAnsi="Arial" w:cs="Arial"/>
        </w:rPr>
        <w:t>, 28(2), pp.118–144.</w:t>
      </w:r>
    </w:p>
    <w:sectPr w:rsidR="005E73C3" w:rsidRPr="00D66C6F" w:rsidSect="00705B26">
      <w:footerReference w:type="default" r:id="rId2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39FBE" w14:textId="77777777" w:rsidR="007D1DC1" w:rsidRDefault="007D1DC1" w:rsidP="0049696A">
      <w:pPr>
        <w:spacing w:after="0" w:line="240" w:lineRule="auto"/>
      </w:pPr>
      <w:r>
        <w:separator/>
      </w:r>
    </w:p>
  </w:endnote>
  <w:endnote w:type="continuationSeparator" w:id="0">
    <w:p w14:paraId="47A4F17A" w14:textId="77777777" w:rsidR="007D1DC1" w:rsidRDefault="007D1DC1" w:rsidP="00496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54537"/>
      <w:docPartObj>
        <w:docPartGallery w:val="Page Numbers (Bottom of Page)"/>
        <w:docPartUnique/>
      </w:docPartObj>
    </w:sdtPr>
    <w:sdtEndPr>
      <w:rPr>
        <w:color w:val="7F7F7F" w:themeColor="background1" w:themeShade="7F"/>
        <w:spacing w:val="60"/>
      </w:rPr>
    </w:sdtEndPr>
    <w:sdtContent>
      <w:p w14:paraId="58D76D5F" w14:textId="323DAA86" w:rsidR="0049696A" w:rsidRDefault="0049696A">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7FBD272" w14:textId="77777777" w:rsidR="0049696A" w:rsidRDefault="00496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D45A3" w14:textId="77777777" w:rsidR="007D1DC1" w:rsidRDefault="007D1DC1" w:rsidP="0049696A">
      <w:pPr>
        <w:spacing w:after="0" w:line="240" w:lineRule="auto"/>
      </w:pPr>
      <w:r>
        <w:separator/>
      </w:r>
    </w:p>
  </w:footnote>
  <w:footnote w:type="continuationSeparator" w:id="0">
    <w:p w14:paraId="3DAA0E36" w14:textId="77777777" w:rsidR="007D1DC1" w:rsidRDefault="007D1DC1" w:rsidP="00496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759D"/>
    <w:multiLevelType w:val="multilevel"/>
    <w:tmpl w:val="C4E6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7609D"/>
    <w:multiLevelType w:val="multilevel"/>
    <w:tmpl w:val="5C6A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A3C2F"/>
    <w:multiLevelType w:val="multilevel"/>
    <w:tmpl w:val="2E04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C6235"/>
    <w:multiLevelType w:val="multilevel"/>
    <w:tmpl w:val="92B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4D5938"/>
    <w:multiLevelType w:val="hybridMultilevel"/>
    <w:tmpl w:val="13F4D9F8"/>
    <w:lvl w:ilvl="0" w:tplc="0809000B">
      <w:start w:val="1"/>
      <w:numFmt w:val="bullet"/>
      <w:lvlText w:val=""/>
      <w:lvlJc w:val="left"/>
      <w:pPr>
        <w:ind w:left="1505" w:hanging="360"/>
      </w:pPr>
      <w:rPr>
        <w:rFonts w:ascii="Wingdings" w:hAnsi="Wingdings"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5" w15:restartNumberingAfterBreak="0">
    <w:nsid w:val="2B940FBD"/>
    <w:multiLevelType w:val="hybridMultilevel"/>
    <w:tmpl w:val="DE921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647955"/>
    <w:multiLevelType w:val="multilevel"/>
    <w:tmpl w:val="1F8A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4A4DEC"/>
    <w:multiLevelType w:val="hybridMultilevel"/>
    <w:tmpl w:val="18B09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CF199E"/>
    <w:multiLevelType w:val="hybridMultilevel"/>
    <w:tmpl w:val="FEE41F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E2A1710"/>
    <w:multiLevelType w:val="multilevel"/>
    <w:tmpl w:val="008C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5740092">
    <w:abstractNumId w:val="9"/>
  </w:num>
  <w:num w:numId="2" w16cid:durableId="1199704948">
    <w:abstractNumId w:val="3"/>
  </w:num>
  <w:num w:numId="3" w16cid:durableId="1333070377">
    <w:abstractNumId w:val="1"/>
  </w:num>
  <w:num w:numId="4" w16cid:durableId="668945525">
    <w:abstractNumId w:val="0"/>
  </w:num>
  <w:num w:numId="5" w16cid:durableId="1358776974">
    <w:abstractNumId w:val="6"/>
  </w:num>
  <w:num w:numId="6" w16cid:durableId="432408635">
    <w:abstractNumId w:val="5"/>
  </w:num>
  <w:num w:numId="7" w16cid:durableId="1142574292">
    <w:abstractNumId w:val="2"/>
  </w:num>
  <w:num w:numId="8" w16cid:durableId="385304329">
    <w:abstractNumId w:val="8"/>
  </w:num>
  <w:num w:numId="9" w16cid:durableId="547112691">
    <w:abstractNumId w:val="7"/>
  </w:num>
  <w:num w:numId="10" w16cid:durableId="9850851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F26"/>
    <w:rsid w:val="00093F26"/>
    <w:rsid w:val="001211CB"/>
    <w:rsid w:val="00143F11"/>
    <w:rsid w:val="001C0283"/>
    <w:rsid w:val="00224A79"/>
    <w:rsid w:val="00244264"/>
    <w:rsid w:val="002B2136"/>
    <w:rsid w:val="003134AF"/>
    <w:rsid w:val="00407715"/>
    <w:rsid w:val="004813BD"/>
    <w:rsid w:val="0049696A"/>
    <w:rsid w:val="004A0381"/>
    <w:rsid w:val="004A652A"/>
    <w:rsid w:val="004B3387"/>
    <w:rsid w:val="004C3E2B"/>
    <w:rsid w:val="005516B0"/>
    <w:rsid w:val="00567B49"/>
    <w:rsid w:val="005E73C3"/>
    <w:rsid w:val="006477CB"/>
    <w:rsid w:val="00690BDF"/>
    <w:rsid w:val="006C7E39"/>
    <w:rsid w:val="00705B26"/>
    <w:rsid w:val="00765FF1"/>
    <w:rsid w:val="007D1DC1"/>
    <w:rsid w:val="00820047"/>
    <w:rsid w:val="008268E8"/>
    <w:rsid w:val="00840648"/>
    <w:rsid w:val="008511F2"/>
    <w:rsid w:val="008867D6"/>
    <w:rsid w:val="008A45F2"/>
    <w:rsid w:val="008C3D8D"/>
    <w:rsid w:val="008E7D62"/>
    <w:rsid w:val="00971BF5"/>
    <w:rsid w:val="009B4E62"/>
    <w:rsid w:val="009D1565"/>
    <w:rsid w:val="009D41BB"/>
    <w:rsid w:val="00A00800"/>
    <w:rsid w:val="00A205C0"/>
    <w:rsid w:val="00A86638"/>
    <w:rsid w:val="00A93DB8"/>
    <w:rsid w:val="00A959BE"/>
    <w:rsid w:val="00AA7A9B"/>
    <w:rsid w:val="00AE139F"/>
    <w:rsid w:val="00B04366"/>
    <w:rsid w:val="00B74A3E"/>
    <w:rsid w:val="00B8286C"/>
    <w:rsid w:val="00D115BF"/>
    <w:rsid w:val="00D24C54"/>
    <w:rsid w:val="00D66C6F"/>
    <w:rsid w:val="00D84918"/>
    <w:rsid w:val="00D9561F"/>
    <w:rsid w:val="00E2771E"/>
    <w:rsid w:val="00ED320F"/>
    <w:rsid w:val="00F63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AD8A3"/>
  <w15:chartTrackingRefBased/>
  <w15:docId w15:val="{C68008A8-4A0A-4296-9C59-B249B91E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26"/>
    <w:pPr>
      <w:spacing w:line="259" w:lineRule="auto"/>
    </w:pPr>
    <w:rPr>
      <w:rFonts w:asciiTheme="minorHAnsi" w:hAnsiTheme="minorHAnsi" w:cstheme="minorBidi"/>
      <w:kern w:val="0"/>
      <w:sz w:val="22"/>
      <w:szCs w:val="22"/>
      <w14:ligatures w14:val="none"/>
    </w:rPr>
  </w:style>
  <w:style w:type="paragraph" w:styleId="Heading1">
    <w:name w:val="heading 1"/>
    <w:basedOn w:val="Normal"/>
    <w:next w:val="Normal"/>
    <w:link w:val="Heading1Char"/>
    <w:uiPriority w:val="9"/>
    <w:qFormat/>
    <w:rsid w:val="00093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F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F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F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F2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F2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93F2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93F2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93F2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93F2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93F2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93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F2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93F26"/>
    <w:pPr>
      <w:spacing w:before="160"/>
      <w:jc w:val="center"/>
    </w:pPr>
    <w:rPr>
      <w:i/>
      <w:iCs/>
      <w:color w:val="404040" w:themeColor="text1" w:themeTint="BF"/>
    </w:rPr>
  </w:style>
  <w:style w:type="character" w:customStyle="1" w:styleId="QuoteChar">
    <w:name w:val="Quote Char"/>
    <w:basedOn w:val="DefaultParagraphFont"/>
    <w:link w:val="Quote"/>
    <w:uiPriority w:val="29"/>
    <w:rsid w:val="00093F26"/>
    <w:rPr>
      <w:i/>
      <w:iCs/>
      <w:color w:val="404040" w:themeColor="text1" w:themeTint="BF"/>
    </w:rPr>
  </w:style>
  <w:style w:type="paragraph" w:styleId="ListParagraph">
    <w:name w:val="List Paragraph"/>
    <w:basedOn w:val="Normal"/>
    <w:uiPriority w:val="34"/>
    <w:qFormat/>
    <w:rsid w:val="00093F26"/>
    <w:pPr>
      <w:ind w:left="720"/>
      <w:contextualSpacing/>
    </w:pPr>
  </w:style>
  <w:style w:type="character" w:styleId="IntenseEmphasis">
    <w:name w:val="Intense Emphasis"/>
    <w:basedOn w:val="DefaultParagraphFont"/>
    <w:uiPriority w:val="21"/>
    <w:qFormat/>
    <w:rsid w:val="00093F26"/>
    <w:rPr>
      <w:i/>
      <w:iCs/>
      <w:color w:val="0F4761" w:themeColor="accent1" w:themeShade="BF"/>
    </w:rPr>
  </w:style>
  <w:style w:type="paragraph" w:styleId="IntenseQuote">
    <w:name w:val="Intense Quote"/>
    <w:basedOn w:val="Normal"/>
    <w:next w:val="Normal"/>
    <w:link w:val="IntenseQuoteChar"/>
    <w:uiPriority w:val="30"/>
    <w:qFormat/>
    <w:rsid w:val="00093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F26"/>
    <w:rPr>
      <w:i/>
      <w:iCs/>
      <w:color w:val="0F4761" w:themeColor="accent1" w:themeShade="BF"/>
    </w:rPr>
  </w:style>
  <w:style w:type="character" w:styleId="IntenseReference">
    <w:name w:val="Intense Reference"/>
    <w:basedOn w:val="DefaultParagraphFont"/>
    <w:uiPriority w:val="32"/>
    <w:qFormat/>
    <w:rsid w:val="00093F26"/>
    <w:rPr>
      <w:b/>
      <w:bCs/>
      <w:smallCaps/>
      <w:color w:val="0F4761" w:themeColor="accent1" w:themeShade="BF"/>
      <w:spacing w:val="5"/>
    </w:rPr>
  </w:style>
  <w:style w:type="character" w:styleId="Hyperlink">
    <w:name w:val="Hyperlink"/>
    <w:basedOn w:val="DefaultParagraphFont"/>
    <w:uiPriority w:val="99"/>
    <w:unhideWhenUsed/>
    <w:rsid w:val="005E73C3"/>
    <w:rPr>
      <w:color w:val="467886" w:themeColor="hyperlink"/>
      <w:u w:val="single"/>
    </w:rPr>
  </w:style>
  <w:style w:type="character" w:styleId="UnresolvedMention">
    <w:name w:val="Unresolved Mention"/>
    <w:basedOn w:val="DefaultParagraphFont"/>
    <w:uiPriority w:val="99"/>
    <w:semiHidden/>
    <w:unhideWhenUsed/>
    <w:rsid w:val="005E73C3"/>
    <w:rPr>
      <w:color w:val="605E5C"/>
      <w:shd w:val="clear" w:color="auto" w:fill="E1DFDD"/>
    </w:rPr>
  </w:style>
  <w:style w:type="paragraph" w:styleId="Header">
    <w:name w:val="header"/>
    <w:basedOn w:val="Normal"/>
    <w:link w:val="HeaderChar"/>
    <w:uiPriority w:val="99"/>
    <w:unhideWhenUsed/>
    <w:rsid w:val="004969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96A"/>
    <w:rPr>
      <w:rFonts w:asciiTheme="minorHAnsi" w:hAnsiTheme="minorHAnsi" w:cstheme="minorBidi"/>
      <w:kern w:val="0"/>
      <w:sz w:val="22"/>
      <w:szCs w:val="22"/>
      <w14:ligatures w14:val="none"/>
    </w:rPr>
  </w:style>
  <w:style w:type="paragraph" w:styleId="Footer">
    <w:name w:val="footer"/>
    <w:basedOn w:val="Normal"/>
    <w:link w:val="FooterChar"/>
    <w:uiPriority w:val="99"/>
    <w:unhideWhenUsed/>
    <w:rsid w:val="004969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96A"/>
    <w:rPr>
      <w:rFonts w:asciiTheme="minorHAnsi" w:hAnsiTheme="minorHAnsi" w:cstheme="minorBid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7/06/relationships/model3d" Target="media/model3d1.glb"/><Relationship Id="rId13" Type="http://schemas.openxmlformats.org/officeDocument/2006/relationships/image" Target="media/image3.png"/><Relationship Id="rId18" Type="http://schemas.microsoft.com/office/2007/relationships/diagramDrawing" Target="diagrams/drawing1.xml"/><Relationship Id="rId26" Type="http://schemas.openxmlformats.org/officeDocument/2006/relationships/image" Target="media/image7.png"/><Relationship Id="rId3" Type="http://schemas.openxmlformats.org/officeDocument/2006/relationships/styles" Target="styles.xml"/><Relationship Id="rId21" Type="http://schemas.microsoft.com/office/2017/06/relationships/model3d" Target="media/model3d5.glb"/><Relationship Id="rId7" Type="http://schemas.openxmlformats.org/officeDocument/2006/relationships/endnotes" Target="endnotes.xml"/><Relationship Id="rId12" Type="http://schemas.microsoft.com/office/2017/06/relationships/model3d" Target="media/model3d3.glb"/><Relationship Id="rId17" Type="http://schemas.openxmlformats.org/officeDocument/2006/relationships/diagramColors" Target="diagrams/colors1.xml"/><Relationship Id="rId25" Type="http://schemas.microsoft.com/office/2017/06/relationships/model3d" Target="media/model3d7.glb"/><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17/06/relationships/model3d" Target="media/model3d6.glb"/><Relationship Id="rId28" Type="http://schemas.openxmlformats.org/officeDocument/2006/relationships/image" Target="media/image9.svg"/><Relationship Id="rId10" Type="http://schemas.microsoft.com/office/2017/06/relationships/model3d" Target="media/model3d2.glb"/><Relationship Id="rId19" Type="http://schemas.microsoft.com/office/2017/06/relationships/model3d" Target="media/model3d4.glb"/><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3D9A1D-BF93-441E-A35F-C7D2DD86E284}" type="doc">
      <dgm:prSet loTypeId="urn:microsoft.com/office/officeart/2005/8/layout/hProcess11" loCatId="process" qsTypeId="urn:microsoft.com/office/officeart/2005/8/quickstyle/simple1" qsCatId="simple" csTypeId="urn:microsoft.com/office/officeart/2005/8/colors/accent1_2" csCatId="accent1" phldr="1"/>
      <dgm:spPr/>
      <dgm:t>
        <a:bodyPr/>
        <a:lstStyle/>
        <a:p>
          <a:endParaRPr lang="en-GB"/>
        </a:p>
      </dgm:t>
    </dgm:pt>
    <dgm:pt modelId="{46B01E6F-0BE0-4854-8708-CB9AA41123BD}">
      <dgm:prSet/>
      <dgm:spPr/>
      <dgm:t>
        <a:bodyPr/>
        <a:lstStyle/>
        <a:p>
          <a:r>
            <a:rPr lang="en-GB"/>
            <a:t>Adapting to technological advancement</a:t>
          </a:r>
        </a:p>
      </dgm:t>
    </dgm:pt>
    <dgm:pt modelId="{4B9C0F2F-5CF5-465A-BD93-104BF182999D}" type="parTrans" cxnId="{F64405B7-A552-4536-826F-5044359A0D10}">
      <dgm:prSet/>
      <dgm:spPr/>
      <dgm:t>
        <a:bodyPr/>
        <a:lstStyle/>
        <a:p>
          <a:endParaRPr lang="en-GB"/>
        </a:p>
      </dgm:t>
    </dgm:pt>
    <dgm:pt modelId="{88EA8609-2600-41EE-9CE1-47E7183C1F7F}" type="sibTrans" cxnId="{F64405B7-A552-4536-826F-5044359A0D10}">
      <dgm:prSet/>
      <dgm:spPr/>
      <dgm:t>
        <a:bodyPr/>
        <a:lstStyle/>
        <a:p>
          <a:endParaRPr lang="en-GB"/>
        </a:p>
      </dgm:t>
    </dgm:pt>
    <dgm:pt modelId="{04B30DA0-38CE-47A3-85D7-40CBBFEAB277}">
      <dgm:prSet/>
      <dgm:spPr/>
      <dgm:t>
        <a:bodyPr/>
        <a:lstStyle/>
        <a:p>
          <a:r>
            <a:rPr lang="en-GB"/>
            <a:t>Attracting and retaining critical talent</a:t>
          </a:r>
        </a:p>
      </dgm:t>
    </dgm:pt>
    <dgm:pt modelId="{6EFDEBE9-9B47-44B0-A8E0-6A767B368380}" type="parTrans" cxnId="{C8772897-51E1-46CD-89EA-E64C6A90FCA0}">
      <dgm:prSet/>
      <dgm:spPr/>
      <dgm:t>
        <a:bodyPr/>
        <a:lstStyle/>
        <a:p>
          <a:endParaRPr lang="en-GB"/>
        </a:p>
      </dgm:t>
    </dgm:pt>
    <dgm:pt modelId="{24AD640F-1BCE-4E9C-AA0C-94619013B34B}" type="sibTrans" cxnId="{C8772897-51E1-46CD-89EA-E64C6A90FCA0}">
      <dgm:prSet/>
      <dgm:spPr/>
      <dgm:t>
        <a:bodyPr/>
        <a:lstStyle/>
        <a:p>
          <a:endParaRPr lang="en-GB"/>
        </a:p>
      </dgm:t>
    </dgm:pt>
    <dgm:pt modelId="{ECB44E7A-FB18-4CB7-A09C-F3F61FE6B560}">
      <dgm:prSet/>
      <dgm:spPr/>
      <dgm:t>
        <a:bodyPr/>
        <a:lstStyle/>
        <a:p>
          <a:r>
            <a:rPr lang="en-GB"/>
            <a:t>Embedding diversity, equity inclusive of (DEI) within organisational practice</a:t>
          </a:r>
        </a:p>
      </dgm:t>
    </dgm:pt>
    <dgm:pt modelId="{22F2BC0D-DAA9-4FAE-A12B-33E37F8FE8A8}" type="parTrans" cxnId="{4BBFB77E-2F96-409B-AEF2-8F0EA2A588C2}">
      <dgm:prSet/>
      <dgm:spPr/>
      <dgm:t>
        <a:bodyPr/>
        <a:lstStyle/>
        <a:p>
          <a:endParaRPr lang="en-GB"/>
        </a:p>
      </dgm:t>
    </dgm:pt>
    <dgm:pt modelId="{22498CAC-FB50-4D07-A39D-D81D2A228AF9}" type="sibTrans" cxnId="{4BBFB77E-2F96-409B-AEF2-8F0EA2A588C2}">
      <dgm:prSet/>
      <dgm:spPr/>
      <dgm:t>
        <a:bodyPr/>
        <a:lstStyle/>
        <a:p>
          <a:endParaRPr lang="en-GB"/>
        </a:p>
      </dgm:t>
    </dgm:pt>
    <dgm:pt modelId="{3E1D3A8A-C032-4BCA-8BF0-E022B9DC2D2A}" type="pres">
      <dgm:prSet presAssocID="{473D9A1D-BF93-441E-A35F-C7D2DD86E284}" presName="Name0" presStyleCnt="0">
        <dgm:presLayoutVars>
          <dgm:dir/>
          <dgm:resizeHandles val="exact"/>
        </dgm:presLayoutVars>
      </dgm:prSet>
      <dgm:spPr/>
    </dgm:pt>
    <dgm:pt modelId="{B6C06794-6AF0-4AD9-95C2-7EF66387F11F}" type="pres">
      <dgm:prSet presAssocID="{473D9A1D-BF93-441E-A35F-C7D2DD86E284}" presName="arrow" presStyleLbl="bgShp" presStyleIdx="0" presStyleCnt="1"/>
      <dgm:spPr/>
    </dgm:pt>
    <dgm:pt modelId="{4D252103-53C7-4393-822A-03631E1E4CD4}" type="pres">
      <dgm:prSet presAssocID="{473D9A1D-BF93-441E-A35F-C7D2DD86E284}" presName="points" presStyleCnt="0"/>
      <dgm:spPr/>
    </dgm:pt>
    <dgm:pt modelId="{56F01DD5-4128-46D7-A394-1B3A21561463}" type="pres">
      <dgm:prSet presAssocID="{46B01E6F-0BE0-4854-8708-CB9AA41123BD}" presName="compositeA" presStyleCnt="0"/>
      <dgm:spPr/>
    </dgm:pt>
    <dgm:pt modelId="{D058E7FD-9A0D-4185-A9C5-9614CAEF11C3}" type="pres">
      <dgm:prSet presAssocID="{46B01E6F-0BE0-4854-8708-CB9AA41123BD}" presName="textA" presStyleLbl="revTx" presStyleIdx="0" presStyleCnt="3">
        <dgm:presLayoutVars>
          <dgm:bulletEnabled val="1"/>
        </dgm:presLayoutVars>
      </dgm:prSet>
      <dgm:spPr/>
    </dgm:pt>
    <dgm:pt modelId="{A9A85B0D-2408-49C4-8962-D33E81249F9B}" type="pres">
      <dgm:prSet presAssocID="{46B01E6F-0BE0-4854-8708-CB9AA41123BD}" presName="circleA" presStyleLbl="node1" presStyleIdx="0" presStyleCnt="3"/>
      <dgm:spPr/>
    </dgm:pt>
    <dgm:pt modelId="{BF1915E8-561A-49DA-A3DD-97A6B3DA0C44}" type="pres">
      <dgm:prSet presAssocID="{46B01E6F-0BE0-4854-8708-CB9AA41123BD}" presName="spaceA" presStyleCnt="0"/>
      <dgm:spPr/>
    </dgm:pt>
    <dgm:pt modelId="{0D113283-3E68-4455-943F-4F6D2A1CC3EA}" type="pres">
      <dgm:prSet presAssocID="{88EA8609-2600-41EE-9CE1-47E7183C1F7F}" presName="space" presStyleCnt="0"/>
      <dgm:spPr/>
    </dgm:pt>
    <dgm:pt modelId="{C05B13C0-177D-4590-8630-2300294C4054}" type="pres">
      <dgm:prSet presAssocID="{04B30DA0-38CE-47A3-85D7-40CBBFEAB277}" presName="compositeB" presStyleCnt="0"/>
      <dgm:spPr/>
    </dgm:pt>
    <dgm:pt modelId="{A2F144D5-2FAB-4B00-80FC-50E83AA50212}" type="pres">
      <dgm:prSet presAssocID="{04B30DA0-38CE-47A3-85D7-40CBBFEAB277}" presName="textB" presStyleLbl="revTx" presStyleIdx="1" presStyleCnt="3">
        <dgm:presLayoutVars>
          <dgm:bulletEnabled val="1"/>
        </dgm:presLayoutVars>
      </dgm:prSet>
      <dgm:spPr/>
    </dgm:pt>
    <dgm:pt modelId="{45617912-A09C-4E4D-A766-2294B74784BD}" type="pres">
      <dgm:prSet presAssocID="{04B30DA0-38CE-47A3-85D7-40CBBFEAB277}" presName="circleB" presStyleLbl="node1" presStyleIdx="1" presStyleCnt="3"/>
      <dgm:spPr/>
    </dgm:pt>
    <dgm:pt modelId="{4B4CA2C6-3AFF-4B76-8645-82D5911AF75C}" type="pres">
      <dgm:prSet presAssocID="{04B30DA0-38CE-47A3-85D7-40CBBFEAB277}" presName="spaceB" presStyleCnt="0"/>
      <dgm:spPr/>
    </dgm:pt>
    <dgm:pt modelId="{8BF4868C-4545-43DE-8E2D-671DF36B1E38}" type="pres">
      <dgm:prSet presAssocID="{24AD640F-1BCE-4E9C-AA0C-94619013B34B}" presName="space" presStyleCnt="0"/>
      <dgm:spPr/>
    </dgm:pt>
    <dgm:pt modelId="{7C1E90DD-3266-47EC-A6BA-A80A7AD97C8D}" type="pres">
      <dgm:prSet presAssocID="{ECB44E7A-FB18-4CB7-A09C-F3F61FE6B560}" presName="compositeA" presStyleCnt="0"/>
      <dgm:spPr/>
    </dgm:pt>
    <dgm:pt modelId="{B3F12845-2D6E-4973-A5A2-FAC3B80FA667}" type="pres">
      <dgm:prSet presAssocID="{ECB44E7A-FB18-4CB7-A09C-F3F61FE6B560}" presName="textA" presStyleLbl="revTx" presStyleIdx="2" presStyleCnt="3">
        <dgm:presLayoutVars>
          <dgm:bulletEnabled val="1"/>
        </dgm:presLayoutVars>
      </dgm:prSet>
      <dgm:spPr/>
    </dgm:pt>
    <dgm:pt modelId="{9CBB770C-2D3C-4776-BA17-B3124C4CC1F5}" type="pres">
      <dgm:prSet presAssocID="{ECB44E7A-FB18-4CB7-A09C-F3F61FE6B560}" presName="circleA" presStyleLbl="node1" presStyleIdx="2" presStyleCnt="3"/>
      <dgm:spPr/>
    </dgm:pt>
    <dgm:pt modelId="{8A6560C1-B91E-48EA-843E-1E4FAE4164BE}" type="pres">
      <dgm:prSet presAssocID="{ECB44E7A-FB18-4CB7-A09C-F3F61FE6B560}" presName="spaceA" presStyleCnt="0"/>
      <dgm:spPr/>
    </dgm:pt>
  </dgm:ptLst>
  <dgm:cxnLst>
    <dgm:cxn modelId="{FB390617-4AB9-4119-A0AE-126FC0B50E8A}" type="presOf" srcId="{ECB44E7A-FB18-4CB7-A09C-F3F61FE6B560}" destId="{B3F12845-2D6E-4973-A5A2-FAC3B80FA667}" srcOrd="0" destOrd="0" presId="urn:microsoft.com/office/officeart/2005/8/layout/hProcess11"/>
    <dgm:cxn modelId="{F6D3DD4A-7BD7-4D24-9511-A655C536D4C0}" type="presOf" srcId="{46B01E6F-0BE0-4854-8708-CB9AA41123BD}" destId="{D058E7FD-9A0D-4185-A9C5-9614CAEF11C3}" srcOrd="0" destOrd="0" presId="urn:microsoft.com/office/officeart/2005/8/layout/hProcess11"/>
    <dgm:cxn modelId="{7E7E7858-90D0-4256-AB6D-6944FE31831D}" type="presOf" srcId="{473D9A1D-BF93-441E-A35F-C7D2DD86E284}" destId="{3E1D3A8A-C032-4BCA-8BF0-E022B9DC2D2A}" srcOrd="0" destOrd="0" presId="urn:microsoft.com/office/officeart/2005/8/layout/hProcess11"/>
    <dgm:cxn modelId="{4BBFB77E-2F96-409B-AEF2-8F0EA2A588C2}" srcId="{473D9A1D-BF93-441E-A35F-C7D2DD86E284}" destId="{ECB44E7A-FB18-4CB7-A09C-F3F61FE6B560}" srcOrd="2" destOrd="0" parTransId="{22F2BC0D-DAA9-4FAE-A12B-33E37F8FE8A8}" sibTransId="{22498CAC-FB50-4D07-A39D-D81D2A228AF9}"/>
    <dgm:cxn modelId="{C8772897-51E1-46CD-89EA-E64C6A90FCA0}" srcId="{473D9A1D-BF93-441E-A35F-C7D2DD86E284}" destId="{04B30DA0-38CE-47A3-85D7-40CBBFEAB277}" srcOrd="1" destOrd="0" parTransId="{6EFDEBE9-9B47-44B0-A8E0-6A767B368380}" sibTransId="{24AD640F-1BCE-4E9C-AA0C-94619013B34B}"/>
    <dgm:cxn modelId="{AE2D3DAD-921C-4BBA-A700-DC16B4DE918E}" type="presOf" srcId="{04B30DA0-38CE-47A3-85D7-40CBBFEAB277}" destId="{A2F144D5-2FAB-4B00-80FC-50E83AA50212}" srcOrd="0" destOrd="0" presId="urn:microsoft.com/office/officeart/2005/8/layout/hProcess11"/>
    <dgm:cxn modelId="{F64405B7-A552-4536-826F-5044359A0D10}" srcId="{473D9A1D-BF93-441E-A35F-C7D2DD86E284}" destId="{46B01E6F-0BE0-4854-8708-CB9AA41123BD}" srcOrd="0" destOrd="0" parTransId="{4B9C0F2F-5CF5-465A-BD93-104BF182999D}" sibTransId="{88EA8609-2600-41EE-9CE1-47E7183C1F7F}"/>
    <dgm:cxn modelId="{EC3513C8-9E33-4003-B51E-8030A49D76C7}" type="presParOf" srcId="{3E1D3A8A-C032-4BCA-8BF0-E022B9DC2D2A}" destId="{B6C06794-6AF0-4AD9-95C2-7EF66387F11F}" srcOrd="0" destOrd="0" presId="urn:microsoft.com/office/officeart/2005/8/layout/hProcess11"/>
    <dgm:cxn modelId="{65A6A4D9-120B-4BB5-8243-1BAF19F019E5}" type="presParOf" srcId="{3E1D3A8A-C032-4BCA-8BF0-E022B9DC2D2A}" destId="{4D252103-53C7-4393-822A-03631E1E4CD4}" srcOrd="1" destOrd="0" presId="urn:microsoft.com/office/officeart/2005/8/layout/hProcess11"/>
    <dgm:cxn modelId="{2BDCDB90-C122-47B5-9E76-129724659797}" type="presParOf" srcId="{4D252103-53C7-4393-822A-03631E1E4CD4}" destId="{56F01DD5-4128-46D7-A394-1B3A21561463}" srcOrd="0" destOrd="0" presId="urn:microsoft.com/office/officeart/2005/8/layout/hProcess11"/>
    <dgm:cxn modelId="{810D20F0-929C-42F7-AF47-B651B8A12336}" type="presParOf" srcId="{56F01DD5-4128-46D7-A394-1B3A21561463}" destId="{D058E7FD-9A0D-4185-A9C5-9614CAEF11C3}" srcOrd="0" destOrd="0" presId="urn:microsoft.com/office/officeart/2005/8/layout/hProcess11"/>
    <dgm:cxn modelId="{4E4CEDEF-45B3-4028-BFC7-745E1A5E1795}" type="presParOf" srcId="{56F01DD5-4128-46D7-A394-1B3A21561463}" destId="{A9A85B0D-2408-49C4-8962-D33E81249F9B}" srcOrd="1" destOrd="0" presId="urn:microsoft.com/office/officeart/2005/8/layout/hProcess11"/>
    <dgm:cxn modelId="{7994341C-DE16-4467-96A8-D726113CD211}" type="presParOf" srcId="{56F01DD5-4128-46D7-A394-1B3A21561463}" destId="{BF1915E8-561A-49DA-A3DD-97A6B3DA0C44}" srcOrd="2" destOrd="0" presId="urn:microsoft.com/office/officeart/2005/8/layout/hProcess11"/>
    <dgm:cxn modelId="{7C6AB648-B259-433A-9028-C9139C816E8B}" type="presParOf" srcId="{4D252103-53C7-4393-822A-03631E1E4CD4}" destId="{0D113283-3E68-4455-943F-4F6D2A1CC3EA}" srcOrd="1" destOrd="0" presId="urn:microsoft.com/office/officeart/2005/8/layout/hProcess11"/>
    <dgm:cxn modelId="{15C93C3A-64D9-4E3A-9A3A-EBF6D4B2C1EE}" type="presParOf" srcId="{4D252103-53C7-4393-822A-03631E1E4CD4}" destId="{C05B13C0-177D-4590-8630-2300294C4054}" srcOrd="2" destOrd="0" presId="urn:microsoft.com/office/officeart/2005/8/layout/hProcess11"/>
    <dgm:cxn modelId="{C0E02440-BC90-476C-84D9-A3683C793194}" type="presParOf" srcId="{C05B13C0-177D-4590-8630-2300294C4054}" destId="{A2F144D5-2FAB-4B00-80FC-50E83AA50212}" srcOrd="0" destOrd="0" presId="urn:microsoft.com/office/officeart/2005/8/layout/hProcess11"/>
    <dgm:cxn modelId="{240E4A28-3101-4323-83A3-2B61CFFC737A}" type="presParOf" srcId="{C05B13C0-177D-4590-8630-2300294C4054}" destId="{45617912-A09C-4E4D-A766-2294B74784BD}" srcOrd="1" destOrd="0" presId="urn:microsoft.com/office/officeart/2005/8/layout/hProcess11"/>
    <dgm:cxn modelId="{80932E5E-C547-4FB0-9E09-616133E616A1}" type="presParOf" srcId="{C05B13C0-177D-4590-8630-2300294C4054}" destId="{4B4CA2C6-3AFF-4B76-8645-82D5911AF75C}" srcOrd="2" destOrd="0" presId="urn:microsoft.com/office/officeart/2005/8/layout/hProcess11"/>
    <dgm:cxn modelId="{90514720-7A2A-4367-BD97-23F90A032C00}" type="presParOf" srcId="{4D252103-53C7-4393-822A-03631E1E4CD4}" destId="{8BF4868C-4545-43DE-8E2D-671DF36B1E38}" srcOrd="3" destOrd="0" presId="urn:microsoft.com/office/officeart/2005/8/layout/hProcess11"/>
    <dgm:cxn modelId="{65DB3980-E58F-420A-BF62-CABF775E2490}" type="presParOf" srcId="{4D252103-53C7-4393-822A-03631E1E4CD4}" destId="{7C1E90DD-3266-47EC-A6BA-A80A7AD97C8D}" srcOrd="4" destOrd="0" presId="urn:microsoft.com/office/officeart/2005/8/layout/hProcess11"/>
    <dgm:cxn modelId="{7B3790E8-07A5-46DB-B1ED-6C718487BCA0}" type="presParOf" srcId="{7C1E90DD-3266-47EC-A6BA-A80A7AD97C8D}" destId="{B3F12845-2D6E-4973-A5A2-FAC3B80FA667}" srcOrd="0" destOrd="0" presId="urn:microsoft.com/office/officeart/2005/8/layout/hProcess11"/>
    <dgm:cxn modelId="{E58252B8-507E-4696-B454-512B7153F17F}" type="presParOf" srcId="{7C1E90DD-3266-47EC-A6BA-A80A7AD97C8D}" destId="{9CBB770C-2D3C-4776-BA17-B3124C4CC1F5}" srcOrd="1" destOrd="0" presId="urn:microsoft.com/office/officeart/2005/8/layout/hProcess11"/>
    <dgm:cxn modelId="{E39560C2-13EA-45B3-89B2-C1A628C379ED}" type="presParOf" srcId="{7C1E90DD-3266-47EC-A6BA-A80A7AD97C8D}" destId="{8A6560C1-B91E-48EA-843E-1E4FAE4164BE}" srcOrd="2" destOrd="0" presId="urn:microsoft.com/office/officeart/2005/8/layout/hProcess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06794-6AF0-4AD9-95C2-7EF66387F11F}">
      <dsp:nvSpPr>
        <dsp:cNvPr id="0" name=""/>
        <dsp:cNvSpPr/>
      </dsp:nvSpPr>
      <dsp:spPr>
        <a:xfrm>
          <a:off x="0" y="385190"/>
          <a:ext cx="6748423" cy="513588"/>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58E7FD-9A0D-4185-A9C5-9614CAEF11C3}">
      <dsp:nvSpPr>
        <dsp:cNvPr id="0" name=""/>
        <dsp:cNvSpPr/>
      </dsp:nvSpPr>
      <dsp:spPr>
        <a:xfrm>
          <a:off x="2965" y="0"/>
          <a:ext cx="1957306" cy="5135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GB" sz="900" kern="1200"/>
            <a:t>Adapting to technological advancement</a:t>
          </a:r>
        </a:p>
      </dsp:txBody>
      <dsp:txXfrm>
        <a:off x="2965" y="0"/>
        <a:ext cx="1957306" cy="513588"/>
      </dsp:txXfrm>
    </dsp:sp>
    <dsp:sp modelId="{A9A85B0D-2408-49C4-8962-D33E81249F9B}">
      <dsp:nvSpPr>
        <dsp:cNvPr id="0" name=""/>
        <dsp:cNvSpPr/>
      </dsp:nvSpPr>
      <dsp:spPr>
        <a:xfrm>
          <a:off x="917420" y="577786"/>
          <a:ext cx="128397" cy="12839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F144D5-2FAB-4B00-80FC-50E83AA50212}">
      <dsp:nvSpPr>
        <dsp:cNvPr id="0" name=""/>
        <dsp:cNvSpPr/>
      </dsp:nvSpPr>
      <dsp:spPr>
        <a:xfrm>
          <a:off x="2058137" y="770381"/>
          <a:ext cx="1957306" cy="5135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kern="1200"/>
            <a:t>Attracting and retaining critical talent</a:t>
          </a:r>
        </a:p>
      </dsp:txBody>
      <dsp:txXfrm>
        <a:off x="2058137" y="770381"/>
        <a:ext cx="1957306" cy="513588"/>
      </dsp:txXfrm>
    </dsp:sp>
    <dsp:sp modelId="{45617912-A09C-4E4D-A766-2294B74784BD}">
      <dsp:nvSpPr>
        <dsp:cNvPr id="0" name=""/>
        <dsp:cNvSpPr/>
      </dsp:nvSpPr>
      <dsp:spPr>
        <a:xfrm>
          <a:off x="2972591" y="577786"/>
          <a:ext cx="128397" cy="12839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F12845-2D6E-4973-A5A2-FAC3B80FA667}">
      <dsp:nvSpPr>
        <dsp:cNvPr id="0" name=""/>
        <dsp:cNvSpPr/>
      </dsp:nvSpPr>
      <dsp:spPr>
        <a:xfrm>
          <a:off x="4113308" y="0"/>
          <a:ext cx="1957306" cy="5135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GB" sz="900" kern="1200"/>
            <a:t>Embedding diversity, equity inclusive of (DEI) within organisational practice</a:t>
          </a:r>
        </a:p>
      </dsp:txBody>
      <dsp:txXfrm>
        <a:off x="4113308" y="0"/>
        <a:ext cx="1957306" cy="513588"/>
      </dsp:txXfrm>
    </dsp:sp>
    <dsp:sp modelId="{9CBB770C-2D3C-4776-BA17-B3124C4CC1F5}">
      <dsp:nvSpPr>
        <dsp:cNvPr id="0" name=""/>
        <dsp:cNvSpPr/>
      </dsp:nvSpPr>
      <dsp:spPr>
        <a:xfrm>
          <a:off x="5027763" y="577786"/>
          <a:ext cx="128397" cy="12839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timeline" pri="103"/>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52536-DCD5-49ED-B114-D157D93BC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2369</Words>
  <Characters>13506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Rehman (2309123)</dc:creator>
  <cp:keywords/>
  <dc:description/>
  <cp:lastModifiedBy>Naweed Ur Rehman (2309123)</cp:lastModifiedBy>
  <cp:revision>2</cp:revision>
  <dcterms:created xsi:type="dcterms:W3CDTF">2026-07-20T10:08:00Z</dcterms:created>
  <dcterms:modified xsi:type="dcterms:W3CDTF">2026-07-20T10:08:00Z</dcterms:modified>
</cp:coreProperties>
</file>