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DB69C8" w:rsidRDefault="00CB1EE0">
          <w:r>
            <w:rPr>
              <w:noProof/>
              <w:lang w:eastAsia="en-GB"/>
            </w:rPr>
            <mc:AlternateContent>
              <mc:Choice Requires="wps">
                <w:drawing>
                  <wp:anchor distT="0" distB="0" distL="114300" distR="114300" simplePos="0" relativeHeight="251661312" behindDoc="0" locked="0" layoutInCell="1" allowOverlap="1" wp14:anchorId="7E24B257" wp14:editId="44B51BFC">
                    <wp:simplePos x="0" y="0"/>
                    <wp:positionH relativeFrom="page">
                      <wp:posOffset>219075</wp:posOffset>
                    </wp:positionH>
                    <wp:positionV relativeFrom="page">
                      <wp:posOffset>1000125</wp:posOffset>
                    </wp:positionV>
                    <wp:extent cx="7296150" cy="46386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96150" cy="463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2FE9AA5D" w:rsidR="00CB1EE0" w:rsidRPr="00402356" w:rsidRDefault="00ED5F77" w:rsidP="00ED5F77">
                                <w:pPr>
                                  <w:rPr>
                                    <w:i/>
                                    <w:iCs/>
                                    <w:sz w:val="48"/>
                                    <w:szCs w:val="48"/>
                                  </w:rPr>
                                </w:pPr>
                                <w:r w:rsidRPr="00402356">
                                  <w:rPr>
                                    <w:caps/>
                                    <w:sz w:val="48"/>
                                    <w:szCs w:val="48"/>
                                  </w:rPr>
                                  <w:t>Food Waste Reduction in the Hotel and Hospitality Sector - Balancing Sustainability Objectives and Operational Efficiency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17.25pt;margin-top:78.75pt;width:574.5pt;height:36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" filled="f" stroked="f" strokeweight=".5pt">
                    <v:textbox inset="126pt,0,54pt,0">
                      <w:txbxContent>
                        <w:p w14:paraId="7E24B26B" w14:textId="2FE9AA5D" w:rsidR="00CB1EE0" w:rsidRPr="00402356" w:rsidRDefault="00ED5F77" w:rsidP="00ED5F77">
                          <w:pPr>
                            <w:rPr>
                              <w:i/>
                              <w:iCs/>
                              <w:sz w:val="48"/>
                              <w:szCs w:val="48"/>
                            </w:rPr>
                          </w:pPr>
                          <w:r w:rsidRPr="00402356">
                            <w:rPr>
                              <w:caps/>
                              <w:sz w:val="48"/>
                              <w:szCs w:val="48"/>
                            </w:rPr>
                            <w:t>Food Waste Reduction in the Hotel and Hospitality Sector - Balancing Sustainability Objectives and Operational Efficiency</w:t>
                          </w:r>
                        </w:p>
                      </w:txbxContent>
                    </v:textbox>
                    <w10:wrap type="square" anchorx="page" anchory="page"/>
                  </v:shape>
                </w:pict>
              </mc:Fallback>
            </mc:AlternateContent>
          </w:r>
          <w:r>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14:paraId="7E24B21D" w14:textId="77777777" w:rsidR="00DB69C8" w:rsidRDefault="00DB69C8" w:rsidP="00DB69C8">
          <w:pPr>
            <w:rPr>
              <w:rFonts w:ascii="Georgia" w:hAnsi="Georgia"/>
              <w:bCs/>
              <w:sz w:val="36"/>
              <w:szCs w:val="36"/>
            </w:rPr>
          </w:pPr>
          <w:r>
            <w:rPr>
              <w:rFonts w:ascii="Georgia" w:hAnsi="Georgia"/>
              <w:bCs/>
              <w:sz w:val="36"/>
              <w:szCs w:val="36"/>
            </w:rPr>
            <w:t xml:space="preserve">       </w:t>
          </w:r>
        </w:p>
        <w:p w14:paraId="7E24B21E"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Name: Mihai Serban</w:t>
          </w:r>
        </w:p>
        <w:p w14:paraId="7E24B21F"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Student ID number: 2244688</w:t>
          </w:r>
        </w:p>
        <w:p w14:paraId="7E24B220" w14:textId="093402A4"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Module title: </w:t>
          </w:r>
          <w:r w:rsidR="00FF3F38">
            <w:rPr>
              <w:rFonts w:ascii="Georgia" w:hAnsi="Georgia"/>
              <w:bCs/>
              <w:sz w:val="36"/>
              <w:szCs w:val="36"/>
            </w:rPr>
            <w:t xml:space="preserve"> </w:t>
          </w:r>
          <w:r w:rsidR="000A2C12" w:rsidRPr="000A2C12">
            <w:rPr>
              <w:rFonts w:ascii="Georgia" w:hAnsi="Georgia"/>
              <w:bCs/>
              <w:sz w:val="36"/>
              <w:szCs w:val="36"/>
            </w:rPr>
            <w:t xml:space="preserve">Contemporary Themes in the Hotel and Hospitality Sector </w:t>
          </w:r>
          <w:r w:rsidR="000C3BC8" w:rsidRPr="000C3BC8">
            <w:rPr>
              <w:rFonts w:ascii="Georgia" w:hAnsi="Georgia"/>
              <w:bCs/>
              <w:sz w:val="36"/>
              <w:szCs w:val="36"/>
            </w:rPr>
            <w:t>(</w:t>
          </w:r>
          <w:r w:rsidR="000A2C12" w:rsidRPr="000A2C12">
            <w:rPr>
              <w:rFonts w:ascii="Georgia" w:hAnsi="Georgia"/>
              <w:bCs/>
              <w:sz w:val="36"/>
              <w:szCs w:val="36"/>
            </w:rPr>
            <w:t>BMIH6001</w:t>
          </w:r>
          <w:r w:rsidR="000C3BC8" w:rsidRPr="000C3BC8">
            <w:rPr>
              <w:rFonts w:ascii="Georgia" w:hAnsi="Georgia"/>
              <w:bCs/>
              <w:sz w:val="36"/>
              <w:szCs w:val="36"/>
            </w:rPr>
            <w:t>)</w:t>
          </w:r>
          <w:r w:rsidR="00FF3F38">
            <w:rPr>
              <w:rFonts w:ascii="Georgia" w:hAnsi="Georgia"/>
              <w:bCs/>
              <w:sz w:val="36"/>
              <w:szCs w:val="36"/>
            </w:rPr>
            <w:tab/>
          </w:r>
        </w:p>
        <w:p w14:paraId="7E24B221" w14:textId="58465150"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Lecturer’s name: </w:t>
          </w:r>
          <w:r w:rsidR="000A2C12" w:rsidRPr="000A2C12">
            <w:rPr>
              <w:rFonts w:ascii="Georgia" w:hAnsi="Georgia"/>
              <w:bCs/>
              <w:sz w:val="36"/>
              <w:szCs w:val="36"/>
            </w:rPr>
            <w:t xml:space="preserve">Dr Ernest Balutie </w:t>
          </w:r>
          <w:proofErr w:type="spellStart"/>
          <w:r w:rsidR="000A2C12" w:rsidRPr="000A2C12">
            <w:rPr>
              <w:rFonts w:ascii="Georgia" w:hAnsi="Georgia"/>
              <w:bCs/>
              <w:sz w:val="36"/>
              <w:szCs w:val="36"/>
            </w:rPr>
            <w:t>Wavei</w:t>
          </w:r>
          <w:proofErr w:type="spellEnd"/>
        </w:p>
        <w:p w14:paraId="7E24B223" w14:textId="2783C43D" w:rsidR="00DB69C8" w:rsidRPr="001C3987" w:rsidRDefault="00DB69C8" w:rsidP="00210646">
          <w:pPr>
            <w:numPr>
              <w:ilvl w:val="0"/>
              <w:numId w:val="1"/>
            </w:numPr>
            <w:rPr>
              <w:rFonts w:ascii="Georgia" w:hAnsi="Georgia"/>
              <w:bCs/>
              <w:sz w:val="36"/>
              <w:szCs w:val="36"/>
            </w:rPr>
          </w:pPr>
          <w:r w:rsidRPr="001C3987">
            <w:rPr>
              <w:rFonts w:ascii="Georgia" w:hAnsi="Georgia"/>
              <w:bCs/>
              <w:sz w:val="36"/>
              <w:szCs w:val="36"/>
            </w:rPr>
            <w:t>Word Count</w:t>
          </w:r>
          <w:r w:rsidR="00CF04F9">
            <w:rPr>
              <w:rFonts w:ascii="Georgia" w:hAnsi="Georgia"/>
              <w:bCs/>
              <w:sz w:val="36"/>
              <w:szCs w:val="36"/>
            </w:rPr>
            <w:t>:</w:t>
          </w:r>
          <w:r w:rsidR="00A659DD">
            <w:rPr>
              <w:rFonts w:ascii="Georgia" w:hAnsi="Georgia"/>
              <w:bCs/>
              <w:sz w:val="36"/>
              <w:szCs w:val="36"/>
            </w:rPr>
            <w:t xml:space="preserve"> </w:t>
          </w:r>
          <w:r w:rsidR="00A30E9F">
            <w:rPr>
              <w:rFonts w:ascii="Georgia" w:hAnsi="Georgia"/>
              <w:bCs/>
              <w:sz w:val="36"/>
              <w:szCs w:val="36"/>
            </w:rPr>
            <w:t>2</w:t>
          </w:r>
          <w:r w:rsidR="00E3534F">
            <w:rPr>
              <w:rFonts w:ascii="Georgia" w:hAnsi="Georgia"/>
              <w:bCs/>
              <w:sz w:val="36"/>
              <w:szCs w:val="36"/>
            </w:rPr>
            <w:t>7</w:t>
          </w:r>
          <w:r w:rsidR="001C45EC">
            <w:rPr>
              <w:rFonts w:ascii="Georgia" w:hAnsi="Georgia"/>
              <w:bCs/>
              <w:sz w:val="36"/>
              <w:szCs w:val="36"/>
            </w:rPr>
            <w:t>40</w:t>
          </w:r>
        </w:p>
        <w:p w14:paraId="330B137E" w14:textId="77777777" w:rsidR="009B28E1" w:rsidRDefault="00CB1EE0" w:rsidP="009B28E1">
          <w:pPr>
            <w:rPr>
              <w:rFonts w:ascii="Georgia" w:hAnsi="Georgia"/>
              <w:sz w:val="28"/>
              <w:szCs w:val="28"/>
            </w:rPr>
          </w:pPr>
          <w:r>
            <w:rPr>
              <w:rFonts w:ascii="Georgia" w:hAnsi="Georgia"/>
              <w:sz w:val="28"/>
              <w:szCs w:val="28"/>
            </w:rPr>
            <w:br w:type="page"/>
          </w:r>
        </w:p>
      </w:sdtContent>
    </w:sdt>
    <w:p w14:paraId="5F1623A4" w14:textId="77777777" w:rsidR="00EC65A5" w:rsidRPr="00231D56" w:rsidRDefault="00EC65A5" w:rsidP="00231D56">
      <w:pPr>
        <w:spacing w:line="360" w:lineRule="auto"/>
        <w:rPr>
          <w:rFonts w:ascii="Arial" w:hAnsi="Arial" w:cs="Arial"/>
          <w:sz w:val="24"/>
          <w:szCs w:val="24"/>
        </w:rPr>
      </w:pPr>
      <w:r w:rsidRPr="00231D56">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90BB7D7" w14:textId="77777777" w:rsidR="00A659DD" w:rsidRPr="00231D56" w:rsidRDefault="00A659DD" w:rsidP="00231D56">
      <w:pPr>
        <w:spacing w:line="360" w:lineRule="auto"/>
        <w:rPr>
          <w:rFonts w:ascii="Arial" w:hAnsi="Arial" w:cs="Arial"/>
          <w:b/>
          <w:bCs/>
          <w:sz w:val="24"/>
          <w:szCs w:val="24"/>
        </w:rPr>
      </w:pPr>
    </w:p>
    <w:p w14:paraId="458EE423" w14:textId="77777777" w:rsidR="00A659DD" w:rsidRPr="00231D56" w:rsidRDefault="00A659DD" w:rsidP="00231D56">
      <w:pPr>
        <w:spacing w:line="360" w:lineRule="auto"/>
        <w:rPr>
          <w:rFonts w:ascii="Arial" w:hAnsi="Arial" w:cs="Arial"/>
          <w:b/>
          <w:bCs/>
          <w:sz w:val="24"/>
          <w:szCs w:val="24"/>
        </w:rPr>
      </w:pPr>
    </w:p>
    <w:p w14:paraId="6656A73E" w14:textId="77777777" w:rsidR="00A659DD" w:rsidRPr="00231D56" w:rsidRDefault="00A659DD" w:rsidP="00231D56">
      <w:pPr>
        <w:spacing w:line="360" w:lineRule="auto"/>
        <w:rPr>
          <w:rFonts w:ascii="Arial" w:hAnsi="Arial" w:cs="Arial"/>
          <w:b/>
          <w:bCs/>
          <w:sz w:val="24"/>
          <w:szCs w:val="24"/>
        </w:rPr>
      </w:pPr>
    </w:p>
    <w:p w14:paraId="2D18F7AD" w14:textId="77777777" w:rsidR="00A659DD" w:rsidRPr="00231D56" w:rsidRDefault="00A659DD" w:rsidP="00231D56">
      <w:pPr>
        <w:spacing w:line="360" w:lineRule="auto"/>
        <w:rPr>
          <w:rFonts w:ascii="Arial" w:hAnsi="Arial" w:cs="Arial"/>
          <w:b/>
          <w:bCs/>
          <w:sz w:val="24"/>
          <w:szCs w:val="24"/>
        </w:rPr>
      </w:pPr>
    </w:p>
    <w:p w14:paraId="56B62FB7" w14:textId="77777777" w:rsidR="00A659DD" w:rsidRPr="00231D56" w:rsidRDefault="00A659DD" w:rsidP="00231D56">
      <w:pPr>
        <w:spacing w:line="360" w:lineRule="auto"/>
        <w:rPr>
          <w:rFonts w:ascii="Arial" w:hAnsi="Arial" w:cs="Arial"/>
          <w:b/>
          <w:bCs/>
          <w:sz w:val="24"/>
          <w:szCs w:val="24"/>
        </w:rPr>
      </w:pPr>
    </w:p>
    <w:p w14:paraId="1CAB1022" w14:textId="77777777" w:rsidR="00A659DD" w:rsidRPr="00231D56" w:rsidRDefault="00A659DD" w:rsidP="00231D56">
      <w:pPr>
        <w:spacing w:line="360" w:lineRule="auto"/>
        <w:rPr>
          <w:rFonts w:ascii="Arial" w:hAnsi="Arial" w:cs="Arial"/>
          <w:b/>
          <w:bCs/>
          <w:sz w:val="24"/>
          <w:szCs w:val="24"/>
        </w:rPr>
      </w:pPr>
    </w:p>
    <w:p w14:paraId="52A85CE4" w14:textId="77777777" w:rsidR="00A659DD" w:rsidRPr="00231D56" w:rsidRDefault="00A659DD" w:rsidP="00231D56">
      <w:pPr>
        <w:spacing w:line="360" w:lineRule="auto"/>
        <w:rPr>
          <w:rFonts w:ascii="Arial" w:hAnsi="Arial" w:cs="Arial"/>
          <w:b/>
          <w:bCs/>
          <w:sz w:val="24"/>
          <w:szCs w:val="24"/>
        </w:rPr>
      </w:pPr>
    </w:p>
    <w:p w14:paraId="4FDD3487" w14:textId="77777777" w:rsidR="00A659DD" w:rsidRPr="00231D56" w:rsidRDefault="00A659DD" w:rsidP="00231D56">
      <w:pPr>
        <w:spacing w:line="360" w:lineRule="auto"/>
        <w:rPr>
          <w:rFonts w:ascii="Arial" w:hAnsi="Arial" w:cs="Arial"/>
          <w:b/>
          <w:bCs/>
          <w:sz w:val="24"/>
          <w:szCs w:val="24"/>
        </w:rPr>
      </w:pPr>
    </w:p>
    <w:p w14:paraId="317BADE9" w14:textId="77777777" w:rsidR="00A659DD" w:rsidRPr="00231D56" w:rsidRDefault="00A659DD" w:rsidP="00231D56">
      <w:pPr>
        <w:spacing w:line="360" w:lineRule="auto"/>
        <w:rPr>
          <w:rFonts w:ascii="Arial" w:hAnsi="Arial" w:cs="Arial"/>
          <w:b/>
          <w:bCs/>
          <w:sz w:val="24"/>
          <w:szCs w:val="24"/>
        </w:rPr>
      </w:pPr>
    </w:p>
    <w:p w14:paraId="4B91104F" w14:textId="77777777" w:rsidR="00A659DD" w:rsidRPr="00231D56" w:rsidRDefault="00A659DD" w:rsidP="00231D56">
      <w:pPr>
        <w:spacing w:line="360" w:lineRule="auto"/>
        <w:rPr>
          <w:rFonts w:ascii="Arial" w:hAnsi="Arial" w:cs="Arial"/>
          <w:b/>
          <w:bCs/>
          <w:sz w:val="24"/>
          <w:szCs w:val="24"/>
        </w:rPr>
      </w:pPr>
    </w:p>
    <w:p w14:paraId="7B4AFBAA" w14:textId="77777777" w:rsidR="00A659DD" w:rsidRPr="00231D56" w:rsidRDefault="00A659DD" w:rsidP="00231D56">
      <w:pPr>
        <w:spacing w:line="360" w:lineRule="auto"/>
        <w:rPr>
          <w:rFonts w:ascii="Arial" w:hAnsi="Arial" w:cs="Arial"/>
          <w:b/>
          <w:bCs/>
          <w:sz w:val="24"/>
          <w:szCs w:val="24"/>
        </w:rPr>
      </w:pPr>
    </w:p>
    <w:p w14:paraId="19BA94DD" w14:textId="77777777" w:rsidR="00A659DD" w:rsidRPr="00231D56" w:rsidRDefault="00A659DD" w:rsidP="00231D56">
      <w:pPr>
        <w:spacing w:line="360" w:lineRule="auto"/>
        <w:rPr>
          <w:rFonts w:ascii="Arial" w:hAnsi="Arial" w:cs="Arial"/>
          <w:b/>
          <w:bCs/>
          <w:sz w:val="24"/>
          <w:szCs w:val="24"/>
        </w:rPr>
      </w:pPr>
    </w:p>
    <w:p w14:paraId="25E213A9" w14:textId="77777777" w:rsidR="00A659DD" w:rsidRPr="00231D56" w:rsidRDefault="00A659DD" w:rsidP="00231D56">
      <w:pPr>
        <w:spacing w:line="360" w:lineRule="auto"/>
        <w:rPr>
          <w:rFonts w:ascii="Arial" w:hAnsi="Arial" w:cs="Arial"/>
          <w:b/>
          <w:bCs/>
          <w:sz w:val="24"/>
          <w:szCs w:val="24"/>
        </w:rPr>
      </w:pPr>
    </w:p>
    <w:p w14:paraId="74C2C3A2" w14:textId="77777777" w:rsidR="00A659DD" w:rsidRPr="00231D56" w:rsidRDefault="00A659DD" w:rsidP="00231D56">
      <w:pPr>
        <w:spacing w:line="360" w:lineRule="auto"/>
        <w:rPr>
          <w:rFonts w:ascii="Arial" w:hAnsi="Arial" w:cs="Arial"/>
          <w:b/>
          <w:bCs/>
          <w:sz w:val="24"/>
          <w:szCs w:val="24"/>
        </w:rPr>
      </w:pPr>
    </w:p>
    <w:p w14:paraId="70AD375F" w14:textId="77777777" w:rsidR="00A659DD" w:rsidRPr="00231D56" w:rsidRDefault="00A659DD" w:rsidP="00231D56">
      <w:pPr>
        <w:spacing w:line="360" w:lineRule="auto"/>
        <w:rPr>
          <w:rFonts w:ascii="Arial" w:hAnsi="Arial" w:cs="Arial"/>
          <w:b/>
          <w:bCs/>
          <w:sz w:val="24"/>
          <w:szCs w:val="24"/>
        </w:rPr>
      </w:pPr>
    </w:p>
    <w:p w14:paraId="5CDEAF49" w14:textId="77777777" w:rsidR="00A659DD" w:rsidRPr="00231D56" w:rsidRDefault="00A659DD" w:rsidP="00231D56">
      <w:pPr>
        <w:spacing w:line="360" w:lineRule="auto"/>
        <w:rPr>
          <w:rFonts w:ascii="Arial" w:hAnsi="Arial" w:cs="Arial"/>
          <w:b/>
          <w:bCs/>
          <w:sz w:val="24"/>
          <w:szCs w:val="24"/>
        </w:rPr>
      </w:pPr>
    </w:p>
    <w:p w14:paraId="5E2FBF4F" w14:textId="77777777" w:rsidR="00A659DD" w:rsidRPr="00231D56" w:rsidRDefault="00A659DD" w:rsidP="00231D56">
      <w:pPr>
        <w:spacing w:line="360" w:lineRule="auto"/>
        <w:rPr>
          <w:rFonts w:ascii="Arial" w:hAnsi="Arial" w:cs="Arial"/>
          <w:b/>
          <w:bCs/>
          <w:sz w:val="24"/>
          <w:szCs w:val="24"/>
        </w:rPr>
      </w:pPr>
    </w:p>
    <w:p w14:paraId="51CD85E6" w14:textId="77777777" w:rsidR="00A659DD" w:rsidRPr="00231D56" w:rsidRDefault="00A659DD" w:rsidP="00231D56">
      <w:pPr>
        <w:spacing w:line="360" w:lineRule="auto"/>
        <w:rPr>
          <w:rFonts w:ascii="Arial" w:hAnsi="Arial" w:cs="Arial"/>
          <w:b/>
          <w:bCs/>
          <w:sz w:val="24"/>
          <w:szCs w:val="24"/>
        </w:rPr>
      </w:pPr>
    </w:p>
    <w:p w14:paraId="333C9EB7" w14:textId="77777777" w:rsidR="00A659DD" w:rsidRPr="00231D56" w:rsidRDefault="00A659DD" w:rsidP="00231D56">
      <w:pPr>
        <w:spacing w:line="360" w:lineRule="auto"/>
        <w:rPr>
          <w:rFonts w:ascii="Arial" w:hAnsi="Arial" w:cs="Arial"/>
          <w:b/>
          <w:bCs/>
          <w:sz w:val="24"/>
          <w:szCs w:val="24"/>
        </w:rPr>
      </w:pPr>
    </w:p>
    <w:p w14:paraId="504E381B" w14:textId="77777777" w:rsidR="00A659DD" w:rsidRPr="00231D56" w:rsidRDefault="00A659DD" w:rsidP="00231D56">
      <w:pPr>
        <w:spacing w:line="360" w:lineRule="auto"/>
        <w:rPr>
          <w:rFonts w:ascii="Arial" w:hAnsi="Arial" w:cs="Arial"/>
          <w:b/>
          <w:bCs/>
          <w:sz w:val="24"/>
          <w:szCs w:val="24"/>
        </w:rPr>
      </w:pPr>
    </w:p>
    <w:p w14:paraId="681C4988" w14:textId="77777777" w:rsidR="00C46AAB" w:rsidRPr="00231D56" w:rsidRDefault="00C46AAB" w:rsidP="00231D56">
      <w:pPr>
        <w:spacing w:line="360" w:lineRule="auto"/>
        <w:rPr>
          <w:rFonts w:ascii="Arial" w:hAnsi="Arial" w:cs="Arial"/>
          <w:b/>
          <w:bCs/>
          <w:sz w:val="24"/>
          <w:szCs w:val="24"/>
        </w:rPr>
      </w:pPr>
    </w:p>
    <w:p w14:paraId="4B73DD52" w14:textId="44CB05C5" w:rsidR="00402356" w:rsidRPr="00231D56" w:rsidRDefault="00402356" w:rsidP="00231D56">
      <w:pPr>
        <w:spacing w:after="0" w:line="360" w:lineRule="auto"/>
        <w:rPr>
          <w:rFonts w:ascii="Arial" w:hAnsi="Arial" w:cs="Arial"/>
          <w:b/>
          <w:bCs/>
          <w:sz w:val="24"/>
          <w:szCs w:val="24"/>
        </w:rPr>
      </w:pPr>
      <w:r w:rsidRPr="00231D56">
        <w:rPr>
          <w:rFonts w:ascii="Arial" w:hAnsi="Arial" w:cs="Arial"/>
          <w:b/>
          <w:bCs/>
          <w:sz w:val="24"/>
          <w:szCs w:val="24"/>
        </w:rPr>
        <w:lastRenderedPageBreak/>
        <w:t>Abstract</w:t>
      </w:r>
    </w:p>
    <w:p w14:paraId="43DE448E" w14:textId="77777777" w:rsidR="00770284" w:rsidRPr="00770284" w:rsidRDefault="00770284" w:rsidP="00770284">
      <w:pPr>
        <w:spacing w:line="360" w:lineRule="auto"/>
        <w:rPr>
          <w:rFonts w:ascii="Arial" w:hAnsi="Arial" w:cs="Arial"/>
          <w:sz w:val="24"/>
          <w:szCs w:val="24"/>
          <w:lang w:val="en-US"/>
        </w:rPr>
      </w:pPr>
      <w:r w:rsidRPr="00770284">
        <w:rPr>
          <w:rFonts w:ascii="Arial" w:hAnsi="Arial" w:cs="Arial"/>
          <w:sz w:val="24"/>
          <w:szCs w:val="24"/>
          <w:lang w:val="en-US"/>
        </w:rPr>
        <w:t xml:space="preserve">Food waste remains a critical issue within hotel and hospitality operations, largely due to the sector’s dependence on food and beverage services and the difficulty of aligning production with fluctuating guest demand. This study explores food waste reduction from a sustainability and managerial perspective, focusing on its implications for operational efficiency and </w:t>
      </w:r>
      <w:proofErr w:type="spellStart"/>
      <w:r w:rsidRPr="00770284">
        <w:rPr>
          <w:rFonts w:ascii="Arial" w:hAnsi="Arial" w:cs="Arial"/>
          <w:sz w:val="24"/>
          <w:szCs w:val="24"/>
          <w:lang w:val="en-US"/>
        </w:rPr>
        <w:t>organisational</w:t>
      </w:r>
      <w:proofErr w:type="spellEnd"/>
      <w:r w:rsidRPr="00770284">
        <w:rPr>
          <w:rFonts w:ascii="Arial" w:hAnsi="Arial" w:cs="Arial"/>
          <w:sz w:val="24"/>
          <w:szCs w:val="24"/>
          <w:lang w:val="en-US"/>
        </w:rPr>
        <w:t xml:space="preserve"> performance rather than environmental outcomes alone.</w:t>
      </w:r>
    </w:p>
    <w:p w14:paraId="40F8D055" w14:textId="77777777" w:rsidR="00770284" w:rsidRPr="00770284" w:rsidRDefault="00770284" w:rsidP="00770284">
      <w:pPr>
        <w:spacing w:line="360" w:lineRule="auto"/>
        <w:rPr>
          <w:rFonts w:ascii="Arial" w:hAnsi="Arial" w:cs="Arial"/>
          <w:sz w:val="24"/>
          <w:szCs w:val="24"/>
          <w:lang w:val="en-US"/>
        </w:rPr>
      </w:pPr>
      <w:r w:rsidRPr="00770284">
        <w:rPr>
          <w:rFonts w:ascii="Arial" w:hAnsi="Arial" w:cs="Arial"/>
          <w:sz w:val="24"/>
          <w:szCs w:val="24"/>
          <w:lang w:val="en-US"/>
        </w:rPr>
        <w:t xml:space="preserve">Using qualitative secondary research, the study </w:t>
      </w:r>
      <w:proofErr w:type="spellStart"/>
      <w:r w:rsidRPr="00770284">
        <w:rPr>
          <w:rFonts w:ascii="Arial" w:hAnsi="Arial" w:cs="Arial"/>
          <w:sz w:val="24"/>
          <w:szCs w:val="24"/>
          <w:lang w:val="en-US"/>
        </w:rPr>
        <w:t>synthesises</w:t>
      </w:r>
      <w:proofErr w:type="spellEnd"/>
      <w:r w:rsidRPr="00770284">
        <w:rPr>
          <w:rFonts w:ascii="Arial" w:hAnsi="Arial" w:cs="Arial"/>
          <w:sz w:val="24"/>
          <w:szCs w:val="24"/>
          <w:lang w:val="en-US"/>
        </w:rPr>
        <w:t xml:space="preserve"> recent academic literature and industry publications to examine the main drivers of food waste and the effectiveness of current reduction practices. A </w:t>
      </w:r>
      <w:proofErr w:type="spellStart"/>
      <w:r w:rsidRPr="00770284">
        <w:rPr>
          <w:rFonts w:ascii="Arial" w:hAnsi="Arial" w:cs="Arial"/>
          <w:sz w:val="24"/>
          <w:szCs w:val="24"/>
          <w:lang w:val="en-US"/>
        </w:rPr>
        <w:t>contextualised</w:t>
      </w:r>
      <w:proofErr w:type="spellEnd"/>
      <w:r w:rsidRPr="00770284">
        <w:rPr>
          <w:rFonts w:ascii="Arial" w:hAnsi="Arial" w:cs="Arial"/>
          <w:sz w:val="24"/>
          <w:szCs w:val="24"/>
          <w:lang w:val="en-US"/>
        </w:rPr>
        <w:t xml:space="preserve"> PESTLE framework is employed to assess how external political, economic, social, technological, and legal factors shape </w:t>
      </w:r>
      <w:proofErr w:type="spellStart"/>
      <w:r w:rsidRPr="00770284">
        <w:rPr>
          <w:rFonts w:ascii="Arial" w:hAnsi="Arial" w:cs="Arial"/>
          <w:sz w:val="24"/>
          <w:szCs w:val="24"/>
          <w:lang w:val="en-US"/>
        </w:rPr>
        <w:t>organisational</w:t>
      </w:r>
      <w:proofErr w:type="spellEnd"/>
      <w:r w:rsidRPr="00770284">
        <w:rPr>
          <w:rFonts w:ascii="Arial" w:hAnsi="Arial" w:cs="Arial"/>
          <w:sz w:val="24"/>
          <w:szCs w:val="24"/>
          <w:lang w:val="en-US"/>
        </w:rPr>
        <w:t xml:space="preserve"> responses to food waste management within hospitality settings.</w:t>
      </w:r>
    </w:p>
    <w:p w14:paraId="245D1111" w14:textId="77777777" w:rsidR="00770284" w:rsidRPr="00770284" w:rsidRDefault="00770284" w:rsidP="00770284">
      <w:pPr>
        <w:spacing w:line="360" w:lineRule="auto"/>
        <w:rPr>
          <w:rFonts w:ascii="Arial" w:hAnsi="Arial" w:cs="Arial"/>
          <w:sz w:val="24"/>
          <w:szCs w:val="24"/>
          <w:lang w:val="en-US"/>
        </w:rPr>
      </w:pPr>
      <w:r w:rsidRPr="00770284">
        <w:rPr>
          <w:rFonts w:ascii="Arial" w:hAnsi="Arial" w:cs="Arial"/>
          <w:sz w:val="24"/>
          <w:szCs w:val="24"/>
          <w:lang w:val="en-US"/>
        </w:rPr>
        <w:t>The analysis demonstrates that food waste reduction initiatives can support cost efficiency and operational control when embedded within managerial decision-making and supported by staff engagement and appropriate technological systems. The study concludes by outlining practical recommendations aimed at helping hospitality managers integrate food waste reduction more effectively into core operational processes.</w:t>
      </w:r>
    </w:p>
    <w:p w14:paraId="7140AD4D" w14:textId="77777777" w:rsidR="004E43E6" w:rsidRPr="00231D56" w:rsidRDefault="004E43E6" w:rsidP="00231D56">
      <w:pPr>
        <w:spacing w:line="360" w:lineRule="auto"/>
        <w:rPr>
          <w:rFonts w:ascii="Arial" w:hAnsi="Arial" w:cs="Arial"/>
          <w:sz w:val="24"/>
          <w:szCs w:val="24"/>
        </w:rPr>
      </w:pPr>
    </w:p>
    <w:p w14:paraId="55BB49F0" w14:textId="77777777" w:rsidR="004E43E6" w:rsidRPr="00231D56" w:rsidRDefault="004E43E6" w:rsidP="00231D56">
      <w:pPr>
        <w:spacing w:line="360" w:lineRule="auto"/>
        <w:rPr>
          <w:rFonts w:ascii="Arial" w:hAnsi="Arial" w:cs="Arial"/>
          <w:sz w:val="24"/>
          <w:szCs w:val="24"/>
        </w:rPr>
      </w:pPr>
    </w:p>
    <w:p w14:paraId="49D1D8E9" w14:textId="77777777" w:rsidR="004E43E6" w:rsidRPr="00231D56" w:rsidRDefault="004E43E6" w:rsidP="00231D56">
      <w:pPr>
        <w:spacing w:line="360" w:lineRule="auto"/>
        <w:rPr>
          <w:rFonts w:ascii="Arial" w:hAnsi="Arial" w:cs="Arial"/>
          <w:sz w:val="24"/>
          <w:szCs w:val="24"/>
        </w:rPr>
      </w:pPr>
    </w:p>
    <w:p w14:paraId="1ADAE918" w14:textId="77777777" w:rsidR="004E43E6" w:rsidRPr="00231D56" w:rsidRDefault="004E43E6" w:rsidP="00231D56">
      <w:pPr>
        <w:spacing w:line="360" w:lineRule="auto"/>
        <w:rPr>
          <w:rFonts w:ascii="Arial" w:hAnsi="Arial" w:cs="Arial"/>
          <w:sz w:val="24"/>
          <w:szCs w:val="24"/>
        </w:rPr>
      </w:pPr>
    </w:p>
    <w:p w14:paraId="697816F1" w14:textId="77777777" w:rsidR="004E43E6" w:rsidRPr="00231D56" w:rsidRDefault="004E43E6" w:rsidP="00231D56">
      <w:pPr>
        <w:spacing w:line="360" w:lineRule="auto"/>
        <w:rPr>
          <w:rFonts w:ascii="Arial" w:hAnsi="Arial" w:cs="Arial"/>
          <w:sz w:val="24"/>
          <w:szCs w:val="24"/>
        </w:rPr>
      </w:pPr>
    </w:p>
    <w:p w14:paraId="250ACCFD" w14:textId="77777777" w:rsidR="004E43E6" w:rsidRPr="00231D56" w:rsidRDefault="004E43E6" w:rsidP="00231D56">
      <w:pPr>
        <w:spacing w:line="360" w:lineRule="auto"/>
        <w:rPr>
          <w:rFonts w:ascii="Arial" w:hAnsi="Arial" w:cs="Arial"/>
          <w:sz w:val="24"/>
          <w:szCs w:val="24"/>
        </w:rPr>
      </w:pPr>
    </w:p>
    <w:p w14:paraId="461E8BE1" w14:textId="77777777" w:rsidR="004E43E6" w:rsidRPr="00231D56" w:rsidRDefault="004E43E6" w:rsidP="00231D56">
      <w:pPr>
        <w:spacing w:line="360" w:lineRule="auto"/>
        <w:rPr>
          <w:rFonts w:ascii="Arial" w:hAnsi="Arial" w:cs="Arial"/>
          <w:sz w:val="24"/>
          <w:szCs w:val="24"/>
        </w:rPr>
      </w:pPr>
    </w:p>
    <w:p w14:paraId="36FF4EFA" w14:textId="77777777" w:rsidR="004E43E6" w:rsidRPr="00231D56" w:rsidRDefault="004E43E6" w:rsidP="00231D56">
      <w:pPr>
        <w:spacing w:line="360" w:lineRule="auto"/>
        <w:rPr>
          <w:rFonts w:ascii="Arial" w:hAnsi="Arial" w:cs="Arial"/>
          <w:sz w:val="24"/>
          <w:szCs w:val="24"/>
        </w:rPr>
      </w:pPr>
    </w:p>
    <w:p w14:paraId="517CD162" w14:textId="77777777" w:rsidR="004E43E6" w:rsidRPr="00231D56" w:rsidRDefault="004E43E6" w:rsidP="00231D56">
      <w:pPr>
        <w:spacing w:line="360" w:lineRule="auto"/>
        <w:rPr>
          <w:rFonts w:ascii="Arial" w:hAnsi="Arial" w:cs="Arial"/>
          <w:sz w:val="24"/>
          <w:szCs w:val="24"/>
        </w:rPr>
      </w:pPr>
    </w:p>
    <w:p w14:paraId="38070B2D" w14:textId="77777777" w:rsidR="004E43E6" w:rsidRPr="00231D56" w:rsidRDefault="004E43E6" w:rsidP="00231D56">
      <w:pPr>
        <w:spacing w:line="360" w:lineRule="auto"/>
        <w:rPr>
          <w:rFonts w:ascii="Arial" w:hAnsi="Arial" w:cs="Arial"/>
          <w:sz w:val="24"/>
          <w:szCs w:val="24"/>
        </w:rPr>
      </w:pPr>
    </w:p>
    <w:p w14:paraId="624B7065" w14:textId="5CD33FD5" w:rsidR="00A659DD" w:rsidRPr="00231D56" w:rsidRDefault="009F2988" w:rsidP="00231D56">
      <w:pPr>
        <w:pStyle w:val="ListParagraph"/>
        <w:numPr>
          <w:ilvl w:val="0"/>
          <w:numId w:val="13"/>
        </w:numPr>
        <w:spacing w:after="100" w:afterAutospacing="1" w:line="360" w:lineRule="auto"/>
        <w:rPr>
          <w:rFonts w:ascii="Arial" w:hAnsi="Arial" w:cs="Arial"/>
          <w:b/>
          <w:bCs/>
          <w:sz w:val="24"/>
          <w:szCs w:val="24"/>
        </w:rPr>
      </w:pPr>
      <w:r w:rsidRPr="00231D56">
        <w:rPr>
          <w:rFonts w:ascii="Arial" w:hAnsi="Arial" w:cs="Arial"/>
          <w:b/>
          <w:bCs/>
          <w:sz w:val="24"/>
          <w:szCs w:val="24"/>
        </w:rPr>
        <w:lastRenderedPageBreak/>
        <w:t>Introduction</w:t>
      </w:r>
    </w:p>
    <w:p w14:paraId="25F26002" w14:textId="77777777" w:rsidR="00474E8A" w:rsidRPr="00231D56" w:rsidRDefault="00474E8A" w:rsidP="00231D56">
      <w:pPr>
        <w:spacing w:after="100" w:afterAutospacing="1" w:line="360" w:lineRule="auto"/>
        <w:rPr>
          <w:rFonts w:ascii="Arial" w:hAnsi="Arial" w:cs="Arial"/>
          <w:sz w:val="24"/>
          <w:szCs w:val="24"/>
          <w:lang w:val="en-US"/>
        </w:rPr>
      </w:pPr>
      <w:r w:rsidRPr="00231D56">
        <w:rPr>
          <w:rFonts w:ascii="Arial" w:hAnsi="Arial" w:cs="Arial"/>
          <w:sz w:val="24"/>
          <w:szCs w:val="24"/>
          <w:lang w:val="en-US"/>
        </w:rPr>
        <w:t xml:space="preserve">Sustainability has become a central contemporary theme within the hotel and hospitality sector as environmental degradation, climate change, and resource depletion increasingly influence business operations and strategic decision-making. Hospitality </w:t>
      </w:r>
      <w:proofErr w:type="spellStart"/>
      <w:r w:rsidRPr="00231D56">
        <w:rPr>
          <w:rFonts w:ascii="Arial" w:hAnsi="Arial" w:cs="Arial"/>
          <w:sz w:val="24"/>
          <w:szCs w:val="24"/>
          <w:lang w:val="en-US"/>
        </w:rPr>
        <w:t>organisations</w:t>
      </w:r>
      <w:proofErr w:type="spellEnd"/>
      <w:r w:rsidRPr="00231D56">
        <w:rPr>
          <w:rFonts w:ascii="Arial" w:hAnsi="Arial" w:cs="Arial"/>
          <w:sz w:val="24"/>
          <w:szCs w:val="24"/>
          <w:lang w:val="en-US"/>
        </w:rPr>
        <w:t xml:space="preserve"> are </w:t>
      </w:r>
      <w:proofErr w:type="spellStart"/>
      <w:r w:rsidRPr="00231D56">
        <w:rPr>
          <w:rFonts w:ascii="Arial" w:hAnsi="Arial" w:cs="Arial"/>
          <w:sz w:val="24"/>
          <w:szCs w:val="24"/>
          <w:lang w:val="en-US"/>
        </w:rPr>
        <w:t>recognised</w:t>
      </w:r>
      <w:proofErr w:type="spellEnd"/>
      <w:r w:rsidRPr="00231D56">
        <w:rPr>
          <w:rFonts w:ascii="Arial" w:hAnsi="Arial" w:cs="Arial"/>
          <w:sz w:val="24"/>
          <w:szCs w:val="24"/>
          <w:lang w:val="en-US"/>
        </w:rPr>
        <w:t xml:space="preserve"> as intensive consumers of natural resources, generating significant levels of waste and emissions through daily operations, particularly within food and beverage services (Khatter, 2023). As a result, sustainability is no longer viewed solely as an ethical responsibility but as a strategic imperative for long-term </w:t>
      </w:r>
      <w:proofErr w:type="spellStart"/>
      <w:r w:rsidRPr="00231D56">
        <w:rPr>
          <w:rFonts w:ascii="Arial" w:hAnsi="Arial" w:cs="Arial"/>
          <w:sz w:val="24"/>
          <w:szCs w:val="24"/>
          <w:lang w:val="en-US"/>
        </w:rPr>
        <w:t>organisational</w:t>
      </w:r>
      <w:proofErr w:type="spellEnd"/>
      <w:r w:rsidRPr="00231D56">
        <w:rPr>
          <w:rFonts w:ascii="Arial" w:hAnsi="Arial" w:cs="Arial"/>
          <w:sz w:val="24"/>
          <w:szCs w:val="24"/>
          <w:lang w:val="en-US"/>
        </w:rPr>
        <w:t xml:space="preserve"> resilience and competitiveness.</w:t>
      </w:r>
    </w:p>
    <w:p w14:paraId="014B59C4" w14:textId="77777777" w:rsidR="006B1328" w:rsidRDefault="006B1328" w:rsidP="00231D56">
      <w:pPr>
        <w:spacing w:after="100" w:afterAutospacing="1" w:line="360" w:lineRule="auto"/>
        <w:rPr>
          <w:rFonts w:ascii="Arial" w:hAnsi="Arial" w:cs="Arial"/>
          <w:sz w:val="24"/>
          <w:szCs w:val="24"/>
        </w:rPr>
      </w:pPr>
      <w:r w:rsidRPr="006B1328">
        <w:rPr>
          <w:rFonts w:ascii="Arial" w:hAnsi="Arial" w:cs="Arial"/>
          <w:sz w:val="24"/>
          <w:szCs w:val="24"/>
        </w:rPr>
        <w:t>Within the hospitality sector, food waste continues to pose a significant sustainability concern due to the industry’s reliance on food and beverage services and high-volume service formats. Operational practices such as buffet dining, banqueting, and all-inclusive offerings frequently result in surplus food production, which contributes to inefficient use of resources and increased operational expenditure, alongside adverse environmental effects (Khatter, 2023). Although waste reduction strategies are increasingly promoted, many hospitality organisations still struggle to embed effective food waste management practices into routine operational processes.</w:t>
      </w:r>
    </w:p>
    <w:p w14:paraId="4760DC08" w14:textId="5BF4648C" w:rsidR="003B54AA" w:rsidRDefault="003B54AA" w:rsidP="00231D56">
      <w:pPr>
        <w:spacing w:line="360" w:lineRule="auto"/>
        <w:rPr>
          <w:rFonts w:ascii="Arial" w:hAnsi="Arial" w:cs="Arial"/>
          <w:sz w:val="24"/>
          <w:szCs w:val="24"/>
        </w:rPr>
      </w:pPr>
      <w:r w:rsidRPr="003B54AA">
        <w:rPr>
          <w:rFonts w:ascii="Arial" w:hAnsi="Arial" w:cs="Arial"/>
          <w:sz w:val="24"/>
          <w:szCs w:val="24"/>
        </w:rPr>
        <w:t>In reality, food waste reduction initiatives are challenging to implement within hospitality operations due to a combination of economic and operational constraints. Increasing food prices, staff shortages, and the costs associated with sustainability initiatives often limit what hotels</w:t>
      </w:r>
      <w:r>
        <w:rPr>
          <w:rFonts w:ascii="Arial" w:hAnsi="Arial" w:cs="Arial"/>
          <w:sz w:val="24"/>
          <w:szCs w:val="24"/>
        </w:rPr>
        <w:t xml:space="preserve">, </w:t>
      </w:r>
      <w:r w:rsidRPr="003B54AA">
        <w:rPr>
          <w:rFonts w:ascii="Arial" w:hAnsi="Arial" w:cs="Arial"/>
          <w:sz w:val="24"/>
          <w:szCs w:val="24"/>
        </w:rPr>
        <w:t>particularly smaller establishments</w:t>
      </w:r>
      <w:r>
        <w:rPr>
          <w:rFonts w:ascii="Arial" w:hAnsi="Arial" w:cs="Arial"/>
          <w:sz w:val="24"/>
          <w:szCs w:val="24"/>
        </w:rPr>
        <w:t xml:space="preserve">, </w:t>
      </w:r>
      <w:r w:rsidRPr="003B54AA">
        <w:rPr>
          <w:rFonts w:ascii="Arial" w:hAnsi="Arial" w:cs="Arial"/>
          <w:sz w:val="24"/>
          <w:szCs w:val="24"/>
        </w:rPr>
        <w:t>can realistically achieve in terms of waste management (Khatter, 2023). Simultaneously, hotels face growing pressure to meet guest expectations for both sustainable practices and high service standards.</w:t>
      </w:r>
    </w:p>
    <w:p w14:paraId="2435DE2C" w14:textId="63FBA11E" w:rsidR="009B22EA" w:rsidRDefault="00AC3870" w:rsidP="00231D56">
      <w:pPr>
        <w:spacing w:line="360" w:lineRule="auto"/>
        <w:rPr>
          <w:rFonts w:ascii="Arial" w:hAnsi="Arial" w:cs="Arial"/>
          <w:sz w:val="24"/>
          <w:szCs w:val="24"/>
          <w:lang w:val="en-US"/>
        </w:rPr>
      </w:pPr>
      <w:r w:rsidRPr="00AC3870">
        <w:rPr>
          <w:rFonts w:ascii="Arial" w:hAnsi="Arial" w:cs="Arial"/>
          <w:sz w:val="24"/>
          <w:szCs w:val="24"/>
        </w:rPr>
        <w:t>This study focuses on food waste as a key sustainability issue within hotel and hospitality operations, assessing its implications for organisational effectiveness</w:t>
      </w:r>
      <w:r>
        <w:rPr>
          <w:rFonts w:ascii="Arial" w:hAnsi="Arial" w:cs="Arial"/>
          <w:sz w:val="24"/>
          <w:szCs w:val="24"/>
        </w:rPr>
        <w:t xml:space="preserve">. </w:t>
      </w:r>
      <w:r w:rsidR="00474E8A" w:rsidRPr="00231D56">
        <w:rPr>
          <w:rFonts w:ascii="Arial" w:hAnsi="Arial" w:cs="Arial"/>
          <w:sz w:val="24"/>
          <w:szCs w:val="24"/>
          <w:lang w:val="en-US"/>
        </w:rPr>
        <w:t>Specifically, it explores how food waste reduction strategies contribute to achieving sustainability objectives while maintaining operational and financial efficiency, drawing on contemporary academic literature to evaluate their real-world impact.</w:t>
      </w:r>
    </w:p>
    <w:p w14:paraId="592B24F0" w14:textId="77777777" w:rsidR="005B0ED8" w:rsidRPr="00231D56" w:rsidRDefault="005B0ED8" w:rsidP="00231D56">
      <w:pPr>
        <w:spacing w:line="360" w:lineRule="auto"/>
        <w:rPr>
          <w:rFonts w:ascii="Arial" w:hAnsi="Arial" w:cs="Arial"/>
          <w:sz w:val="24"/>
          <w:szCs w:val="24"/>
          <w:lang w:val="en-US"/>
        </w:rPr>
      </w:pPr>
    </w:p>
    <w:p w14:paraId="67AB090D" w14:textId="41E2EADD" w:rsidR="005254E4" w:rsidRPr="00231D56" w:rsidRDefault="009B22EA" w:rsidP="00231D56">
      <w:pPr>
        <w:spacing w:after="240" w:line="360" w:lineRule="auto"/>
        <w:rPr>
          <w:rFonts w:ascii="Arial" w:hAnsi="Arial" w:cs="Arial"/>
          <w:b/>
          <w:bCs/>
          <w:sz w:val="24"/>
          <w:szCs w:val="24"/>
          <w:lang w:val="en-US"/>
        </w:rPr>
      </w:pPr>
      <w:r w:rsidRPr="00231D56">
        <w:rPr>
          <w:rFonts w:ascii="Arial" w:hAnsi="Arial" w:cs="Arial"/>
          <w:b/>
          <w:bCs/>
          <w:sz w:val="24"/>
          <w:szCs w:val="24"/>
          <w:lang w:val="en-US"/>
        </w:rPr>
        <w:lastRenderedPageBreak/>
        <w:t xml:space="preserve">2. </w:t>
      </w:r>
      <w:r w:rsidR="000E6BC0" w:rsidRPr="00231D56">
        <w:rPr>
          <w:rFonts w:ascii="Arial" w:hAnsi="Arial" w:cs="Arial"/>
          <w:b/>
          <w:bCs/>
          <w:sz w:val="24"/>
          <w:szCs w:val="24"/>
        </w:rPr>
        <w:t>Literature Review</w:t>
      </w:r>
    </w:p>
    <w:p w14:paraId="23ADE1D7" w14:textId="5315CD89" w:rsidR="000E6BC0" w:rsidRPr="00231D56" w:rsidRDefault="000E6BC0" w:rsidP="00231D56">
      <w:pPr>
        <w:spacing w:after="0" w:line="360" w:lineRule="auto"/>
        <w:rPr>
          <w:rFonts w:ascii="Arial" w:hAnsi="Arial" w:cs="Arial"/>
          <w:b/>
          <w:bCs/>
          <w:sz w:val="24"/>
          <w:szCs w:val="24"/>
        </w:rPr>
      </w:pPr>
      <w:r w:rsidRPr="00231D56">
        <w:rPr>
          <w:rFonts w:ascii="Arial" w:hAnsi="Arial" w:cs="Arial"/>
          <w:b/>
          <w:bCs/>
          <w:sz w:val="24"/>
          <w:szCs w:val="24"/>
        </w:rPr>
        <w:t>2.1 Food waste in the hospitality sector</w:t>
      </w:r>
    </w:p>
    <w:p w14:paraId="1BFC61A1" w14:textId="77777777" w:rsidR="00197A93" w:rsidRPr="00197A93" w:rsidRDefault="00197A93" w:rsidP="00197A93">
      <w:pPr>
        <w:spacing w:after="0" w:line="360" w:lineRule="auto"/>
        <w:rPr>
          <w:rFonts w:ascii="Arial" w:hAnsi="Arial" w:cs="Arial"/>
          <w:sz w:val="24"/>
          <w:szCs w:val="24"/>
          <w:lang w:val="en-US"/>
        </w:rPr>
      </w:pPr>
      <w:r w:rsidRPr="00197A93">
        <w:rPr>
          <w:rFonts w:ascii="Arial" w:hAnsi="Arial" w:cs="Arial"/>
          <w:sz w:val="24"/>
          <w:szCs w:val="24"/>
          <w:lang w:val="en-US"/>
        </w:rPr>
        <w:t>Food waste represents a significant sustainability challenge within the hotel and hospitality sector, largely due to the importance of food and beverage operations and the difficulty of forecasting guest demand. Buffet-style dining often leads to surplus food preparation in order to meet expectations of choice and value, increasing the likelihood that edible food is discarded (</w:t>
      </w:r>
      <w:proofErr w:type="spellStart"/>
      <w:r w:rsidRPr="00197A93">
        <w:rPr>
          <w:rFonts w:ascii="Arial" w:hAnsi="Arial" w:cs="Arial"/>
          <w:sz w:val="24"/>
          <w:szCs w:val="24"/>
          <w:lang w:val="en-US"/>
        </w:rPr>
        <w:t>Kallbekken</w:t>
      </w:r>
      <w:proofErr w:type="spellEnd"/>
      <w:r w:rsidRPr="00197A93">
        <w:rPr>
          <w:rFonts w:ascii="Arial" w:hAnsi="Arial" w:cs="Arial"/>
          <w:sz w:val="24"/>
          <w:szCs w:val="24"/>
          <w:lang w:val="en-US"/>
        </w:rPr>
        <w:t xml:space="preserve"> and Sælen, 2013). Over time, such practices can embed food waste into routine hotel operations rather than being treated as an operational inefficiency.</w:t>
      </w:r>
    </w:p>
    <w:p w14:paraId="3C3A0E58" w14:textId="77777777" w:rsidR="00197A93" w:rsidRPr="00197A93" w:rsidRDefault="00197A93" w:rsidP="00197A93">
      <w:pPr>
        <w:spacing w:after="0" w:line="360" w:lineRule="auto"/>
        <w:rPr>
          <w:rFonts w:ascii="Arial" w:hAnsi="Arial" w:cs="Arial"/>
          <w:sz w:val="24"/>
          <w:szCs w:val="24"/>
          <w:lang w:val="en-US"/>
        </w:rPr>
      </w:pPr>
      <w:r w:rsidRPr="00197A93">
        <w:rPr>
          <w:rFonts w:ascii="Arial" w:hAnsi="Arial" w:cs="Arial"/>
          <w:sz w:val="24"/>
          <w:szCs w:val="24"/>
          <w:lang w:val="en-US"/>
        </w:rPr>
        <w:t xml:space="preserve">Beyond environmental concerns, food waste in hospitality also reflects inefficient use of energy, water, </w:t>
      </w:r>
      <w:proofErr w:type="spellStart"/>
      <w:r w:rsidRPr="00197A93">
        <w:rPr>
          <w:rFonts w:ascii="Arial" w:hAnsi="Arial" w:cs="Arial"/>
          <w:sz w:val="24"/>
          <w:szCs w:val="24"/>
          <w:lang w:val="en-US"/>
        </w:rPr>
        <w:t>labour</w:t>
      </w:r>
      <w:proofErr w:type="spellEnd"/>
      <w:r w:rsidRPr="00197A93">
        <w:rPr>
          <w:rFonts w:ascii="Arial" w:hAnsi="Arial" w:cs="Arial"/>
          <w:sz w:val="24"/>
          <w:szCs w:val="24"/>
          <w:lang w:val="en-US"/>
        </w:rPr>
        <w:t xml:space="preserve">, and procurement resources. The food waste hierarchy identifies prevention as the most effective response, </w:t>
      </w:r>
      <w:proofErr w:type="spellStart"/>
      <w:r w:rsidRPr="00197A93">
        <w:rPr>
          <w:rFonts w:ascii="Arial" w:hAnsi="Arial" w:cs="Arial"/>
          <w:sz w:val="24"/>
          <w:szCs w:val="24"/>
          <w:lang w:val="en-US"/>
        </w:rPr>
        <w:t>emphasising</w:t>
      </w:r>
      <w:proofErr w:type="spellEnd"/>
      <w:r w:rsidRPr="00197A93">
        <w:rPr>
          <w:rFonts w:ascii="Arial" w:hAnsi="Arial" w:cs="Arial"/>
          <w:sz w:val="24"/>
          <w:szCs w:val="24"/>
          <w:lang w:val="en-US"/>
        </w:rPr>
        <w:t xml:space="preserve"> the need to reduce waste at source instead of relying on downstream solutions such as recycling or disposal (</w:t>
      </w:r>
      <w:proofErr w:type="spellStart"/>
      <w:r w:rsidRPr="00197A93">
        <w:rPr>
          <w:rFonts w:ascii="Arial" w:hAnsi="Arial" w:cs="Arial"/>
          <w:sz w:val="24"/>
          <w:szCs w:val="24"/>
          <w:lang w:val="en-US"/>
        </w:rPr>
        <w:t>Papargyropoulou</w:t>
      </w:r>
      <w:proofErr w:type="spellEnd"/>
      <w:r w:rsidRPr="00197A93">
        <w:rPr>
          <w:rFonts w:ascii="Arial" w:hAnsi="Arial" w:cs="Arial"/>
          <w:sz w:val="24"/>
          <w:szCs w:val="24"/>
          <w:lang w:val="en-US"/>
        </w:rPr>
        <w:t xml:space="preserve"> et al., 2014).</w:t>
      </w:r>
    </w:p>
    <w:p w14:paraId="1A4509EE" w14:textId="4D98C16E" w:rsidR="00197A93" w:rsidRPr="00197A93" w:rsidRDefault="00197A93" w:rsidP="00197A93">
      <w:pPr>
        <w:spacing w:after="0" w:line="360" w:lineRule="auto"/>
        <w:rPr>
          <w:rFonts w:ascii="Arial" w:hAnsi="Arial" w:cs="Arial"/>
          <w:sz w:val="24"/>
          <w:szCs w:val="24"/>
          <w:lang w:val="en-US"/>
        </w:rPr>
      </w:pPr>
      <w:r w:rsidRPr="00197A93">
        <w:rPr>
          <w:rFonts w:ascii="Arial" w:hAnsi="Arial" w:cs="Arial"/>
          <w:sz w:val="24"/>
          <w:szCs w:val="24"/>
          <w:lang w:val="en-US"/>
        </w:rPr>
        <w:t xml:space="preserve">Empirical research shows that waste levels are particularly high </w:t>
      </w:r>
      <w:r w:rsidRPr="00197A93">
        <w:rPr>
          <w:rFonts w:ascii="Arial" w:hAnsi="Arial" w:cs="Arial"/>
          <w:sz w:val="24"/>
          <w:szCs w:val="24"/>
          <w:lang w:val="en-US"/>
        </w:rPr>
        <w:t>in-service</w:t>
      </w:r>
      <w:r w:rsidRPr="00197A93">
        <w:rPr>
          <w:rFonts w:ascii="Arial" w:hAnsi="Arial" w:cs="Arial"/>
          <w:sz w:val="24"/>
          <w:szCs w:val="24"/>
          <w:lang w:val="en-US"/>
        </w:rPr>
        <w:t xml:space="preserve"> contexts where portion control is limited, especially buffet settings. Studies in luxury hotels demonstrate that buffet services generate substantially more waste than à la carte formats, highlighting the influence of service design on waste outcomes (Camilleri-Fenech et al., 2020). Breakfast buffets have also been identified as key waste hotspots in hotel food services, reinforcing the role of guest-facing service models in food waste generation (Tomaszewska et al., 2021). Collectively, these findings indicate that food waste in hospitality is driven by both operational and </w:t>
      </w:r>
      <w:proofErr w:type="spellStart"/>
      <w:r w:rsidRPr="00197A93">
        <w:rPr>
          <w:rFonts w:ascii="Arial" w:hAnsi="Arial" w:cs="Arial"/>
          <w:sz w:val="24"/>
          <w:szCs w:val="24"/>
          <w:lang w:val="en-US"/>
        </w:rPr>
        <w:t>behavioural</w:t>
      </w:r>
      <w:proofErr w:type="spellEnd"/>
      <w:r w:rsidRPr="00197A93">
        <w:rPr>
          <w:rFonts w:ascii="Arial" w:hAnsi="Arial" w:cs="Arial"/>
          <w:sz w:val="24"/>
          <w:szCs w:val="24"/>
          <w:lang w:val="en-US"/>
        </w:rPr>
        <w:t xml:space="preserve"> factors (Lee, 2023).</w:t>
      </w:r>
    </w:p>
    <w:p w14:paraId="247BD5F6" w14:textId="199A336C" w:rsidR="000D2C53" w:rsidRPr="00231D56" w:rsidRDefault="000D2C53"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2.2 Key drivers of food waste in hotels</w:t>
      </w:r>
    </w:p>
    <w:p w14:paraId="07D52AA4" w14:textId="286BC8FE" w:rsidR="00B11842" w:rsidRPr="00231D56" w:rsidRDefault="00DF64BD" w:rsidP="00231D56">
      <w:pPr>
        <w:spacing w:after="0" w:line="360" w:lineRule="auto"/>
        <w:rPr>
          <w:rFonts w:ascii="Arial" w:hAnsi="Arial" w:cs="Arial"/>
          <w:sz w:val="24"/>
          <w:szCs w:val="24"/>
          <w:lang w:val="en-US"/>
        </w:rPr>
      </w:pPr>
      <w:r w:rsidRPr="00DF64BD">
        <w:rPr>
          <w:rFonts w:ascii="Arial" w:hAnsi="Arial" w:cs="Arial"/>
          <w:sz w:val="24"/>
          <w:szCs w:val="24"/>
        </w:rPr>
        <w:t xml:space="preserve">Research identifies a combination of hotel operational practices and guest behaviour as primary drivers of food waste, particularly in buffet-style </w:t>
      </w:r>
      <w:r w:rsidR="000113A4" w:rsidRPr="00DF64BD">
        <w:rPr>
          <w:rFonts w:ascii="Arial" w:hAnsi="Arial" w:cs="Arial"/>
          <w:sz w:val="24"/>
          <w:szCs w:val="24"/>
        </w:rPr>
        <w:t>settings.</w:t>
      </w:r>
      <w:r w:rsidR="000113A4" w:rsidRPr="00231D56">
        <w:rPr>
          <w:rFonts w:ascii="Arial" w:hAnsi="Arial" w:cs="Arial"/>
          <w:sz w:val="24"/>
          <w:szCs w:val="24"/>
          <w:lang w:val="en-US"/>
        </w:rPr>
        <w:t xml:space="preserve"> Qualitative</w:t>
      </w:r>
      <w:r w:rsidR="00B11842" w:rsidRPr="00231D56">
        <w:rPr>
          <w:rFonts w:ascii="Arial" w:hAnsi="Arial" w:cs="Arial"/>
          <w:sz w:val="24"/>
          <w:szCs w:val="24"/>
          <w:lang w:val="en-US"/>
        </w:rPr>
        <w:t xml:space="preserve"> studies with hotel managers reveal that guest over-serving and value-</w:t>
      </w:r>
      <w:proofErr w:type="spellStart"/>
      <w:r w:rsidR="00B11842" w:rsidRPr="00231D56">
        <w:rPr>
          <w:rFonts w:ascii="Arial" w:hAnsi="Arial" w:cs="Arial"/>
          <w:sz w:val="24"/>
          <w:szCs w:val="24"/>
          <w:lang w:val="en-US"/>
        </w:rPr>
        <w:t>maximisation</w:t>
      </w:r>
      <w:proofErr w:type="spellEnd"/>
      <w:r w:rsidR="00B11842" w:rsidRPr="00231D56">
        <w:rPr>
          <w:rFonts w:ascii="Arial" w:hAnsi="Arial" w:cs="Arial"/>
          <w:sz w:val="24"/>
          <w:szCs w:val="24"/>
          <w:lang w:val="en-US"/>
        </w:rPr>
        <w:t xml:space="preserve"> </w:t>
      </w:r>
      <w:proofErr w:type="spellStart"/>
      <w:r w:rsidR="00B11842" w:rsidRPr="00231D56">
        <w:rPr>
          <w:rFonts w:ascii="Arial" w:hAnsi="Arial" w:cs="Arial"/>
          <w:sz w:val="24"/>
          <w:szCs w:val="24"/>
          <w:lang w:val="en-US"/>
        </w:rPr>
        <w:t>behaviours</w:t>
      </w:r>
      <w:proofErr w:type="spellEnd"/>
      <w:r w:rsidR="00B11842" w:rsidRPr="00231D56">
        <w:rPr>
          <w:rFonts w:ascii="Arial" w:hAnsi="Arial" w:cs="Arial"/>
          <w:sz w:val="24"/>
          <w:szCs w:val="24"/>
          <w:lang w:val="en-US"/>
        </w:rPr>
        <w:t xml:space="preserve">, alongside hotel-side overproduction, are among the most significant contributors to breakfast buffet waste (Appel, </w:t>
      </w:r>
      <w:proofErr w:type="spellStart"/>
      <w:r w:rsidR="00B11842" w:rsidRPr="00231D56">
        <w:rPr>
          <w:rFonts w:ascii="Arial" w:hAnsi="Arial" w:cs="Arial"/>
          <w:sz w:val="24"/>
          <w:szCs w:val="24"/>
          <w:lang w:val="en-US"/>
        </w:rPr>
        <w:t>d’Ayalon</w:t>
      </w:r>
      <w:proofErr w:type="spellEnd"/>
      <w:r w:rsidR="00B11842" w:rsidRPr="00231D56">
        <w:rPr>
          <w:rFonts w:ascii="Arial" w:hAnsi="Arial" w:cs="Arial"/>
          <w:sz w:val="24"/>
          <w:szCs w:val="24"/>
          <w:lang w:val="en-US"/>
        </w:rPr>
        <w:t xml:space="preserve"> and Collins-Kreiner, 2025). Experimental evidence further demonstrates that buffet environments encourage larger portion selection, while </w:t>
      </w:r>
      <w:proofErr w:type="spellStart"/>
      <w:r w:rsidR="00B11842" w:rsidRPr="00231D56">
        <w:rPr>
          <w:rFonts w:ascii="Arial" w:hAnsi="Arial" w:cs="Arial"/>
          <w:sz w:val="24"/>
          <w:szCs w:val="24"/>
          <w:lang w:val="en-US"/>
        </w:rPr>
        <w:t>behavioural</w:t>
      </w:r>
      <w:proofErr w:type="spellEnd"/>
      <w:r w:rsidR="00B11842" w:rsidRPr="00231D56">
        <w:rPr>
          <w:rFonts w:ascii="Arial" w:hAnsi="Arial" w:cs="Arial"/>
          <w:sz w:val="24"/>
          <w:szCs w:val="24"/>
          <w:lang w:val="en-US"/>
        </w:rPr>
        <w:t xml:space="preserve"> guidance is not always followed without additional prompts or incentives (Greene et al., 2024).</w:t>
      </w:r>
    </w:p>
    <w:p w14:paraId="17D19A71" w14:textId="77777777" w:rsidR="00B11842" w:rsidRPr="00231D56" w:rsidRDefault="00B11842" w:rsidP="00231D56">
      <w:pPr>
        <w:spacing w:line="360" w:lineRule="auto"/>
        <w:rPr>
          <w:rFonts w:ascii="Arial" w:hAnsi="Arial" w:cs="Arial"/>
          <w:sz w:val="24"/>
          <w:szCs w:val="24"/>
          <w:lang w:val="en-US"/>
        </w:rPr>
      </w:pPr>
      <w:r w:rsidRPr="00231D56">
        <w:rPr>
          <w:rFonts w:ascii="Arial" w:hAnsi="Arial" w:cs="Arial"/>
          <w:sz w:val="24"/>
          <w:szCs w:val="24"/>
          <w:lang w:val="en-US"/>
        </w:rPr>
        <w:lastRenderedPageBreak/>
        <w:t xml:space="preserve">Beyond individual </w:t>
      </w:r>
      <w:proofErr w:type="spellStart"/>
      <w:r w:rsidRPr="00231D56">
        <w:rPr>
          <w:rFonts w:ascii="Arial" w:hAnsi="Arial" w:cs="Arial"/>
          <w:sz w:val="24"/>
          <w:szCs w:val="24"/>
          <w:lang w:val="en-US"/>
        </w:rPr>
        <w:t>behaviour</w:t>
      </w:r>
      <w:proofErr w:type="spellEnd"/>
      <w:r w:rsidRPr="00231D56">
        <w:rPr>
          <w:rFonts w:ascii="Arial" w:hAnsi="Arial" w:cs="Arial"/>
          <w:sz w:val="24"/>
          <w:szCs w:val="24"/>
          <w:lang w:val="en-US"/>
        </w:rPr>
        <w:t xml:space="preserve">, modelling-based research </w:t>
      </w:r>
      <w:proofErr w:type="spellStart"/>
      <w:r w:rsidRPr="00231D56">
        <w:rPr>
          <w:rFonts w:ascii="Arial" w:hAnsi="Arial" w:cs="Arial"/>
          <w:sz w:val="24"/>
          <w:szCs w:val="24"/>
          <w:lang w:val="en-US"/>
        </w:rPr>
        <w:t>emphasises</w:t>
      </w:r>
      <w:proofErr w:type="spellEnd"/>
      <w:r w:rsidRPr="00231D56">
        <w:rPr>
          <w:rFonts w:ascii="Arial" w:hAnsi="Arial" w:cs="Arial"/>
          <w:sz w:val="24"/>
          <w:szCs w:val="24"/>
          <w:lang w:val="en-US"/>
        </w:rPr>
        <w:t xml:space="preserve"> the interaction between social norms, situational constraints, and service design. Studies show that standard plate sizes and unrestricted access to additional servings are strongly associated with increased leftovers, while food service environments that offer greater consumer control and incentives are linked to lower levels of plate waste (Puga-Gonzalez et al., 2025; </w:t>
      </w:r>
      <w:proofErr w:type="spellStart"/>
      <w:r w:rsidRPr="00231D56">
        <w:rPr>
          <w:rFonts w:ascii="Arial" w:hAnsi="Arial" w:cs="Arial"/>
          <w:sz w:val="24"/>
          <w:szCs w:val="24"/>
          <w:lang w:val="en-US"/>
        </w:rPr>
        <w:t>Matzembacher</w:t>
      </w:r>
      <w:proofErr w:type="spellEnd"/>
      <w:r w:rsidRPr="00231D56">
        <w:rPr>
          <w:rFonts w:ascii="Arial" w:hAnsi="Arial" w:cs="Arial"/>
          <w:sz w:val="24"/>
          <w:szCs w:val="24"/>
          <w:lang w:val="en-US"/>
        </w:rPr>
        <w:t xml:space="preserve"> et al., 2020). These findings reinforce the importance of choice architecture in shaping consumption </w:t>
      </w:r>
      <w:proofErr w:type="spellStart"/>
      <w:r w:rsidRPr="00231D56">
        <w:rPr>
          <w:rFonts w:ascii="Arial" w:hAnsi="Arial" w:cs="Arial"/>
          <w:sz w:val="24"/>
          <w:szCs w:val="24"/>
          <w:lang w:val="en-US"/>
        </w:rPr>
        <w:t>behaviour</w:t>
      </w:r>
      <w:proofErr w:type="spellEnd"/>
      <w:r w:rsidRPr="00231D56">
        <w:rPr>
          <w:rFonts w:ascii="Arial" w:hAnsi="Arial" w:cs="Arial"/>
          <w:sz w:val="24"/>
          <w:szCs w:val="24"/>
          <w:lang w:val="en-US"/>
        </w:rPr>
        <w:t xml:space="preserve"> within hotel food service contexts.</w:t>
      </w:r>
    </w:p>
    <w:p w14:paraId="20968818" w14:textId="65A07B3D" w:rsidR="00D47DF6" w:rsidRPr="00231D56" w:rsidRDefault="004A4703" w:rsidP="00231D56">
      <w:pPr>
        <w:spacing w:after="0" w:line="360" w:lineRule="auto"/>
        <w:rPr>
          <w:rFonts w:ascii="Arial" w:hAnsi="Arial" w:cs="Arial"/>
          <w:b/>
          <w:bCs/>
          <w:sz w:val="24"/>
          <w:szCs w:val="24"/>
        </w:rPr>
      </w:pPr>
      <w:r w:rsidRPr="00231D56">
        <w:rPr>
          <w:rFonts w:ascii="Arial" w:hAnsi="Arial" w:cs="Arial"/>
          <w:b/>
          <w:bCs/>
          <w:sz w:val="24"/>
          <w:szCs w:val="24"/>
        </w:rPr>
        <w:t>2.3 Food waste reduction strategies and sustainability</w:t>
      </w:r>
    </w:p>
    <w:p w14:paraId="6E28B064" w14:textId="63C019FB" w:rsidR="00F44D57" w:rsidRPr="00231D56" w:rsidRDefault="00262DBE" w:rsidP="00231D56">
      <w:pPr>
        <w:spacing w:after="0" w:line="360" w:lineRule="auto"/>
        <w:rPr>
          <w:rFonts w:ascii="Arial" w:hAnsi="Arial" w:cs="Arial"/>
          <w:sz w:val="24"/>
          <w:szCs w:val="24"/>
          <w:lang w:val="en-US"/>
        </w:rPr>
      </w:pPr>
      <w:r w:rsidRPr="00262DBE">
        <w:rPr>
          <w:rFonts w:ascii="Arial" w:hAnsi="Arial" w:cs="Arial"/>
          <w:sz w:val="24"/>
          <w:szCs w:val="24"/>
        </w:rPr>
        <w:t xml:space="preserve">Recent studies suggest that reducing food waste in the hospitality sector is most effective when hotels adopt a coordinated approach rather than relying on isolated measures. This involves combining day-to-day operational controls with behavioural initiatives and longer-term sustainability planning. Practices such as improved inventory management and more accurate demand forecasting help hotels better match food purchasing and preparation to actual consumption, thereby reducing unnecessary </w:t>
      </w:r>
      <w:r w:rsidR="000113A4" w:rsidRPr="00262DBE">
        <w:rPr>
          <w:rFonts w:ascii="Arial" w:hAnsi="Arial" w:cs="Arial"/>
          <w:sz w:val="24"/>
          <w:szCs w:val="24"/>
        </w:rPr>
        <w:t>overproduction.</w:t>
      </w:r>
      <w:r w:rsidR="000113A4" w:rsidRPr="00231D56">
        <w:rPr>
          <w:rFonts w:ascii="Arial" w:hAnsi="Arial" w:cs="Arial"/>
          <w:sz w:val="24"/>
          <w:szCs w:val="24"/>
          <w:lang w:val="en-US"/>
        </w:rPr>
        <w:t xml:space="preserve"> However</w:t>
      </w:r>
      <w:r w:rsidR="00B85D84" w:rsidRPr="00231D56">
        <w:rPr>
          <w:rFonts w:ascii="Arial" w:hAnsi="Arial" w:cs="Arial"/>
          <w:sz w:val="24"/>
          <w:szCs w:val="24"/>
          <w:lang w:val="en-US"/>
        </w:rPr>
        <w:t xml:space="preserve">, research consistently highlights that operational tools alone are insufficient unless supported by staff engagement and </w:t>
      </w:r>
      <w:proofErr w:type="spellStart"/>
      <w:r w:rsidR="00B85D84" w:rsidRPr="00231D56">
        <w:rPr>
          <w:rFonts w:ascii="Arial" w:hAnsi="Arial" w:cs="Arial"/>
          <w:sz w:val="24"/>
          <w:szCs w:val="24"/>
          <w:lang w:val="en-US"/>
        </w:rPr>
        <w:t>organisational</w:t>
      </w:r>
      <w:proofErr w:type="spellEnd"/>
      <w:r w:rsidR="00B85D84" w:rsidRPr="00231D56">
        <w:rPr>
          <w:rFonts w:ascii="Arial" w:hAnsi="Arial" w:cs="Arial"/>
          <w:sz w:val="24"/>
          <w:szCs w:val="24"/>
          <w:lang w:val="en-US"/>
        </w:rPr>
        <w:t xml:space="preserve"> commitment to sustainability </w:t>
      </w:r>
      <w:r w:rsidR="0044766D" w:rsidRPr="00231D56">
        <w:rPr>
          <w:rFonts w:ascii="Arial" w:hAnsi="Arial" w:cs="Arial"/>
          <w:sz w:val="24"/>
          <w:szCs w:val="24"/>
          <w:lang w:val="en-US"/>
        </w:rPr>
        <w:t>objectives.</w:t>
      </w:r>
      <w:r w:rsidR="0044766D" w:rsidRPr="00231D56">
        <w:rPr>
          <w:rFonts w:ascii="Arial" w:hAnsi="Arial" w:cs="Arial"/>
          <w:sz w:val="24"/>
          <w:szCs w:val="24"/>
        </w:rPr>
        <w:t xml:space="preserve"> Recent</w:t>
      </w:r>
      <w:r w:rsidR="00F44D57" w:rsidRPr="00231D56">
        <w:rPr>
          <w:rFonts w:ascii="Arial" w:hAnsi="Arial" w:cs="Arial"/>
          <w:sz w:val="24"/>
          <w:szCs w:val="24"/>
        </w:rPr>
        <w:t xml:space="preserve"> hotel-focused evidence further supports the importance of integrated organisational approaches, showing that food waste reduction initiatives are most effective when operational controls are aligned with managerial commitment and staff involvement (</w:t>
      </w:r>
      <w:proofErr w:type="spellStart"/>
      <w:r w:rsidR="00F44D57" w:rsidRPr="00231D56">
        <w:rPr>
          <w:rFonts w:ascii="Arial" w:hAnsi="Arial" w:cs="Arial"/>
          <w:sz w:val="24"/>
          <w:szCs w:val="24"/>
        </w:rPr>
        <w:t>Kattiyapornpong</w:t>
      </w:r>
      <w:proofErr w:type="spellEnd"/>
      <w:r w:rsidR="00F44D57" w:rsidRPr="00231D56">
        <w:rPr>
          <w:rFonts w:ascii="Arial" w:hAnsi="Arial" w:cs="Arial"/>
          <w:sz w:val="24"/>
          <w:szCs w:val="24"/>
        </w:rPr>
        <w:t xml:space="preserve"> et al., 2023).</w:t>
      </w:r>
    </w:p>
    <w:p w14:paraId="7C3BC99D" w14:textId="227ECE7B" w:rsidR="00B85D84" w:rsidRPr="00231D56" w:rsidRDefault="00B85D84" w:rsidP="00231D56">
      <w:pPr>
        <w:spacing w:after="0" w:line="360" w:lineRule="auto"/>
        <w:rPr>
          <w:rFonts w:ascii="Arial" w:hAnsi="Arial" w:cs="Arial"/>
          <w:sz w:val="24"/>
          <w:szCs w:val="24"/>
          <w:lang w:val="en-US"/>
        </w:rPr>
      </w:pPr>
      <w:proofErr w:type="spellStart"/>
      <w:r w:rsidRPr="00231D56">
        <w:rPr>
          <w:rFonts w:ascii="Arial" w:hAnsi="Arial" w:cs="Arial"/>
          <w:sz w:val="24"/>
          <w:szCs w:val="24"/>
          <w:lang w:val="en-US"/>
        </w:rPr>
        <w:t>Behavioural</w:t>
      </w:r>
      <w:proofErr w:type="spellEnd"/>
      <w:r w:rsidRPr="00231D56">
        <w:rPr>
          <w:rFonts w:ascii="Arial" w:hAnsi="Arial" w:cs="Arial"/>
          <w:sz w:val="24"/>
          <w:szCs w:val="24"/>
          <w:lang w:val="en-US"/>
        </w:rPr>
        <w:t xml:space="preserve"> interventions, including portion control, menu redesign, and staff training, have demonstrated potential to reduce food waste while improving operational efficiency. Studies within hospitality management literature suggest that empowering employees to monitor waste patterns and adapt operational practices can lead to measurable reductions in waste volumes (Jones, Hillier and Comfort, 2016). Nevertheless, the effectiveness of such strategies is highly dependent on consistent implementation, with high staff turnover frequently identified as a key barrier to sustaining long-term </w:t>
      </w:r>
      <w:proofErr w:type="spellStart"/>
      <w:r w:rsidRPr="00231D56">
        <w:rPr>
          <w:rFonts w:ascii="Arial" w:hAnsi="Arial" w:cs="Arial"/>
          <w:sz w:val="24"/>
          <w:szCs w:val="24"/>
          <w:lang w:val="en-US"/>
        </w:rPr>
        <w:t>behavioural</w:t>
      </w:r>
      <w:proofErr w:type="spellEnd"/>
      <w:r w:rsidRPr="00231D56">
        <w:rPr>
          <w:rFonts w:ascii="Arial" w:hAnsi="Arial" w:cs="Arial"/>
          <w:sz w:val="24"/>
          <w:szCs w:val="24"/>
          <w:lang w:val="en-US"/>
        </w:rPr>
        <w:t xml:space="preserve"> change.</w:t>
      </w:r>
      <w:r w:rsidR="001F5103" w:rsidRPr="00231D56">
        <w:rPr>
          <w:rFonts w:ascii="Arial" w:hAnsi="Arial" w:cs="Arial"/>
          <w:sz w:val="24"/>
          <w:szCs w:val="24"/>
        </w:rPr>
        <w:t xml:space="preserve"> Evidence from food service research also suggests that employee training plays a significant role in sustaining waste reduction practices, particularly when supported by clear operational guidelines and organisational incentives (Montesdeoca-Calderón et al., 2024).</w:t>
      </w:r>
    </w:p>
    <w:p w14:paraId="1CB279A8" w14:textId="77777777" w:rsidR="00B85D84" w:rsidRPr="00231D56" w:rsidRDefault="00B85D84" w:rsidP="00231D56">
      <w:pPr>
        <w:spacing w:after="0" w:line="360" w:lineRule="auto"/>
        <w:rPr>
          <w:rFonts w:ascii="Arial" w:hAnsi="Arial" w:cs="Arial"/>
          <w:sz w:val="24"/>
          <w:szCs w:val="24"/>
          <w:lang w:val="en-US"/>
        </w:rPr>
      </w:pPr>
      <w:r w:rsidRPr="00231D56">
        <w:rPr>
          <w:rFonts w:ascii="Arial" w:hAnsi="Arial" w:cs="Arial"/>
          <w:sz w:val="24"/>
          <w:szCs w:val="24"/>
          <w:lang w:val="en-US"/>
        </w:rPr>
        <w:lastRenderedPageBreak/>
        <w:t>More advanced strategies, such as food donation schemes, composting, and local sourcing initiatives, are increasingly positioned within broader sustainability agendas. While these approaches contribute positively to environmental and social outcomes, their financial and operational feasibility varies across hotel types and sizes. Small and medium-sized hotels often face regulatory, logistical, and cost-related challenges that can limit the effectiveness of such food waste reduction initiatives (UNEP, 2021).</w:t>
      </w:r>
    </w:p>
    <w:p w14:paraId="6E71C4CB" w14:textId="2B022A9E" w:rsidR="008B401B" w:rsidRPr="00231D56" w:rsidRDefault="00F32010"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2.4 Financial and operational implications of food waste reduction</w:t>
      </w:r>
    </w:p>
    <w:p w14:paraId="3D44C387" w14:textId="77777777" w:rsidR="00A4074A" w:rsidRPr="00A4074A" w:rsidRDefault="00A4074A" w:rsidP="00A4074A">
      <w:pPr>
        <w:spacing w:after="0" w:line="360" w:lineRule="auto"/>
        <w:rPr>
          <w:rFonts w:ascii="Arial" w:hAnsi="Arial" w:cs="Arial"/>
          <w:sz w:val="24"/>
          <w:szCs w:val="24"/>
          <w:lang w:val="en-US"/>
        </w:rPr>
      </w:pPr>
      <w:r w:rsidRPr="00A4074A">
        <w:rPr>
          <w:rFonts w:ascii="Arial" w:hAnsi="Arial" w:cs="Arial"/>
          <w:sz w:val="24"/>
          <w:szCs w:val="24"/>
          <w:lang w:val="en-US"/>
        </w:rPr>
        <w:t xml:space="preserve">The financial impact of food waste reduction remains a key concern for hospitality operators, as sustainability initiatives often involve a trade-off between short-term costs and long-term benefits. While reducing food waste can lead to savings over time, hotels typically need to invest in new systems, staff development, and operational adjustments before these benefits are </w:t>
      </w:r>
      <w:proofErr w:type="spellStart"/>
      <w:r w:rsidRPr="00A4074A">
        <w:rPr>
          <w:rFonts w:ascii="Arial" w:hAnsi="Arial" w:cs="Arial"/>
          <w:sz w:val="24"/>
          <w:szCs w:val="24"/>
          <w:lang w:val="en-US"/>
        </w:rPr>
        <w:t>realised</w:t>
      </w:r>
      <w:proofErr w:type="spellEnd"/>
      <w:r w:rsidRPr="00A4074A">
        <w:rPr>
          <w:rFonts w:ascii="Arial" w:hAnsi="Arial" w:cs="Arial"/>
          <w:sz w:val="24"/>
          <w:szCs w:val="24"/>
          <w:lang w:val="en-US"/>
        </w:rPr>
        <w:t xml:space="preserve">. Inefficient purchasing practices, </w:t>
      </w:r>
      <w:proofErr w:type="spellStart"/>
      <w:r w:rsidRPr="00A4074A">
        <w:rPr>
          <w:rFonts w:ascii="Arial" w:hAnsi="Arial" w:cs="Arial"/>
          <w:sz w:val="24"/>
          <w:szCs w:val="24"/>
          <w:lang w:val="en-US"/>
        </w:rPr>
        <w:t>labour</w:t>
      </w:r>
      <w:proofErr w:type="spellEnd"/>
      <w:r w:rsidRPr="00A4074A">
        <w:rPr>
          <w:rFonts w:ascii="Arial" w:hAnsi="Arial" w:cs="Arial"/>
          <w:sz w:val="24"/>
          <w:szCs w:val="24"/>
          <w:lang w:val="en-US"/>
        </w:rPr>
        <w:t xml:space="preserve"> misuse, and disposal expenses further highlight how food waste can undermine profitability, positioning waste reduction as an operational improvement opportunity rather than purely an environmental issue (</w:t>
      </w:r>
      <w:proofErr w:type="spellStart"/>
      <w:r w:rsidRPr="00A4074A">
        <w:rPr>
          <w:rFonts w:ascii="Arial" w:hAnsi="Arial" w:cs="Arial"/>
          <w:sz w:val="24"/>
          <w:szCs w:val="24"/>
          <w:lang w:val="en-US"/>
        </w:rPr>
        <w:t>Filimonau</w:t>
      </w:r>
      <w:proofErr w:type="spellEnd"/>
      <w:r w:rsidRPr="00A4074A">
        <w:rPr>
          <w:rFonts w:ascii="Arial" w:hAnsi="Arial" w:cs="Arial"/>
          <w:sz w:val="24"/>
          <w:szCs w:val="24"/>
          <w:lang w:val="en-US"/>
        </w:rPr>
        <w:t xml:space="preserve"> and </w:t>
      </w:r>
      <w:proofErr w:type="spellStart"/>
      <w:r w:rsidRPr="00A4074A">
        <w:rPr>
          <w:rFonts w:ascii="Arial" w:hAnsi="Arial" w:cs="Arial"/>
          <w:sz w:val="24"/>
          <w:szCs w:val="24"/>
          <w:lang w:val="en-US"/>
        </w:rPr>
        <w:t>Delysia</w:t>
      </w:r>
      <w:proofErr w:type="spellEnd"/>
      <w:r w:rsidRPr="00A4074A">
        <w:rPr>
          <w:rFonts w:ascii="Arial" w:hAnsi="Arial" w:cs="Arial"/>
          <w:sz w:val="24"/>
          <w:szCs w:val="24"/>
          <w:lang w:val="en-US"/>
        </w:rPr>
        <w:t>, 2019).</w:t>
      </w:r>
    </w:p>
    <w:p w14:paraId="120DDEB3" w14:textId="77777777" w:rsidR="00A4074A" w:rsidRPr="00A4074A" w:rsidRDefault="00A4074A" w:rsidP="00A4074A">
      <w:pPr>
        <w:spacing w:after="0" w:line="360" w:lineRule="auto"/>
        <w:rPr>
          <w:rFonts w:ascii="Arial" w:hAnsi="Arial" w:cs="Arial"/>
          <w:sz w:val="24"/>
          <w:szCs w:val="24"/>
          <w:lang w:val="en-US"/>
        </w:rPr>
      </w:pPr>
      <w:r w:rsidRPr="00A4074A">
        <w:rPr>
          <w:rFonts w:ascii="Arial" w:hAnsi="Arial" w:cs="Arial"/>
          <w:sz w:val="24"/>
          <w:szCs w:val="24"/>
          <w:lang w:val="en-US"/>
        </w:rPr>
        <w:t>However, these financial gains are not experienced equally across the industry. Larger hotel chains are usually more capable of absorbing implementation costs and managing the transition, whereas small and medium-sized hotels often struggle with limited budgets and operational capacity (Pirani and Arafat, 2016). Evidence from luxury hotel contexts indicates that sustainability initiatives can positively influence financial performance when they are closely aligned with core business strategies, although weak monitoring and control systems may increase managerial complexity without producing clear economic benefits (</w:t>
      </w:r>
      <w:proofErr w:type="spellStart"/>
      <w:r w:rsidRPr="00A4074A">
        <w:rPr>
          <w:rFonts w:ascii="Arial" w:hAnsi="Arial" w:cs="Arial"/>
          <w:sz w:val="24"/>
          <w:szCs w:val="24"/>
          <w:lang w:val="en-US"/>
        </w:rPr>
        <w:t>Skordoulis</w:t>
      </w:r>
      <w:proofErr w:type="spellEnd"/>
      <w:r w:rsidRPr="00A4074A">
        <w:rPr>
          <w:rFonts w:ascii="Arial" w:hAnsi="Arial" w:cs="Arial"/>
          <w:sz w:val="24"/>
          <w:szCs w:val="24"/>
          <w:lang w:val="en-US"/>
        </w:rPr>
        <w:t xml:space="preserve"> et al., 2024).</w:t>
      </w:r>
    </w:p>
    <w:p w14:paraId="096481EA" w14:textId="0090AA9D" w:rsidR="000336BB" w:rsidRPr="00231D56" w:rsidRDefault="000336BB" w:rsidP="00231D56">
      <w:pPr>
        <w:spacing w:after="0" w:line="360" w:lineRule="auto"/>
        <w:rPr>
          <w:rFonts w:ascii="Arial" w:hAnsi="Arial" w:cs="Arial"/>
          <w:b/>
          <w:bCs/>
          <w:sz w:val="24"/>
          <w:szCs w:val="24"/>
          <w:lang w:val="en-US"/>
        </w:rPr>
      </w:pPr>
      <w:r w:rsidRPr="00231D56">
        <w:rPr>
          <w:rFonts w:ascii="Arial" w:hAnsi="Arial" w:cs="Arial"/>
          <w:b/>
          <w:bCs/>
          <w:sz w:val="24"/>
          <w:szCs w:val="24"/>
        </w:rPr>
        <w:t>2.5 Challenges and limitations in current literature</w:t>
      </w:r>
    </w:p>
    <w:p w14:paraId="165AFD15" w14:textId="77777777" w:rsidR="008A68C7" w:rsidRPr="00231D56" w:rsidRDefault="008A68C7"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Despite increasing attention to food waste reduction, the literature reveals several limitations. Many studies rely on short-term or cross-sectional designs, restricting insight into the long-term effectiveness and scalability of interventions. In addition, food waste data within hospitality remains fragmented, with inconsistent measurement methods limiting comparability across regions and hotel types (FAO, 2019). Existing research also disproportionately focuses on large hospitality </w:t>
      </w:r>
      <w:proofErr w:type="spellStart"/>
      <w:r w:rsidRPr="00231D56">
        <w:rPr>
          <w:rFonts w:ascii="Arial" w:hAnsi="Arial" w:cs="Arial"/>
          <w:sz w:val="24"/>
          <w:szCs w:val="24"/>
          <w:lang w:val="en-US"/>
        </w:rPr>
        <w:t>organisations</w:t>
      </w:r>
      <w:proofErr w:type="spellEnd"/>
      <w:r w:rsidRPr="00231D56">
        <w:rPr>
          <w:rFonts w:ascii="Arial" w:hAnsi="Arial" w:cs="Arial"/>
          <w:sz w:val="24"/>
          <w:szCs w:val="24"/>
          <w:lang w:val="en-US"/>
        </w:rPr>
        <w:t>, resulting in limited evidence on small and medium-sized enterprises operating under different constraints.</w:t>
      </w:r>
    </w:p>
    <w:p w14:paraId="3BABC8D9" w14:textId="77777777" w:rsidR="008A68C7" w:rsidRPr="00231D56" w:rsidRDefault="008A68C7" w:rsidP="00231D56">
      <w:pPr>
        <w:spacing w:line="360" w:lineRule="auto"/>
        <w:rPr>
          <w:rFonts w:ascii="Arial" w:hAnsi="Arial" w:cs="Arial"/>
          <w:sz w:val="24"/>
          <w:szCs w:val="24"/>
          <w:lang w:val="en-US"/>
        </w:rPr>
      </w:pPr>
      <w:r w:rsidRPr="00231D56">
        <w:rPr>
          <w:rFonts w:ascii="Arial" w:hAnsi="Arial" w:cs="Arial"/>
          <w:sz w:val="24"/>
          <w:szCs w:val="24"/>
          <w:lang w:val="en-US"/>
        </w:rPr>
        <w:lastRenderedPageBreak/>
        <w:t>Furthermore, scholars highlight the lack of coordinated, industry-wide approaches as a persistent barrier to achieving sustained and scalable food waste reduction outcomes. The absence of shared standards, benchmarking practices, and collaborative frameworks limits the transferability of successful initiatives across different hospitality contexts (</w:t>
      </w:r>
      <w:proofErr w:type="spellStart"/>
      <w:r w:rsidRPr="00231D56">
        <w:rPr>
          <w:rFonts w:ascii="Arial" w:hAnsi="Arial" w:cs="Arial"/>
          <w:sz w:val="24"/>
          <w:szCs w:val="24"/>
          <w:lang w:val="en-US"/>
        </w:rPr>
        <w:t>Gössling</w:t>
      </w:r>
      <w:proofErr w:type="spellEnd"/>
      <w:r w:rsidRPr="00231D56">
        <w:rPr>
          <w:rFonts w:ascii="Arial" w:hAnsi="Arial" w:cs="Arial"/>
          <w:sz w:val="24"/>
          <w:szCs w:val="24"/>
          <w:lang w:val="en-US"/>
        </w:rPr>
        <w:t xml:space="preserve"> and Hall, 2019). These gaps underline the need for more </w:t>
      </w:r>
      <w:proofErr w:type="spellStart"/>
      <w:r w:rsidRPr="00231D56">
        <w:rPr>
          <w:rFonts w:ascii="Arial" w:hAnsi="Arial" w:cs="Arial"/>
          <w:sz w:val="24"/>
          <w:szCs w:val="24"/>
          <w:lang w:val="en-US"/>
        </w:rPr>
        <w:t>standardised</w:t>
      </w:r>
      <w:proofErr w:type="spellEnd"/>
      <w:r w:rsidRPr="00231D56">
        <w:rPr>
          <w:rFonts w:ascii="Arial" w:hAnsi="Arial" w:cs="Arial"/>
          <w:sz w:val="24"/>
          <w:szCs w:val="24"/>
          <w:lang w:val="en-US"/>
        </w:rPr>
        <w:t>, longitudinal, and collaborative research approaches to better inform strategic decision-making within the sector.</w:t>
      </w:r>
    </w:p>
    <w:p w14:paraId="254ED6F7" w14:textId="686A48D4" w:rsidR="00711D0C" w:rsidRPr="00231D56" w:rsidRDefault="00711D0C" w:rsidP="00231D56">
      <w:pPr>
        <w:spacing w:line="360" w:lineRule="auto"/>
        <w:rPr>
          <w:rFonts w:ascii="Arial" w:hAnsi="Arial" w:cs="Arial"/>
          <w:b/>
          <w:bCs/>
          <w:sz w:val="24"/>
          <w:szCs w:val="24"/>
        </w:rPr>
      </w:pPr>
      <w:r w:rsidRPr="00231D56">
        <w:rPr>
          <w:rFonts w:ascii="Arial" w:hAnsi="Arial" w:cs="Arial"/>
          <w:b/>
          <w:bCs/>
          <w:sz w:val="24"/>
          <w:szCs w:val="24"/>
        </w:rPr>
        <w:t>3.</w:t>
      </w:r>
      <w:r w:rsidR="00731EA1" w:rsidRPr="00231D56">
        <w:rPr>
          <w:rFonts w:ascii="Arial" w:hAnsi="Arial" w:cs="Arial"/>
          <w:b/>
          <w:bCs/>
          <w:sz w:val="24"/>
          <w:szCs w:val="24"/>
        </w:rPr>
        <w:t xml:space="preserve"> </w:t>
      </w:r>
      <w:r w:rsidRPr="00231D56">
        <w:rPr>
          <w:rFonts w:ascii="Arial" w:hAnsi="Arial" w:cs="Arial"/>
          <w:b/>
          <w:bCs/>
          <w:sz w:val="24"/>
          <w:szCs w:val="24"/>
        </w:rPr>
        <w:t>Method</w:t>
      </w:r>
    </w:p>
    <w:p w14:paraId="63330884" w14:textId="77777777" w:rsidR="00C41326" w:rsidRPr="00C41326" w:rsidRDefault="00C41326" w:rsidP="00C41326">
      <w:pPr>
        <w:spacing w:after="0" w:line="360" w:lineRule="auto"/>
        <w:rPr>
          <w:rFonts w:ascii="Arial" w:hAnsi="Arial" w:cs="Arial"/>
          <w:sz w:val="24"/>
          <w:szCs w:val="24"/>
          <w:lang w:val="en-US"/>
        </w:rPr>
      </w:pPr>
      <w:r w:rsidRPr="00C41326">
        <w:rPr>
          <w:rFonts w:ascii="Arial" w:hAnsi="Arial" w:cs="Arial"/>
          <w:sz w:val="24"/>
          <w:szCs w:val="24"/>
          <w:lang w:val="en-US"/>
        </w:rPr>
        <w:t xml:space="preserve">This study uses a qualitative secondary research design to explore how food waste reduction strategies are applied and assessed within the hotel and hospitality sector. Secondary sources were considered the most suitable approach given the wide scope of the topic and the availability of relevant academic studies and industry-based publications addressing sustainability and food waste management. The data set was developed through a structured review of peer-reviewed journal articles, professional reports, and publications issued by internationally </w:t>
      </w:r>
      <w:proofErr w:type="spellStart"/>
      <w:r w:rsidRPr="00C41326">
        <w:rPr>
          <w:rFonts w:ascii="Arial" w:hAnsi="Arial" w:cs="Arial"/>
          <w:sz w:val="24"/>
          <w:szCs w:val="24"/>
          <w:lang w:val="en-US"/>
        </w:rPr>
        <w:t>recognised</w:t>
      </w:r>
      <w:proofErr w:type="spellEnd"/>
      <w:r w:rsidRPr="00C41326">
        <w:rPr>
          <w:rFonts w:ascii="Arial" w:hAnsi="Arial" w:cs="Arial"/>
          <w:sz w:val="24"/>
          <w:szCs w:val="24"/>
          <w:lang w:val="en-US"/>
        </w:rPr>
        <w:t xml:space="preserve"> </w:t>
      </w:r>
      <w:proofErr w:type="spellStart"/>
      <w:r w:rsidRPr="00C41326">
        <w:rPr>
          <w:rFonts w:ascii="Arial" w:hAnsi="Arial" w:cs="Arial"/>
          <w:sz w:val="24"/>
          <w:szCs w:val="24"/>
          <w:lang w:val="en-US"/>
        </w:rPr>
        <w:t>organisations</w:t>
      </w:r>
      <w:proofErr w:type="spellEnd"/>
      <w:r w:rsidRPr="00C41326">
        <w:rPr>
          <w:rFonts w:ascii="Arial" w:hAnsi="Arial" w:cs="Arial"/>
          <w:sz w:val="24"/>
          <w:szCs w:val="24"/>
          <w:lang w:val="en-US"/>
        </w:rPr>
        <w:t xml:space="preserve"> active in the fields of sustainability and hospitality.</w:t>
      </w:r>
    </w:p>
    <w:p w14:paraId="37DA8CCA" w14:textId="77777777" w:rsidR="00C41326" w:rsidRPr="00C41326" w:rsidRDefault="00C41326" w:rsidP="00C41326">
      <w:pPr>
        <w:spacing w:after="0" w:line="360" w:lineRule="auto"/>
        <w:rPr>
          <w:rFonts w:ascii="Arial" w:hAnsi="Arial" w:cs="Arial"/>
          <w:sz w:val="24"/>
          <w:szCs w:val="24"/>
          <w:lang w:val="en-US"/>
        </w:rPr>
      </w:pPr>
      <w:r w:rsidRPr="00C41326">
        <w:rPr>
          <w:rFonts w:ascii="Arial" w:hAnsi="Arial" w:cs="Arial"/>
          <w:sz w:val="24"/>
          <w:szCs w:val="24"/>
          <w:lang w:val="en-US"/>
        </w:rPr>
        <w:t>To examine the wider implications of food waste and sustainability practices for the hospitality industry, the analysis is structured around the PESTLE framework. This approach allows for a systematic assessment of political, economic, social, technological, legal, and environmental influences shaping food waste management in hospitality operations. PESTLE is particularly appropriate for sustainability-oriented research, as it supports the evaluation of external pressures such as regulation, financial constraints, technological change, and evolving stakeholder expectations.</w:t>
      </w:r>
    </w:p>
    <w:p w14:paraId="2D269A3D" w14:textId="43912F5A" w:rsidR="00E3534F" w:rsidRDefault="00B15C89" w:rsidP="00E3534F">
      <w:pPr>
        <w:spacing w:after="0" w:line="360" w:lineRule="auto"/>
        <w:rPr>
          <w:rFonts w:ascii="Arial" w:hAnsi="Arial" w:cs="Arial"/>
          <w:sz w:val="24"/>
          <w:szCs w:val="24"/>
          <w:lang w:val="en-US"/>
        </w:rPr>
      </w:pPr>
      <w:r w:rsidRPr="00231D56">
        <w:rPr>
          <w:rFonts w:ascii="Arial" w:hAnsi="Arial" w:cs="Arial"/>
          <w:sz w:val="24"/>
          <w:szCs w:val="24"/>
          <w:lang w:val="en-US"/>
        </w:rPr>
        <w:t xml:space="preserve">The combination of secondary research and PESTLE analysis allows for a comprehensive and critical examination of food waste as a contemporary sustainability challenge. This methodological approach supports the identification of industry responses, strengths, and limitations, </w:t>
      </w:r>
      <w:r w:rsidR="00863874" w:rsidRPr="00863874">
        <w:rPr>
          <w:rFonts w:ascii="Arial" w:hAnsi="Arial" w:cs="Arial"/>
          <w:sz w:val="24"/>
          <w:szCs w:val="24"/>
        </w:rPr>
        <w:t>while ensuring the analysis remains grounded in current academic knowledge</w:t>
      </w:r>
      <w:r w:rsidRPr="00231D56">
        <w:rPr>
          <w:rFonts w:ascii="Arial" w:hAnsi="Arial" w:cs="Arial"/>
          <w:sz w:val="24"/>
          <w:szCs w:val="24"/>
          <w:lang w:val="en-US"/>
        </w:rPr>
        <w:t>.</w:t>
      </w:r>
    </w:p>
    <w:p w14:paraId="28AC0F84" w14:textId="77777777" w:rsidR="00506B73" w:rsidRDefault="00506B73" w:rsidP="00E3534F">
      <w:pPr>
        <w:spacing w:after="0" w:line="360" w:lineRule="auto"/>
        <w:rPr>
          <w:rFonts w:ascii="Arial" w:hAnsi="Arial" w:cs="Arial"/>
          <w:sz w:val="24"/>
          <w:szCs w:val="24"/>
          <w:lang w:val="en-US"/>
        </w:rPr>
      </w:pPr>
    </w:p>
    <w:p w14:paraId="704DF882" w14:textId="77777777" w:rsidR="00506B73" w:rsidRDefault="00506B73" w:rsidP="00E3534F">
      <w:pPr>
        <w:spacing w:after="0" w:line="360" w:lineRule="auto"/>
        <w:rPr>
          <w:rFonts w:ascii="Arial" w:hAnsi="Arial" w:cs="Arial"/>
          <w:sz w:val="24"/>
          <w:szCs w:val="24"/>
          <w:lang w:val="en-US"/>
        </w:rPr>
      </w:pPr>
    </w:p>
    <w:p w14:paraId="0C0BC544" w14:textId="77777777" w:rsidR="00506B73" w:rsidRDefault="00506B73" w:rsidP="00E3534F">
      <w:pPr>
        <w:spacing w:after="0" w:line="360" w:lineRule="auto"/>
        <w:rPr>
          <w:rFonts w:ascii="Arial" w:hAnsi="Arial" w:cs="Arial"/>
          <w:sz w:val="24"/>
          <w:szCs w:val="24"/>
          <w:lang w:val="en-US"/>
        </w:rPr>
      </w:pPr>
    </w:p>
    <w:p w14:paraId="78783C8D" w14:textId="77777777" w:rsidR="00506B73" w:rsidRPr="00E3534F" w:rsidRDefault="00506B73" w:rsidP="00E3534F">
      <w:pPr>
        <w:spacing w:after="0" w:line="360" w:lineRule="auto"/>
        <w:rPr>
          <w:rFonts w:ascii="Arial" w:hAnsi="Arial" w:cs="Arial"/>
          <w:sz w:val="24"/>
          <w:szCs w:val="24"/>
          <w:lang w:val="en-US"/>
        </w:rPr>
      </w:pPr>
    </w:p>
    <w:p w14:paraId="6AC86A56" w14:textId="547F68CA" w:rsidR="00E3534F" w:rsidRPr="00231D56" w:rsidRDefault="003361F8" w:rsidP="00231D56">
      <w:pPr>
        <w:spacing w:line="360" w:lineRule="auto"/>
        <w:rPr>
          <w:rFonts w:ascii="Arial" w:hAnsi="Arial" w:cs="Arial"/>
          <w:b/>
          <w:bCs/>
          <w:sz w:val="24"/>
          <w:szCs w:val="24"/>
        </w:rPr>
      </w:pPr>
      <w:r w:rsidRPr="00231D56">
        <w:rPr>
          <w:rFonts w:ascii="Arial" w:hAnsi="Arial" w:cs="Arial"/>
          <w:b/>
          <w:bCs/>
          <w:sz w:val="24"/>
          <w:szCs w:val="24"/>
        </w:rPr>
        <w:lastRenderedPageBreak/>
        <w:t>4</w:t>
      </w:r>
      <w:r w:rsidR="009B22EA" w:rsidRPr="00231D56">
        <w:rPr>
          <w:rFonts w:ascii="Arial" w:hAnsi="Arial" w:cs="Arial"/>
          <w:b/>
          <w:bCs/>
          <w:sz w:val="24"/>
          <w:szCs w:val="24"/>
        </w:rPr>
        <w:t xml:space="preserve">. </w:t>
      </w:r>
      <w:r w:rsidRPr="00231D56">
        <w:rPr>
          <w:rFonts w:ascii="Arial" w:hAnsi="Arial" w:cs="Arial"/>
          <w:b/>
          <w:bCs/>
          <w:sz w:val="24"/>
          <w:szCs w:val="24"/>
        </w:rPr>
        <w:t>Theme Impact Analysis</w:t>
      </w:r>
    </w:p>
    <w:p w14:paraId="275DCAEE" w14:textId="77777777" w:rsidR="00CB7BAB" w:rsidRDefault="00CB7BAB" w:rsidP="00231D56">
      <w:pPr>
        <w:spacing w:after="0" w:line="360" w:lineRule="auto"/>
        <w:rPr>
          <w:rFonts w:ascii="Arial" w:hAnsi="Arial" w:cs="Arial"/>
          <w:sz w:val="24"/>
          <w:szCs w:val="24"/>
        </w:rPr>
      </w:pPr>
      <w:r w:rsidRPr="00CB7BAB">
        <w:rPr>
          <w:rFonts w:ascii="Arial" w:hAnsi="Arial" w:cs="Arial"/>
          <w:sz w:val="24"/>
          <w:szCs w:val="24"/>
        </w:rPr>
        <w:t>This section examines how food waste reduction influences the hotel and hospitality industry by applying a contextualised PESTLE framework. The analysis focuses on political, economic, social, technological, and legal factors in order to explore the external conditions shaping organisational responses to food waste reduction. Environmental considerations are not addressed as a separate category, as sustainability represents the central theme of this study and is embedded throughout the analysis.</w:t>
      </w:r>
    </w:p>
    <w:p w14:paraId="54516EB9" w14:textId="68F558D5" w:rsidR="00474E8A" w:rsidRPr="00231D56" w:rsidRDefault="00B65B67" w:rsidP="00231D56">
      <w:pPr>
        <w:spacing w:after="0" w:line="360" w:lineRule="auto"/>
        <w:rPr>
          <w:rFonts w:ascii="Arial" w:hAnsi="Arial" w:cs="Arial"/>
          <w:b/>
          <w:bCs/>
          <w:sz w:val="24"/>
          <w:szCs w:val="24"/>
        </w:rPr>
      </w:pPr>
      <w:r w:rsidRPr="00231D56">
        <w:rPr>
          <w:rFonts w:ascii="Arial" w:hAnsi="Arial" w:cs="Arial"/>
          <w:b/>
          <w:bCs/>
          <w:sz w:val="24"/>
          <w:szCs w:val="24"/>
        </w:rPr>
        <w:t>4.1 Political factors</w:t>
      </w:r>
    </w:p>
    <w:p w14:paraId="790BF341" w14:textId="77777777" w:rsidR="00EC39A2" w:rsidRDefault="00EC39A2" w:rsidP="00231D56">
      <w:pPr>
        <w:spacing w:after="0" w:line="360" w:lineRule="auto"/>
        <w:rPr>
          <w:rFonts w:ascii="Arial" w:hAnsi="Arial" w:cs="Arial"/>
          <w:sz w:val="24"/>
          <w:szCs w:val="24"/>
        </w:rPr>
      </w:pPr>
      <w:r w:rsidRPr="00EC39A2">
        <w:rPr>
          <w:rFonts w:ascii="Arial" w:hAnsi="Arial" w:cs="Arial"/>
          <w:sz w:val="24"/>
          <w:szCs w:val="24"/>
        </w:rPr>
        <w:t>Public policy and international sustainability initiatives increasingly influence how food waste is addressed within the hospitality sector. In recent years, food waste reduction has gained greater prominence within wider environmental and climate-related agendas, leading to the introduction of strategic targets and policy guidance across food-related industries. For hospitality businesses, global commitments such as the United Nations Sustainable Development Goal 12.3, which seeks to significantly reduce food waste by 2030, have contributed to growing expectations around responsible food management practices (FAO, 2019).</w:t>
      </w:r>
    </w:p>
    <w:p w14:paraId="342F0FF6" w14:textId="710F7517" w:rsidR="00363405" w:rsidRPr="00231D56" w:rsidRDefault="00363405" w:rsidP="00231D56">
      <w:pPr>
        <w:spacing w:after="0" w:line="360" w:lineRule="auto"/>
        <w:rPr>
          <w:rFonts w:ascii="Arial" w:hAnsi="Arial" w:cs="Arial"/>
          <w:sz w:val="24"/>
          <w:szCs w:val="24"/>
          <w:lang w:val="en-US"/>
        </w:rPr>
      </w:pPr>
      <w:r w:rsidRPr="00231D56">
        <w:rPr>
          <w:rFonts w:ascii="Arial" w:hAnsi="Arial" w:cs="Arial"/>
          <w:sz w:val="24"/>
          <w:szCs w:val="24"/>
          <w:lang w:val="en-US"/>
        </w:rPr>
        <w:t>In practice, political commitment has encouraged hotels to engage with national strategies, voluntary commitments, and reporting mechanisms that promote improved waste measurement and prevention. While these frameworks have raised awareness and influenced strategic intent, their impact remains uneven. Many policies rely primarily on voluntary compliance rather than enforcement, limiting effectiveness, particularly among small and medium-sized hotels with constrained resources. As a result, political pressure has shaped sustainability agendas more effectively than it has delivered consistent reductions in food waste across the sector.</w:t>
      </w:r>
    </w:p>
    <w:p w14:paraId="47E2AAD9" w14:textId="77777777" w:rsidR="00082629" w:rsidRPr="00231D56" w:rsidRDefault="00082629"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4.2 Economic factors</w:t>
      </w:r>
    </w:p>
    <w:p w14:paraId="465E4106" w14:textId="0149280C" w:rsidR="00B91D76" w:rsidRPr="00231D56" w:rsidRDefault="00B91D76"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Food waste represents a direct economic loss within hospitality operations through unnecessary food procurement, inefficient </w:t>
      </w:r>
      <w:proofErr w:type="spellStart"/>
      <w:r w:rsidRPr="00231D56">
        <w:rPr>
          <w:rFonts w:ascii="Arial" w:hAnsi="Arial" w:cs="Arial"/>
          <w:sz w:val="24"/>
          <w:szCs w:val="24"/>
          <w:lang w:val="en-US"/>
        </w:rPr>
        <w:t>labour</w:t>
      </w:r>
      <w:proofErr w:type="spellEnd"/>
      <w:r w:rsidRPr="00231D56">
        <w:rPr>
          <w:rFonts w:ascii="Arial" w:hAnsi="Arial" w:cs="Arial"/>
          <w:sz w:val="24"/>
          <w:szCs w:val="24"/>
          <w:lang w:val="en-US"/>
        </w:rPr>
        <w:t xml:space="preserve"> use, and disposal costs, all of which negatively affect profitability. </w:t>
      </w:r>
      <w:r w:rsidR="00C22A00" w:rsidRPr="00C22A00">
        <w:rPr>
          <w:rFonts w:ascii="Arial" w:hAnsi="Arial" w:cs="Arial"/>
          <w:sz w:val="24"/>
          <w:szCs w:val="24"/>
          <w:lang w:val="en-US"/>
        </w:rPr>
        <w:t>From an economic perspective, food waste reduction offers opportunities to improve cost efficiency and operational performance, positioning sustainability initiatives as strategically valuable rather than ethical concerns (</w:t>
      </w:r>
      <w:proofErr w:type="spellStart"/>
      <w:r w:rsidR="00C22A00" w:rsidRPr="00C22A00">
        <w:rPr>
          <w:rFonts w:ascii="Arial" w:hAnsi="Arial" w:cs="Arial"/>
          <w:sz w:val="24"/>
          <w:szCs w:val="24"/>
          <w:lang w:val="en-US"/>
        </w:rPr>
        <w:t>Filimonau</w:t>
      </w:r>
      <w:proofErr w:type="spellEnd"/>
      <w:r w:rsidR="00C22A00" w:rsidRPr="00C22A00">
        <w:rPr>
          <w:rFonts w:ascii="Arial" w:hAnsi="Arial" w:cs="Arial"/>
          <w:sz w:val="24"/>
          <w:szCs w:val="24"/>
          <w:lang w:val="en-US"/>
        </w:rPr>
        <w:t xml:space="preserve"> and </w:t>
      </w:r>
      <w:proofErr w:type="spellStart"/>
      <w:r w:rsidR="00C22A00" w:rsidRPr="00C22A00">
        <w:rPr>
          <w:rFonts w:ascii="Arial" w:hAnsi="Arial" w:cs="Arial"/>
          <w:sz w:val="24"/>
          <w:szCs w:val="24"/>
          <w:lang w:val="en-US"/>
        </w:rPr>
        <w:t>Delysia</w:t>
      </w:r>
      <w:proofErr w:type="spellEnd"/>
      <w:r w:rsidR="00C22A00" w:rsidRPr="00C22A00">
        <w:rPr>
          <w:rFonts w:ascii="Arial" w:hAnsi="Arial" w:cs="Arial"/>
          <w:sz w:val="24"/>
          <w:szCs w:val="24"/>
          <w:lang w:val="en-US"/>
        </w:rPr>
        <w:t>, 2019).</w:t>
      </w:r>
    </w:p>
    <w:p w14:paraId="28F16D21" w14:textId="77777777" w:rsidR="00B91D76" w:rsidRPr="00231D56" w:rsidRDefault="00B91D76" w:rsidP="00231D56">
      <w:pPr>
        <w:spacing w:after="0" w:line="360" w:lineRule="auto"/>
        <w:rPr>
          <w:rFonts w:ascii="Arial" w:hAnsi="Arial" w:cs="Arial"/>
          <w:sz w:val="24"/>
          <w:szCs w:val="24"/>
          <w:lang w:val="en-US"/>
        </w:rPr>
      </w:pPr>
      <w:r w:rsidRPr="00231D56">
        <w:rPr>
          <w:rFonts w:ascii="Arial" w:hAnsi="Arial" w:cs="Arial"/>
          <w:sz w:val="24"/>
          <w:szCs w:val="24"/>
          <w:lang w:val="en-US"/>
        </w:rPr>
        <w:lastRenderedPageBreak/>
        <w:t xml:space="preserve">However, economic benefits are not </w:t>
      </w:r>
      <w:proofErr w:type="spellStart"/>
      <w:r w:rsidRPr="00231D56">
        <w:rPr>
          <w:rFonts w:ascii="Arial" w:hAnsi="Arial" w:cs="Arial"/>
          <w:sz w:val="24"/>
          <w:szCs w:val="24"/>
          <w:lang w:val="en-US"/>
        </w:rPr>
        <w:t>realised</w:t>
      </w:r>
      <w:proofErr w:type="spellEnd"/>
      <w:r w:rsidRPr="00231D56">
        <w:rPr>
          <w:rFonts w:ascii="Arial" w:hAnsi="Arial" w:cs="Arial"/>
          <w:sz w:val="24"/>
          <w:szCs w:val="24"/>
          <w:lang w:val="en-US"/>
        </w:rPr>
        <w:t xml:space="preserve"> uniformly across the hotel sector. Larger hotel </w:t>
      </w:r>
      <w:proofErr w:type="spellStart"/>
      <w:r w:rsidRPr="00231D56">
        <w:rPr>
          <w:rFonts w:ascii="Arial" w:hAnsi="Arial" w:cs="Arial"/>
          <w:sz w:val="24"/>
          <w:szCs w:val="24"/>
          <w:lang w:val="en-US"/>
        </w:rPr>
        <w:t>organisations</w:t>
      </w:r>
      <w:proofErr w:type="spellEnd"/>
      <w:r w:rsidRPr="00231D56">
        <w:rPr>
          <w:rFonts w:ascii="Arial" w:hAnsi="Arial" w:cs="Arial"/>
          <w:sz w:val="24"/>
          <w:szCs w:val="24"/>
          <w:lang w:val="en-US"/>
        </w:rPr>
        <w:t xml:space="preserve"> are generally better positioned to invest in monitoring systems and staff training, while small and medium-sized hotels often face financial and resource constraints that limit adoption. As a result, short-term cost pressures may discourage sustained investment in food waste reduction practices, highlighting the economic challenges associated with balancing sustainability objectives and financial performance in hospitality operations.</w:t>
      </w:r>
    </w:p>
    <w:p w14:paraId="6B4777E9" w14:textId="4E3B2005" w:rsidR="00E02582" w:rsidRPr="00231D56" w:rsidRDefault="00E02582" w:rsidP="00231D56">
      <w:pPr>
        <w:spacing w:after="0" w:line="360" w:lineRule="auto"/>
        <w:rPr>
          <w:rFonts w:ascii="Arial" w:hAnsi="Arial" w:cs="Arial"/>
          <w:sz w:val="24"/>
          <w:szCs w:val="24"/>
          <w:lang w:val="en-US"/>
        </w:rPr>
      </w:pPr>
      <w:r w:rsidRPr="00231D56">
        <w:rPr>
          <w:rFonts w:ascii="Arial" w:hAnsi="Arial" w:cs="Arial"/>
          <w:sz w:val="24"/>
          <w:szCs w:val="24"/>
        </w:rPr>
        <w:t>Recent empirical studies indicate that the financial benefits of sustainability initiatives are highly dependent on strategic alignment with core operational objectives and effective cost management practices (Sánchez-Ollero et al., 2024).</w:t>
      </w:r>
    </w:p>
    <w:p w14:paraId="5F7E3422" w14:textId="1710BD88" w:rsidR="00604545" w:rsidRPr="00231D56" w:rsidRDefault="00604545"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4.3 Social factors</w:t>
      </w:r>
    </w:p>
    <w:p w14:paraId="1C75E4DD" w14:textId="77777777" w:rsidR="00E54245" w:rsidRPr="00231D56" w:rsidRDefault="00E54245"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Social factors strongly influence food waste generation and reduction within hospitality operations, particularly through guest </w:t>
      </w:r>
      <w:proofErr w:type="spellStart"/>
      <w:r w:rsidRPr="00231D56">
        <w:rPr>
          <w:rFonts w:ascii="Arial" w:hAnsi="Arial" w:cs="Arial"/>
          <w:sz w:val="24"/>
          <w:szCs w:val="24"/>
          <w:lang w:val="en-US"/>
        </w:rPr>
        <w:t>behaviour</w:t>
      </w:r>
      <w:proofErr w:type="spellEnd"/>
      <w:r w:rsidRPr="00231D56">
        <w:rPr>
          <w:rFonts w:ascii="Arial" w:hAnsi="Arial" w:cs="Arial"/>
          <w:sz w:val="24"/>
          <w:szCs w:val="24"/>
          <w:lang w:val="en-US"/>
        </w:rPr>
        <w:t xml:space="preserve"> and employee practices. Guest expectations regarding portion sizes, buffet abundance, and perceived value for money are widely </w:t>
      </w:r>
      <w:proofErr w:type="spellStart"/>
      <w:r w:rsidRPr="00231D56">
        <w:rPr>
          <w:rFonts w:ascii="Arial" w:hAnsi="Arial" w:cs="Arial"/>
          <w:sz w:val="24"/>
          <w:szCs w:val="24"/>
          <w:lang w:val="en-US"/>
        </w:rPr>
        <w:t>recognised</w:t>
      </w:r>
      <w:proofErr w:type="spellEnd"/>
      <w:r w:rsidRPr="00231D56">
        <w:rPr>
          <w:rFonts w:ascii="Arial" w:hAnsi="Arial" w:cs="Arial"/>
          <w:sz w:val="24"/>
          <w:szCs w:val="24"/>
          <w:lang w:val="en-US"/>
        </w:rPr>
        <w:t xml:space="preserve"> contributors to food waste, especially in full-service and luxury hotel contexts. Research suggests that guests often associate large portions and extensive displays with higher service quality, discouraging hotels from reducing food volumes for fear of negatively affecting the guest experience (</w:t>
      </w:r>
      <w:proofErr w:type="spellStart"/>
      <w:r w:rsidRPr="00231D56">
        <w:rPr>
          <w:rFonts w:ascii="Arial" w:hAnsi="Arial" w:cs="Arial"/>
          <w:sz w:val="24"/>
          <w:szCs w:val="24"/>
          <w:lang w:val="en-US"/>
        </w:rPr>
        <w:t>Kallbekken</w:t>
      </w:r>
      <w:proofErr w:type="spellEnd"/>
      <w:r w:rsidRPr="00231D56">
        <w:rPr>
          <w:rFonts w:ascii="Arial" w:hAnsi="Arial" w:cs="Arial"/>
          <w:sz w:val="24"/>
          <w:szCs w:val="24"/>
          <w:lang w:val="en-US"/>
        </w:rPr>
        <w:t xml:space="preserve"> and Sælen, 2013).</w:t>
      </w:r>
    </w:p>
    <w:p w14:paraId="71D9C621" w14:textId="77777777" w:rsidR="00E54245" w:rsidRPr="00231D56" w:rsidRDefault="00E54245"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In addition to guest </w:t>
      </w:r>
      <w:proofErr w:type="spellStart"/>
      <w:r w:rsidRPr="00231D56">
        <w:rPr>
          <w:rFonts w:ascii="Arial" w:hAnsi="Arial" w:cs="Arial"/>
          <w:sz w:val="24"/>
          <w:szCs w:val="24"/>
          <w:lang w:val="en-US"/>
        </w:rPr>
        <w:t>behaviour</w:t>
      </w:r>
      <w:proofErr w:type="spellEnd"/>
      <w:r w:rsidRPr="00231D56">
        <w:rPr>
          <w:rFonts w:ascii="Arial" w:hAnsi="Arial" w:cs="Arial"/>
          <w:sz w:val="24"/>
          <w:szCs w:val="24"/>
          <w:lang w:val="en-US"/>
        </w:rPr>
        <w:t xml:space="preserve">, </w:t>
      </w:r>
      <w:proofErr w:type="spellStart"/>
      <w:r w:rsidRPr="00231D56">
        <w:rPr>
          <w:rFonts w:ascii="Arial" w:hAnsi="Arial" w:cs="Arial"/>
          <w:sz w:val="24"/>
          <w:szCs w:val="24"/>
          <w:lang w:val="en-US"/>
        </w:rPr>
        <w:t>organisational</w:t>
      </w:r>
      <w:proofErr w:type="spellEnd"/>
      <w:r w:rsidRPr="00231D56">
        <w:rPr>
          <w:rFonts w:ascii="Arial" w:hAnsi="Arial" w:cs="Arial"/>
          <w:sz w:val="24"/>
          <w:szCs w:val="24"/>
          <w:lang w:val="en-US"/>
        </w:rPr>
        <w:t xml:space="preserve"> culture and staff engagement play a central role in waste reduction outcomes. Hospitality employees are directly involved in food preparation, portion control, and waste monitoring, making their attitudes critical to operational success. Empirical studies indicate that targeted training and sustainability-oriented workplace cultures can significantly reduce food waste levels (Pirani and Arafat, 2016). However, high staff turnover within the sector limits the long-term effectiveness of training initiatives, meaning sustained </w:t>
      </w:r>
      <w:proofErr w:type="spellStart"/>
      <w:r w:rsidRPr="00231D56">
        <w:rPr>
          <w:rFonts w:ascii="Arial" w:hAnsi="Arial" w:cs="Arial"/>
          <w:sz w:val="24"/>
          <w:szCs w:val="24"/>
          <w:lang w:val="en-US"/>
        </w:rPr>
        <w:t>behavioural</w:t>
      </w:r>
      <w:proofErr w:type="spellEnd"/>
      <w:r w:rsidRPr="00231D56">
        <w:rPr>
          <w:rFonts w:ascii="Arial" w:hAnsi="Arial" w:cs="Arial"/>
          <w:sz w:val="24"/>
          <w:szCs w:val="24"/>
          <w:lang w:val="en-US"/>
        </w:rPr>
        <w:t xml:space="preserve"> change remains challenging.</w:t>
      </w:r>
    </w:p>
    <w:p w14:paraId="54E9C17D" w14:textId="5A7D6763" w:rsidR="00421351" w:rsidRPr="00231D56" w:rsidRDefault="00421351"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 xml:space="preserve">4.4 Technological factors </w:t>
      </w:r>
    </w:p>
    <w:p w14:paraId="4EC047B6" w14:textId="77777777" w:rsidR="00E54245" w:rsidRPr="00231D56" w:rsidRDefault="00E54245"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Technological developments have increasingly shaped food waste reduction practices in hospitality by improving visibility and control across food and beverage operations. Digital tools such as inventory management systems, waste-tracking technologies, and demand-forecasting software enable hotels to identify waste hotspots and adjust purchasing and production more accurately. Research indicates </w:t>
      </w:r>
      <w:r w:rsidRPr="00231D56">
        <w:rPr>
          <w:rFonts w:ascii="Arial" w:hAnsi="Arial" w:cs="Arial"/>
          <w:sz w:val="24"/>
          <w:szCs w:val="24"/>
          <w:lang w:val="en-US"/>
        </w:rPr>
        <w:lastRenderedPageBreak/>
        <w:t>that technology-enabled monitoring can contribute to improved resource efficiency when embedded within routine operational processes (</w:t>
      </w:r>
      <w:proofErr w:type="spellStart"/>
      <w:r w:rsidRPr="00231D56">
        <w:rPr>
          <w:rFonts w:ascii="Arial" w:hAnsi="Arial" w:cs="Arial"/>
          <w:sz w:val="24"/>
          <w:szCs w:val="24"/>
          <w:lang w:val="en-US"/>
        </w:rPr>
        <w:t>Gössling</w:t>
      </w:r>
      <w:proofErr w:type="spellEnd"/>
      <w:r w:rsidRPr="00231D56">
        <w:rPr>
          <w:rFonts w:ascii="Arial" w:hAnsi="Arial" w:cs="Arial"/>
          <w:sz w:val="24"/>
          <w:szCs w:val="24"/>
          <w:lang w:val="en-US"/>
        </w:rPr>
        <w:t xml:space="preserve"> et al., 2011).</w:t>
      </w:r>
    </w:p>
    <w:p w14:paraId="71AA6FA7" w14:textId="35500C9B" w:rsidR="00421351" w:rsidRPr="00231D56" w:rsidRDefault="00E54245" w:rsidP="00231D56">
      <w:pPr>
        <w:spacing w:after="0" w:line="360" w:lineRule="auto"/>
        <w:rPr>
          <w:rFonts w:ascii="Arial" w:hAnsi="Arial" w:cs="Arial"/>
          <w:sz w:val="24"/>
          <w:szCs w:val="24"/>
          <w:lang w:val="en-US"/>
        </w:rPr>
      </w:pPr>
      <w:r w:rsidRPr="00231D56">
        <w:rPr>
          <w:rFonts w:ascii="Arial" w:hAnsi="Arial" w:cs="Arial"/>
          <w:sz w:val="24"/>
          <w:szCs w:val="24"/>
          <w:lang w:val="en-US"/>
        </w:rPr>
        <w:t xml:space="preserve">Nevertheless, technological adoption remains uneven. Larger hotel chains are generally better able to invest in and integrate advanced systems, while smaller establishments face barriers related to cost, staff capability, and system complexity. Furthermore, without adequate training and managerial commitment, technological tools risk functioning solely as monitoring mechanisms rather than drivers of </w:t>
      </w:r>
      <w:proofErr w:type="spellStart"/>
      <w:r w:rsidRPr="00231D56">
        <w:rPr>
          <w:rFonts w:ascii="Arial" w:hAnsi="Arial" w:cs="Arial"/>
          <w:sz w:val="24"/>
          <w:szCs w:val="24"/>
          <w:lang w:val="en-US"/>
        </w:rPr>
        <w:t>behavioural</w:t>
      </w:r>
      <w:proofErr w:type="spellEnd"/>
      <w:r w:rsidRPr="00231D56">
        <w:rPr>
          <w:rFonts w:ascii="Arial" w:hAnsi="Arial" w:cs="Arial"/>
          <w:sz w:val="24"/>
          <w:szCs w:val="24"/>
          <w:lang w:val="en-US"/>
        </w:rPr>
        <w:t xml:space="preserve"> change. Consequently, technology enhances food waste management most effectively when aligned with broader operational and sustainability strategies</w:t>
      </w:r>
      <w:r w:rsidR="00421351" w:rsidRPr="00231D56">
        <w:rPr>
          <w:rFonts w:ascii="Arial" w:hAnsi="Arial" w:cs="Arial"/>
          <w:sz w:val="24"/>
          <w:szCs w:val="24"/>
          <w:lang w:val="en-US"/>
        </w:rPr>
        <w:t>.</w:t>
      </w:r>
    </w:p>
    <w:p w14:paraId="2A38AD05" w14:textId="77777777" w:rsidR="00443741" w:rsidRPr="00231D56" w:rsidRDefault="00443741" w:rsidP="00231D56">
      <w:pPr>
        <w:spacing w:after="0" w:line="360" w:lineRule="auto"/>
        <w:rPr>
          <w:rFonts w:ascii="Arial" w:hAnsi="Arial" w:cs="Arial"/>
          <w:b/>
          <w:bCs/>
          <w:sz w:val="24"/>
          <w:szCs w:val="24"/>
          <w:lang w:val="en-US"/>
        </w:rPr>
      </w:pPr>
      <w:r w:rsidRPr="00231D56">
        <w:rPr>
          <w:rFonts w:ascii="Arial" w:hAnsi="Arial" w:cs="Arial"/>
          <w:b/>
          <w:bCs/>
          <w:sz w:val="24"/>
          <w:szCs w:val="24"/>
          <w:lang w:val="en-US"/>
        </w:rPr>
        <w:t>4.5 Legal factors</w:t>
      </w:r>
    </w:p>
    <w:p w14:paraId="3190A2A8" w14:textId="77777777" w:rsidR="001D0C2A" w:rsidRPr="001D0C2A" w:rsidRDefault="001D0C2A" w:rsidP="001D0C2A">
      <w:pPr>
        <w:spacing w:after="120" w:line="360" w:lineRule="auto"/>
        <w:rPr>
          <w:rFonts w:ascii="Arial" w:hAnsi="Arial" w:cs="Arial"/>
          <w:sz w:val="24"/>
          <w:szCs w:val="24"/>
          <w:lang w:val="en-US"/>
        </w:rPr>
      </w:pPr>
      <w:r w:rsidRPr="001D0C2A">
        <w:rPr>
          <w:rFonts w:ascii="Arial" w:hAnsi="Arial" w:cs="Arial"/>
          <w:sz w:val="24"/>
          <w:szCs w:val="24"/>
          <w:lang w:val="en-US"/>
        </w:rPr>
        <w:t>Legal factors shape food waste reduction mainly through food safety regulations, waste disposal requirements, and liability concerns. Hotels must comply with strict hygiene standards, which can limit the redistribution or reuse of surplus food when storage or consumption timelines are uncertain. Consequently, food that is safe to eat may still be discarded to avoid legal risk.</w:t>
      </w:r>
    </w:p>
    <w:p w14:paraId="14BCD20A" w14:textId="77777777" w:rsidR="001D0C2A" w:rsidRPr="001D0C2A" w:rsidRDefault="001D0C2A" w:rsidP="001D0C2A">
      <w:pPr>
        <w:spacing w:after="120" w:line="360" w:lineRule="auto"/>
        <w:rPr>
          <w:rFonts w:ascii="Arial" w:hAnsi="Arial" w:cs="Arial"/>
          <w:sz w:val="24"/>
          <w:szCs w:val="24"/>
          <w:lang w:val="en-US"/>
        </w:rPr>
      </w:pPr>
      <w:r w:rsidRPr="001D0C2A">
        <w:rPr>
          <w:rFonts w:ascii="Arial" w:hAnsi="Arial" w:cs="Arial"/>
          <w:sz w:val="24"/>
          <w:szCs w:val="24"/>
          <w:lang w:val="en-US"/>
        </w:rPr>
        <w:t>Regulations on waste segregation and environmental compliance can encourage better waste management but may also increase administrative and financial pressures, particularly for smaller hotels. This can reduce incentives for proactive waste prevention and shift attention towards meeting minimum legal requirements. Overall, legal frameworks play a dual role by supporting food safety and environmental protection while potentially constraining innovative food waste reduction practices.</w:t>
      </w:r>
    </w:p>
    <w:p w14:paraId="5B62296B" w14:textId="77777777" w:rsidR="00945EB7" w:rsidRPr="00231D56" w:rsidRDefault="00945EB7" w:rsidP="00231D56">
      <w:pPr>
        <w:spacing w:after="120" w:line="360" w:lineRule="auto"/>
        <w:rPr>
          <w:rFonts w:ascii="Arial" w:hAnsi="Arial" w:cs="Arial"/>
          <w:b/>
          <w:bCs/>
          <w:sz w:val="24"/>
          <w:szCs w:val="24"/>
          <w:lang w:val="en-US"/>
        </w:rPr>
      </w:pPr>
      <w:r w:rsidRPr="00231D56">
        <w:rPr>
          <w:rFonts w:ascii="Arial" w:hAnsi="Arial" w:cs="Arial"/>
          <w:b/>
          <w:bCs/>
          <w:sz w:val="24"/>
          <w:szCs w:val="24"/>
          <w:lang w:val="en-US"/>
        </w:rPr>
        <w:t>5. Conclusion</w:t>
      </w:r>
    </w:p>
    <w:p w14:paraId="7406BB48" w14:textId="7D6907AD" w:rsidR="00506B73" w:rsidRPr="00231D56" w:rsidRDefault="00945EB7" w:rsidP="00231D56">
      <w:pPr>
        <w:spacing w:after="120" w:line="360" w:lineRule="auto"/>
        <w:rPr>
          <w:rFonts w:ascii="Arial" w:hAnsi="Arial" w:cs="Arial"/>
          <w:sz w:val="24"/>
          <w:szCs w:val="24"/>
          <w:lang w:val="en-US"/>
        </w:rPr>
      </w:pPr>
      <w:r w:rsidRPr="00231D56">
        <w:rPr>
          <w:rFonts w:ascii="Arial" w:hAnsi="Arial" w:cs="Arial"/>
          <w:sz w:val="24"/>
          <w:szCs w:val="24"/>
          <w:lang w:val="en-US"/>
        </w:rPr>
        <w:t xml:space="preserve">Food waste reduction represents a complex but essential challenge for the hotel and hospitality sector, driven by the need to balance environmental responsibility with operational efficiency and financial viability. This study has demonstrated that food waste is shaped by a combination of political pressures, economic constraints, social </w:t>
      </w:r>
      <w:proofErr w:type="spellStart"/>
      <w:r w:rsidRPr="00231D56">
        <w:rPr>
          <w:rFonts w:ascii="Arial" w:hAnsi="Arial" w:cs="Arial"/>
          <w:sz w:val="24"/>
          <w:szCs w:val="24"/>
          <w:lang w:val="en-US"/>
        </w:rPr>
        <w:t>behaviours</w:t>
      </w:r>
      <w:proofErr w:type="spellEnd"/>
      <w:r w:rsidRPr="00231D56">
        <w:rPr>
          <w:rFonts w:ascii="Arial" w:hAnsi="Arial" w:cs="Arial"/>
          <w:sz w:val="24"/>
          <w:szCs w:val="24"/>
          <w:lang w:val="en-US"/>
        </w:rPr>
        <w:t xml:space="preserve">, technological capabilities and legal frameworks, with each factor influencing </w:t>
      </w:r>
      <w:proofErr w:type="spellStart"/>
      <w:r w:rsidRPr="00231D56">
        <w:rPr>
          <w:rFonts w:ascii="Arial" w:hAnsi="Arial" w:cs="Arial"/>
          <w:sz w:val="24"/>
          <w:szCs w:val="24"/>
          <w:lang w:val="en-US"/>
        </w:rPr>
        <w:t>organisational</w:t>
      </w:r>
      <w:proofErr w:type="spellEnd"/>
      <w:r w:rsidRPr="00231D56">
        <w:rPr>
          <w:rFonts w:ascii="Arial" w:hAnsi="Arial" w:cs="Arial"/>
          <w:sz w:val="24"/>
          <w:szCs w:val="24"/>
          <w:lang w:val="en-US"/>
        </w:rPr>
        <w:t xml:space="preserve"> responses in different ways. While food waste reduction offers clear sustainability and cost-saving benefits, its successful implementation depends on coordinated strategies that integrate policy awareness, staff engagement, operational control and managerial commitment across hospitality operations.</w:t>
      </w:r>
    </w:p>
    <w:p w14:paraId="2F82E609" w14:textId="77777777" w:rsidR="00E47263" w:rsidRPr="00231D56" w:rsidRDefault="00E47263" w:rsidP="00231D56">
      <w:pPr>
        <w:spacing w:line="360" w:lineRule="auto"/>
        <w:rPr>
          <w:rFonts w:ascii="Arial" w:hAnsi="Arial" w:cs="Arial"/>
          <w:b/>
          <w:bCs/>
          <w:sz w:val="24"/>
          <w:szCs w:val="24"/>
          <w:lang w:val="en-US"/>
        </w:rPr>
      </w:pPr>
      <w:r w:rsidRPr="00231D56">
        <w:rPr>
          <w:rFonts w:ascii="Arial" w:hAnsi="Arial" w:cs="Arial"/>
          <w:b/>
          <w:bCs/>
          <w:sz w:val="24"/>
          <w:szCs w:val="24"/>
          <w:lang w:val="en-US"/>
        </w:rPr>
        <w:lastRenderedPageBreak/>
        <w:t>6. Recommendations</w:t>
      </w:r>
    </w:p>
    <w:p w14:paraId="0FB349FE" w14:textId="77777777" w:rsidR="00F071F8" w:rsidRDefault="00F071F8" w:rsidP="00231D56">
      <w:pPr>
        <w:spacing w:line="360" w:lineRule="auto"/>
        <w:rPr>
          <w:rFonts w:ascii="Arial" w:hAnsi="Arial" w:cs="Arial"/>
          <w:sz w:val="24"/>
          <w:szCs w:val="24"/>
        </w:rPr>
      </w:pPr>
      <w:r w:rsidRPr="00F071F8">
        <w:rPr>
          <w:rFonts w:ascii="Arial" w:hAnsi="Arial" w:cs="Arial"/>
          <w:sz w:val="24"/>
          <w:szCs w:val="24"/>
        </w:rPr>
        <w:t>Based on the PESTLE analysis and literature review, the following recommendations address key operational, behavioural, technological and policy-related barriers in the hotel sector.</w:t>
      </w:r>
    </w:p>
    <w:p w14:paraId="15A82920" w14:textId="30E3013D" w:rsidR="00E47263" w:rsidRPr="00231D56" w:rsidRDefault="00E47263" w:rsidP="00231D56">
      <w:pPr>
        <w:spacing w:line="360" w:lineRule="auto"/>
        <w:rPr>
          <w:rFonts w:ascii="Arial" w:hAnsi="Arial" w:cs="Arial"/>
          <w:sz w:val="24"/>
          <w:szCs w:val="24"/>
          <w:lang w:val="en-US"/>
        </w:rPr>
      </w:pPr>
      <w:r w:rsidRPr="00231D56">
        <w:rPr>
          <w:rFonts w:ascii="Arial" w:hAnsi="Arial" w:cs="Arial"/>
          <w:sz w:val="24"/>
          <w:szCs w:val="24"/>
          <w:lang w:val="en-US"/>
        </w:rPr>
        <w:t xml:space="preserve">At an operational level, hotels should </w:t>
      </w:r>
      <w:proofErr w:type="spellStart"/>
      <w:r w:rsidRPr="00231D56">
        <w:rPr>
          <w:rFonts w:ascii="Arial" w:hAnsi="Arial" w:cs="Arial"/>
          <w:sz w:val="24"/>
          <w:szCs w:val="24"/>
          <w:lang w:val="en-US"/>
        </w:rPr>
        <w:t>prioritise</w:t>
      </w:r>
      <w:proofErr w:type="spellEnd"/>
      <w:r w:rsidRPr="00231D56">
        <w:rPr>
          <w:rFonts w:ascii="Arial" w:hAnsi="Arial" w:cs="Arial"/>
          <w:sz w:val="24"/>
          <w:szCs w:val="24"/>
          <w:lang w:val="en-US"/>
        </w:rPr>
        <w:t xml:space="preserve"> the systematic measurement of food waste across all food and beverage outlets. Establishing routine waste audits enables </w:t>
      </w:r>
      <w:proofErr w:type="spellStart"/>
      <w:r w:rsidRPr="00231D56">
        <w:rPr>
          <w:rFonts w:ascii="Arial" w:hAnsi="Arial" w:cs="Arial"/>
          <w:sz w:val="24"/>
          <w:szCs w:val="24"/>
          <w:lang w:val="en-US"/>
        </w:rPr>
        <w:t>organisations</w:t>
      </w:r>
      <w:proofErr w:type="spellEnd"/>
      <w:r w:rsidRPr="00231D56">
        <w:rPr>
          <w:rFonts w:ascii="Arial" w:hAnsi="Arial" w:cs="Arial"/>
          <w:sz w:val="24"/>
          <w:szCs w:val="24"/>
          <w:lang w:val="en-US"/>
        </w:rPr>
        <w:t xml:space="preserve"> to identify critical waste hotspots, particularly within buffet and breakfast services, and supports more accurate demand forecasting. </w:t>
      </w:r>
      <w:proofErr w:type="spellStart"/>
      <w:r w:rsidRPr="00231D56">
        <w:rPr>
          <w:rFonts w:ascii="Arial" w:hAnsi="Arial" w:cs="Arial"/>
          <w:sz w:val="24"/>
          <w:szCs w:val="24"/>
          <w:lang w:val="en-US"/>
        </w:rPr>
        <w:t>Standardising</w:t>
      </w:r>
      <w:proofErr w:type="spellEnd"/>
      <w:r w:rsidRPr="00231D56">
        <w:rPr>
          <w:rFonts w:ascii="Arial" w:hAnsi="Arial" w:cs="Arial"/>
          <w:sz w:val="24"/>
          <w:szCs w:val="24"/>
          <w:lang w:val="en-US"/>
        </w:rPr>
        <w:t xml:space="preserve"> portion sizes, improving menu planning, and adjusting production volumes based on historical consumption data can significantly reduce overproduction without compromising service quality. These practices are especially relevant in resource-intensive service formats where food waste is structurally embedded.</w:t>
      </w:r>
    </w:p>
    <w:p w14:paraId="6F3E5EDA" w14:textId="77777777" w:rsidR="00E47263" w:rsidRPr="00231D56" w:rsidRDefault="00E47263" w:rsidP="00231D56">
      <w:pPr>
        <w:spacing w:line="360" w:lineRule="auto"/>
        <w:rPr>
          <w:rFonts w:ascii="Arial" w:hAnsi="Arial" w:cs="Arial"/>
          <w:sz w:val="24"/>
          <w:szCs w:val="24"/>
          <w:lang w:val="en-US"/>
        </w:rPr>
      </w:pPr>
      <w:r w:rsidRPr="00231D56">
        <w:rPr>
          <w:rFonts w:ascii="Arial" w:hAnsi="Arial" w:cs="Arial"/>
          <w:sz w:val="24"/>
          <w:szCs w:val="24"/>
          <w:lang w:val="en-US"/>
        </w:rPr>
        <w:t xml:space="preserve">From a managerial and </w:t>
      </w:r>
      <w:proofErr w:type="spellStart"/>
      <w:r w:rsidRPr="00231D56">
        <w:rPr>
          <w:rFonts w:ascii="Arial" w:hAnsi="Arial" w:cs="Arial"/>
          <w:sz w:val="24"/>
          <w:szCs w:val="24"/>
          <w:lang w:val="en-US"/>
        </w:rPr>
        <w:t>organisational</w:t>
      </w:r>
      <w:proofErr w:type="spellEnd"/>
      <w:r w:rsidRPr="00231D56">
        <w:rPr>
          <w:rFonts w:ascii="Arial" w:hAnsi="Arial" w:cs="Arial"/>
          <w:sz w:val="24"/>
          <w:szCs w:val="24"/>
          <w:lang w:val="en-US"/>
        </w:rPr>
        <w:t xml:space="preserve"> perspective, stronger integration of food waste reduction into everyday operational culture is essential. Sustainability objectives should be clearly communicated to staff and embedded within training </w:t>
      </w:r>
      <w:proofErr w:type="spellStart"/>
      <w:r w:rsidRPr="00231D56">
        <w:rPr>
          <w:rFonts w:ascii="Arial" w:hAnsi="Arial" w:cs="Arial"/>
          <w:sz w:val="24"/>
          <w:szCs w:val="24"/>
          <w:lang w:val="en-US"/>
        </w:rPr>
        <w:t>programmes</w:t>
      </w:r>
      <w:proofErr w:type="spellEnd"/>
      <w:r w:rsidRPr="00231D56">
        <w:rPr>
          <w:rFonts w:ascii="Arial" w:hAnsi="Arial" w:cs="Arial"/>
          <w:sz w:val="24"/>
          <w:szCs w:val="24"/>
          <w:lang w:val="en-US"/>
        </w:rPr>
        <w:t xml:space="preserve">, performance indicators, and managerial accountability structures. Given the high levels of staff turnover in hospitality, continuous training and clear operational guidelines are necessary to sustain </w:t>
      </w:r>
      <w:proofErr w:type="spellStart"/>
      <w:r w:rsidRPr="00231D56">
        <w:rPr>
          <w:rFonts w:ascii="Arial" w:hAnsi="Arial" w:cs="Arial"/>
          <w:sz w:val="24"/>
          <w:szCs w:val="24"/>
          <w:lang w:val="en-US"/>
        </w:rPr>
        <w:t>behavioural</w:t>
      </w:r>
      <w:proofErr w:type="spellEnd"/>
      <w:r w:rsidRPr="00231D56">
        <w:rPr>
          <w:rFonts w:ascii="Arial" w:hAnsi="Arial" w:cs="Arial"/>
          <w:sz w:val="24"/>
          <w:szCs w:val="24"/>
          <w:lang w:val="en-US"/>
        </w:rPr>
        <w:t xml:space="preserve"> change. Encouraging staff involvement in waste monitoring and decision-making can further increase ownership and awareness, improving the long-term effectiveness of waste reduction initiatives.</w:t>
      </w:r>
    </w:p>
    <w:p w14:paraId="53BE6BF8" w14:textId="77777777" w:rsidR="007422E0" w:rsidRDefault="007422E0" w:rsidP="00443741">
      <w:pPr>
        <w:spacing w:line="360" w:lineRule="auto"/>
        <w:rPr>
          <w:rFonts w:ascii="Arial" w:hAnsi="Arial" w:cs="Arial"/>
          <w:sz w:val="24"/>
          <w:szCs w:val="24"/>
        </w:rPr>
      </w:pPr>
      <w:r w:rsidRPr="007422E0">
        <w:rPr>
          <w:rFonts w:ascii="Arial" w:hAnsi="Arial" w:cs="Arial"/>
          <w:sz w:val="24"/>
          <w:szCs w:val="24"/>
        </w:rPr>
        <w:t>Technological investment offers a key opportunity to improve food waste management. Hotels should adopt scalable, user-friendly tools such as digital inventory systems and waste-tracking technologies to enhance control across food operations. For smaller hotels, gradual adoption of low-cost digital solutions provides a practical starting point. However, technology must be supported by staff training and managerial commitment to drive behavioural change rather than act solely as a monitoring tool.</w:t>
      </w:r>
    </w:p>
    <w:p w14:paraId="663C85C6" w14:textId="1B38EAA3" w:rsidR="00497A82" w:rsidRDefault="00F279DF" w:rsidP="00443741">
      <w:pPr>
        <w:spacing w:line="360" w:lineRule="auto"/>
        <w:rPr>
          <w:rFonts w:ascii="Arial" w:hAnsi="Arial" w:cs="Arial"/>
          <w:sz w:val="24"/>
          <w:szCs w:val="24"/>
        </w:rPr>
      </w:pPr>
      <w:r w:rsidRPr="00F279DF">
        <w:rPr>
          <w:rFonts w:ascii="Arial" w:hAnsi="Arial" w:cs="Arial"/>
          <w:sz w:val="24"/>
          <w:szCs w:val="24"/>
        </w:rPr>
        <w:t xml:space="preserve">At an industry and policy level, collaboration between hospitality organisations and policymakers is essential to support wider adoption of food waste reduction practices. Clearer regulatory guidance and benchmarking initiatives could assist </w:t>
      </w:r>
      <w:r w:rsidRPr="00F279DF">
        <w:rPr>
          <w:rFonts w:ascii="Arial" w:hAnsi="Arial" w:cs="Arial"/>
          <w:sz w:val="24"/>
          <w:szCs w:val="24"/>
        </w:rPr>
        <w:lastRenderedPageBreak/>
        <w:t>hotels, particularly small and medium-sized enterprises, in overcoming operational and financial barriers and achieving more scalable waste reduction outcomes.</w:t>
      </w:r>
    </w:p>
    <w:p w14:paraId="27BFED77" w14:textId="77777777" w:rsidR="00506B73" w:rsidRDefault="00506B73" w:rsidP="00443741">
      <w:pPr>
        <w:spacing w:line="360" w:lineRule="auto"/>
        <w:rPr>
          <w:rFonts w:ascii="Arial" w:hAnsi="Arial" w:cs="Arial"/>
          <w:sz w:val="24"/>
          <w:szCs w:val="24"/>
        </w:rPr>
      </w:pPr>
    </w:p>
    <w:p w14:paraId="3AE52E39" w14:textId="77777777" w:rsidR="00506B73" w:rsidRDefault="00506B73" w:rsidP="00443741">
      <w:pPr>
        <w:spacing w:line="360" w:lineRule="auto"/>
        <w:rPr>
          <w:rFonts w:ascii="Arial" w:hAnsi="Arial" w:cs="Arial"/>
          <w:sz w:val="24"/>
          <w:szCs w:val="24"/>
        </w:rPr>
      </w:pPr>
    </w:p>
    <w:p w14:paraId="6307CE9F" w14:textId="77777777" w:rsidR="00506B73" w:rsidRDefault="00506B73" w:rsidP="00443741">
      <w:pPr>
        <w:spacing w:line="360" w:lineRule="auto"/>
        <w:rPr>
          <w:rFonts w:ascii="Arial" w:hAnsi="Arial" w:cs="Arial"/>
          <w:sz w:val="24"/>
          <w:szCs w:val="24"/>
        </w:rPr>
      </w:pPr>
    </w:p>
    <w:p w14:paraId="23D0A947" w14:textId="77777777" w:rsidR="00506B73" w:rsidRDefault="00506B73" w:rsidP="00443741">
      <w:pPr>
        <w:spacing w:line="360" w:lineRule="auto"/>
        <w:rPr>
          <w:rFonts w:ascii="Arial" w:hAnsi="Arial" w:cs="Arial"/>
          <w:sz w:val="24"/>
          <w:szCs w:val="24"/>
        </w:rPr>
      </w:pPr>
    </w:p>
    <w:p w14:paraId="2E0C7E1C" w14:textId="77777777" w:rsidR="00506B73" w:rsidRDefault="00506B73" w:rsidP="00443741">
      <w:pPr>
        <w:spacing w:line="360" w:lineRule="auto"/>
        <w:rPr>
          <w:rFonts w:ascii="Arial" w:hAnsi="Arial" w:cs="Arial"/>
          <w:sz w:val="24"/>
          <w:szCs w:val="24"/>
        </w:rPr>
      </w:pPr>
    </w:p>
    <w:p w14:paraId="5632A46E" w14:textId="77777777" w:rsidR="00506B73" w:rsidRDefault="00506B73" w:rsidP="00443741">
      <w:pPr>
        <w:spacing w:line="360" w:lineRule="auto"/>
        <w:rPr>
          <w:rFonts w:ascii="Arial" w:hAnsi="Arial" w:cs="Arial"/>
          <w:sz w:val="24"/>
          <w:szCs w:val="24"/>
        </w:rPr>
      </w:pPr>
    </w:p>
    <w:p w14:paraId="3F8CA983" w14:textId="77777777" w:rsidR="00506B73" w:rsidRDefault="00506B73" w:rsidP="00443741">
      <w:pPr>
        <w:spacing w:line="360" w:lineRule="auto"/>
        <w:rPr>
          <w:rFonts w:ascii="Arial" w:hAnsi="Arial" w:cs="Arial"/>
          <w:sz w:val="24"/>
          <w:szCs w:val="24"/>
        </w:rPr>
      </w:pPr>
    </w:p>
    <w:p w14:paraId="1BD4FF7B" w14:textId="77777777" w:rsidR="00506B73" w:rsidRDefault="00506B73" w:rsidP="00443741">
      <w:pPr>
        <w:spacing w:line="360" w:lineRule="auto"/>
        <w:rPr>
          <w:rFonts w:ascii="Arial" w:hAnsi="Arial" w:cs="Arial"/>
          <w:sz w:val="24"/>
          <w:szCs w:val="24"/>
        </w:rPr>
      </w:pPr>
    </w:p>
    <w:p w14:paraId="749951C4" w14:textId="77777777" w:rsidR="00506B73" w:rsidRDefault="00506B73" w:rsidP="00443741">
      <w:pPr>
        <w:spacing w:line="360" w:lineRule="auto"/>
        <w:rPr>
          <w:rFonts w:ascii="Arial" w:hAnsi="Arial" w:cs="Arial"/>
          <w:sz w:val="24"/>
          <w:szCs w:val="24"/>
        </w:rPr>
      </w:pPr>
    </w:p>
    <w:p w14:paraId="6BC371D3" w14:textId="77777777" w:rsidR="00506B73" w:rsidRDefault="00506B73" w:rsidP="00443741">
      <w:pPr>
        <w:spacing w:line="360" w:lineRule="auto"/>
        <w:rPr>
          <w:rFonts w:ascii="Arial" w:hAnsi="Arial" w:cs="Arial"/>
          <w:sz w:val="24"/>
          <w:szCs w:val="24"/>
        </w:rPr>
      </w:pPr>
    </w:p>
    <w:p w14:paraId="4D92BAEE" w14:textId="77777777" w:rsidR="00506B73" w:rsidRDefault="00506B73" w:rsidP="00443741">
      <w:pPr>
        <w:spacing w:line="360" w:lineRule="auto"/>
        <w:rPr>
          <w:rFonts w:ascii="Arial" w:hAnsi="Arial" w:cs="Arial"/>
          <w:sz w:val="24"/>
          <w:szCs w:val="24"/>
        </w:rPr>
      </w:pPr>
    </w:p>
    <w:p w14:paraId="33BED826" w14:textId="77777777" w:rsidR="00506B73" w:rsidRDefault="00506B73" w:rsidP="00443741">
      <w:pPr>
        <w:spacing w:line="360" w:lineRule="auto"/>
        <w:rPr>
          <w:rFonts w:ascii="Arial" w:hAnsi="Arial" w:cs="Arial"/>
          <w:sz w:val="24"/>
          <w:szCs w:val="24"/>
        </w:rPr>
      </w:pPr>
    </w:p>
    <w:p w14:paraId="60C7F79E" w14:textId="77777777" w:rsidR="00506B73" w:rsidRDefault="00506B73" w:rsidP="00443741">
      <w:pPr>
        <w:spacing w:line="360" w:lineRule="auto"/>
        <w:rPr>
          <w:rFonts w:ascii="Arial" w:hAnsi="Arial" w:cs="Arial"/>
          <w:sz w:val="24"/>
          <w:szCs w:val="24"/>
        </w:rPr>
      </w:pPr>
    </w:p>
    <w:p w14:paraId="4FAED70F" w14:textId="77777777" w:rsidR="00506B73" w:rsidRDefault="00506B73" w:rsidP="00443741">
      <w:pPr>
        <w:spacing w:line="360" w:lineRule="auto"/>
        <w:rPr>
          <w:rFonts w:ascii="Arial" w:hAnsi="Arial" w:cs="Arial"/>
          <w:sz w:val="24"/>
          <w:szCs w:val="24"/>
        </w:rPr>
      </w:pPr>
    </w:p>
    <w:p w14:paraId="3A5497AD" w14:textId="77777777" w:rsidR="00506B73" w:rsidRDefault="00506B73" w:rsidP="00443741">
      <w:pPr>
        <w:spacing w:line="360" w:lineRule="auto"/>
        <w:rPr>
          <w:rFonts w:ascii="Arial" w:hAnsi="Arial" w:cs="Arial"/>
          <w:sz w:val="24"/>
          <w:szCs w:val="24"/>
        </w:rPr>
      </w:pPr>
    </w:p>
    <w:p w14:paraId="23D42B13" w14:textId="77777777" w:rsidR="00506B73" w:rsidRDefault="00506B73" w:rsidP="00443741">
      <w:pPr>
        <w:spacing w:line="360" w:lineRule="auto"/>
        <w:rPr>
          <w:rFonts w:ascii="Arial" w:hAnsi="Arial" w:cs="Arial"/>
          <w:sz w:val="24"/>
          <w:szCs w:val="24"/>
        </w:rPr>
      </w:pPr>
    </w:p>
    <w:p w14:paraId="1AB284D5" w14:textId="77777777" w:rsidR="00506B73" w:rsidRDefault="00506B73" w:rsidP="00443741">
      <w:pPr>
        <w:spacing w:line="360" w:lineRule="auto"/>
        <w:rPr>
          <w:rFonts w:ascii="Arial" w:hAnsi="Arial" w:cs="Arial"/>
          <w:sz w:val="24"/>
          <w:szCs w:val="24"/>
        </w:rPr>
      </w:pPr>
    </w:p>
    <w:p w14:paraId="5A34ED8B" w14:textId="77777777" w:rsidR="00506B73" w:rsidRDefault="00506B73" w:rsidP="00443741">
      <w:pPr>
        <w:spacing w:line="360" w:lineRule="auto"/>
        <w:rPr>
          <w:rFonts w:ascii="Arial" w:hAnsi="Arial" w:cs="Arial"/>
          <w:sz w:val="24"/>
          <w:szCs w:val="24"/>
        </w:rPr>
      </w:pPr>
    </w:p>
    <w:p w14:paraId="338AF38E" w14:textId="77777777" w:rsidR="00506B73" w:rsidRDefault="00506B73" w:rsidP="00443741">
      <w:pPr>
        <w:spacing w:line="360" w:lineRule="auto"/>
        <w:rPr>
          <w:rFonts w:ascii="Arial" w:hAnsi="Arial" w:cs="Arial"/>
          <w:sz w:val="24"/>
          <w:szCs w:val="24"/>
        </w:rPr>
      </w:pPr>
    </w:p>
    <w:p w14:paraId="62BAC5D4" w14:textId="77777777" w:rsidR="00506B73" w:rsidRDefault="00506B73" w:rsidP="00443741">
      <w:pPr>
        <w:spacing w:line="360" w:lineRule="auto"/>
        <w:rPr>
          <w:rFonts w:ascii="Arial" w:hAnsi="Arial" w:cs="Arial"/>
          <w:sz w:val="24"/>
          <w:szCs w:val="24"/>
        </w:rPr>
      </w:pPr>
    </w:p>
    <w:p w14:paraId="7DC72C66" w14:textId="77777777" w:rsidR="00506B73" w:rsidRDefault="00506B73" w:rsidP="00443741">
      <w:pPr>
        <w:spacing w:line="360" w:lineRule="auto"/>
        <w:rPr>
          <w:rFonts w:ascii="Arial" w:hAnsi="Arial" w:cs="Arial"/>
          <w:sz w:val="24"/>
          <w:szCs w:val="24"/>
        </w:rPr>
      </w:pPr>
    </w:p>
    <w:p w14:paraId="7BCB67FA" w14:textId="77777777" w:rsidR="00197A93" w:rsidRDefault="00197A93" w:rsidP="00443741">
      <w:pPr>
        <w:spacing w:line="360" w:lineRule="auto"/>
        <w:rPr>
          <w:rFonts w:ascii="Arial" w:hAnsi="Arial" w:cs="Arial"/>
          <w:sz w:val="24"/>
          <w:szCs w:val="24"/>
        </w:rPr>
      </w:pPr>
    </w:p>
    <w:p w14:paraId="470E125D" w14:textId="77777777" w:rsidR="00506B73" w:rsidRPr="00443741" w:rsidRDefault="00506B73" w:rsidP="00443741">
      <w:pPr>
        <w:spacing w:line="360" w:lineRule="auto"/>
        <w:rPr>
          <w:rFonts w:ascii="Arial" w:hAnsi="Arial" w:cs="Arial"/>
          <w:sz w:val="24"/>
          <w:szCs w:val="24"/>
          <w:lang w:val="en-US"/>
        </w:rPr>
      </w:pPr>
    </w:p>
    <w:p w14:paraId="16D08222" w14:textId="217A26E7" w:rsidR="00B0195F" w:rsidRDefault="00FA2FEC" w:rsidP="001D5933">
      <w:pPr>
        <w:spacing w:line="360" w:lineRule="auto"/>
        <w:rPr>
          <w:rFonts w:ascii="Arial" w:hAnsi="Arial" w:cs="Arial"/>
          <w:b/>
          <w:bCs/>
          <w:sz w:val="24"/>
          <w:szCs w:val="24"/>
        </w:rPr>
      </w:pPr>
      <w:r>
        <w:rPr>
          <w:rFonts w:ascii="Arial" w:hAnsi="Arial" w:cs="Arial"/>
          <w:b/>
          <w:bCs/>
          <w:sz w:val="24"/>
          <w:szCs w:val="24"/>
        </w:rPr>
        <w:lastRenderedPageBreak/>
        <w:t>7</w:t>
      </w:r>
      <w:r w:rsidR="00B0195F" w:rsidRPr="00B0195F">
        <w:rPr>
          <w:rFonts w:ascii="Arial" w:hAnsi="Arial" w:cs="Arial"/>
          <w:b/>
          <w:bCs/>
          <w:sz w:val="24"/>
          <w:szCs w:val="24"/>
        </w:rPr>
        <w:t>. References</w:t>
      </w:r>
    </w:p>
    <w:p w14:paraId="50DC6EEC" w14:textId="77777777" w:rsidR="00B0195F" w:rsidRDefault="00B0195F" w:rsidP="001D5933">
      <w:pPr>
        <w:spacing w:line="360" w:lineRule="auto"/>
        <w:rPr>
          <w:rFonts w:ascii="Arial" w:hAnsi="Arial" w:cs="Arial"/>
          <w:b/>
          <w:bCs/>
          <w:sz w:val="24"/>
          <w:szCs w:val="24"/>
        </w:rPr>
      </w:pPr>
    </w:p>
    <w:p w14:paraId="2F819D6C" w14:textId="33D9AF88" w:rsidR="008D2670" w:rsidRDefault="008D2670" w:rsidP="005254E4">
      <w:pPr>
        <w:pStyle w:val="ListParagraph"/>
        <w:numPr>
          <w:ilvl w:val="0"/>
          <w:numId w:val="12"/>
        </w:numPr>
        <w:spacing w:line="360" w:lineRule="auto"/>
        <w:rPr>
          <w:rFonts w:ascii="Arial" w:hAnsi="Arial" w:cs="Arial"/>
          <w:sz w:val="24"/>
          <w:szCs w:val="24"/>
        </w:rPr>
      </w:pPr>
      <w:r w:rsidRPr="008D2670">
        <w:rPr>
          <w:rFonts w:ascii="Arial" w:hAnsi="Arial" w:cs="Arial"/>
          <w:sz w:val="24"/>
          <w:szCs w:val="24"/>
        </w:rPr>
        <w:t xml:space="preserve">Appel, G., Ayalon, O. and Collins-Kreiner, N. (2025) ‘From a full buffet to a full bin – hotel managers’ perspectives on food waste at breakfast buffets’, </w:t>
      </w:r>
      <w:r w:rsidRPr="008D2670">
        <w:rPr>
          <w:rFonts w:ascii="Arial" w:hAnsi="Arial" w:cs="Arial"/>
          <w:i/>
          <w:iCs/>
          <w:sz w:val="24"/>
          <w:szCs w:val="24"/>
        </w:rPr>
        <w:t>International Journal of Hospitality Management</w:t>
      </w:r>
      <w:r w:rsidRPr="008D2670">
        <w:rPr>
          <w:rFonts w:ascii="Arial" w:hAnsi="Arial" w:cs="Arial"/>
          <w:sz w:val="24"/>
          <w:szCs w:val="24"/>
        </w:rPr>
        <w:t xml:space="preserve">, 130, article 104276. Available at: </w:t>
      </w:r>
      <w:hyperlink r:id="rId11" w:tgtFrame="_new" w:history="1">
        <w:r w:rsidRPr="008D2670">
          <w:rPr>
            <w:rStyle w:val="Hyperlink"/>
            <w:rFonts w:ascii="Arial" w:hAnsi="Arial" w:cs="Arial"/>
            <w:sz w:val="24"/>
            <w:szCs w:val="24"/>
          </w:rPr>
          <w:t>https://doi.org/10.1016/j.ijhm.2025.104276</w:t>
        </w:r>
      </w:hyperlink>
      <w:r w:rsidRPr="008D2670">
        <w:rPr>
          <w:rFonts w:ascii="Arial" w:hAnsi="Arial" w:cs="Arial"/>
          <w:sz w:val="24"/>
          <w:szCs w:val="24"/>
        </w:rPr>
        <w:t xml:space="preserve"> (Accessed: </w:t>
      </w:r>
      <w:r w:rsidR="00651E85">
        <w:rPr>
          <w:rFonts w:ascii="Arial" w:hAnsi="Arial" w:cs="Arial"/>
          <w:sz w:val="24"/>
          <w:szCs w:val="24"/>
        </w:rPr>
        <w:t>1</w:t>
      </w:r>
      <w:r w:rsidRPr="008D2670">
        <w:rPr>
          <w:rFonts w:ascii="Arial" w:hAnsi="Arial" w:cs="Arial"/>
          <w:sz w:val="24"/>
          <w:szCs w:val="24"/>
        </w:rPr>
        <w:t xml:space="preserve"> February 2026).</w:t>
      </w:r>
    </w:p>
    <w:p w14:paraId="21043FEC" w14:textId="61FC9913" w:rsidR="00FA2C96" w:rsidRDefault="00FA2C96" w:rsidP="005254E4">
      <w:pPr>
        <w:pStyle w:val="ListParagraph"/>
        <w:numPr>
          <w:ilvl w:val="0"/>
          <w:numId w:val="12"/>
        </w:numPr>
        <w:spacing w:line="360" w:lineRule="auto"/>
        <w:rPr>
          <w:rFonts w:ascii="Arial" w:hAnsi="Arial" w:cs="Arial"/>
          <w:sz w:val="24"/>
          <w:szCs w:val="24"/>
        </w:rPr>
      </w:pPr>
      <w:r w:rsidRPr="00FA2C96">
        <w:rPr>
          <w:rFonts w:ascii="Arial" w:hAnsi="Arial" w:cs="Arial"/>
          <w:sz w:val="24"/>
          <w:szCs w:val="24"/>
        </w:rPr>
        <w:t xml:space="preserve">Camilleri-Fenech, M., Oliver-Solà, J., </w:t>
      </w:r>
      <w:proofErr w:type="spellStart"/>
      <w:r w:rsidRPr="00FA2C96">
        <w:rPr>
          <w:rFonts w:ascii="Arial" w:hAnsi="Arial" w:cs="Arial"/>
          <w:sz w:val="24"/>
          <w:szCs w:val="24"/>
        </w:rPr>
        <w:t>Farreny</w:t>
      </w:r>
      <w:proofErr w:type="spellEnd"/>
      <w:r w:rsidRPr="00FA2C96">
        <w:rPr>
          <w:rFonts w:ascii="Arial" w:hAnsi="Arial" w:cs="Arial"/>
          <w:sz w:val="24"/>
          <w:szCs w:val="24"/>
        </w:rPr>
        <w:t xml:space="preserve">, R. and </w:t>
      </w:r>
      <w:proofErr w:type="spellStart"/>
      <w:r w:rsidRPr="00FA2C96">
        <w:rPr>
          <w:rFonts w:ascii="Arial" w:hAnsi="Arial" w:cs="Arial"/>
          <w:sz w:val="24"/>
          <w:szCs w:val="24"/>
        </w:rPr>
        <w:t>Gabarrell</w:t>
      </w:r>
      <w:proofErr w:type="spellEnd"/>
      <w:r w:rsidRPr="00FA2C96">
        <w:rPr>
          <w:rFonts w:ascii="Arial" w:hAnsi="Arial" w:cs="Arial"/>
          <w:sz w:val="24"/>
          <w:szCs w:val="24"/>
        </w:rPr>
        <w:t xml:space="preserve"> Durany, X. (2020) ‘A snapshot of solid waste generation in the hospitality industry: The case of a five-star hotel on the island of Malta’, </w:t>
      </w:r>
      <w:r w:rsidRPr="00FA2C96">
        <w:rPr>
          <w:rFonts w:ascii="Arial" w:hAnsi="Arial" w:cs="Arial"/>
          <w:i/>
          <w:iCs/>
          <w:sz w:val="24"/>
          <w:szCs w:val="24"/>
        </w:rPr>
        <w:t>Sustainable Production and Consumption</w:t>
      </w:r>
      <w:r w:rsidRPr="00FA2C96">
        <w:rPr>
          <w:rFonts w:ascii="Arial" w:hAnsi="Arial" w:cs="Arial"/>
          <w:sz w:val="24"/>
          <w:szCs w:val="24"/>
        </w:rPr>
        <w:t xml:space="preserve">, 21, pp. 104–119. Available at: </w:t>
      </w:r>
      <w:hyperlink r:id="rId12" w:history="1">
        <w:r w:rsidRPr="00FA17B6">
          <w:rPr>
            <w:rStyle w:val="Hyperlink"/>
            <w:rFonts w:ascii="Arial" w:hAnsi="Arial" w:cs="Arial"/>
            <w:sz w:val="24"/>
            <w:szCs w:val="24"/>
          </w:rPr>
          <w:t>https://doi.org/10.1016/j.spc.2019.11.003</w:t>
        </w:r>
      </w:hyperlink>
      <w:r>
        <w:rPr>
          <w:rFonts w:ascii="Arial" w:hAnsi="Arial" w:cs="Arial"/>
          <w:sz w:val="24"/>
          <w:szCs w:val="24"/>
        </w:rPr>
        <w:t xml:space="preserve"> </w:t>
      </w:r>
      <w:r w:rsidRPr="00FA2C96">
        <w:rPr>
          <w:rFonts w:ascii="Arial" w:hAnsi="Arial" w:cs="Arial"/>
          <w:sz w:val="24"/>
          <w:szCs w:val="24"/>
        </w:rPr>
        <w:t xml:space="preserve"> (Accessed: </w:t>
      </w:r>
      <w:r w:rsidR="00651E85">
        <w:rPr>
          <w:rFonts w:ascii="Arial" w:hAnsi="Arial" w:cs="Arial"/>
          <w:sz w:val="24"/>
          <w:szCs w:val="24"/>
        </w:rPr>
        <w:t>1</w:t>
      </w:r>
      <w:r w:rsidRPr="00FA2C96">
        <w:rPr>
          <w:rFonts w:ascii="Arial" w:hAnsi="Arial" w:cs="Arial"/>
          <w:sz w:val="24"/>
          <w:szCs w:val="24"/>
        </w:rPr>
        <w:t xml:space="preserve"> February 2026).</w:t>
      </w:r>
      <w:r>
        <w:rPr>
          <w:rFonts w:ascii="Arial" w:hAnsi="Arial" w:cs="Arial"/>
          <w:sz w:val="24"/>
          <w:szCs w:val="24"/>
        </w:rPr>
        <w:t xml:space="preserve"> </w:t>
      </w:r>
    </w:p>
    <w:p w14:paraId="208E2C93" w14:textId="4933ABA8" w:rsidR="008D2670" w:rsidRPr="008D2670" w:rsidRDefault="008D2670" w:rsidP="008D2670">
      <w:pPr>
        <w:pStyle w:val="ListParagraph"/>
        <w:numPr>
          <w:ilvl w:val="0"/>
          <w:numId w:val="12"/>
        </w:numPr>
        <w:spacing w:line="360" w:lineRule="auto"/>
        <w:rPr>
          <w:rFonts w:ascii="Arial" w:hAnsi="Arial" w:cs="Arial"/>
          <w:sz w:val="24"/>
          <w:szCs w:val="24"/>
        </w:rPr>
      </w:pPr>
      <w:proofErr w:type="spellStart"/>
      <w:r w:rsidRPr="00F1683E">
        <w:rPr>
          <w:rFonts w:ascii="Arial" w:hAnsi="Arial" w:cs="Arial"/>
          <w:sz w:val="24"/>
          <w:szCs w:val="24"/>
        </w:rPr>
        <w:t>Filimonau</w:t>
      </w:r>
      <w:proofErr w:type="spellEnd"/>
      <w:r w:rsidRPr="00F1683E">
        <w:rPr>
          <w:rFonts w:ascii="Arial" w:hAnsi="Arial" w:cs="Arial"/>
          <w:sz w:val="24"/>
          <w:szCs w:val="24"/>
        </w:rPr>
        <w:t xml:space="preserve">, V. and De Coteau, D.A. (2019) ‘Food waste management in hospitality operations: A critical review’, </w:t>
      </w:r>
      <w:r w:rsidRPr="00F1683E">
        <w:rPr>
          <w:rFonts w:ascii="Arial" w:hAnsi="Arial" w:cs="Arial"/>
          <w:i/>
          <w:iCs/>
          <w:sz w:val="24"/>
          <w:szCs w:val="24"/>
        </w:rPr>
        <w:t>Tourism Management</w:t>
      </w:r>
      <w:r w:rsidRPr="00F1683E">
        <w:rPr>
          <w:rFonts w:ascii="Arial" w:hAnsi="Arial" w:cs="Arial"/>
          <w:sz w:val="24"/>
          <w:szCs w:val="24"/>
        </w:rPr>
        <w:t xml:space="preserve">, 71, pp. 234–245. Available at: </w:t>
      </w:r>
      <w:hyperlink r:id="rId13" w:tgtFrame="_new" w:history="1">
        <w:r w:rsidRPr="00F1683E">
          <w:rPr>
            <w:rStyle w:val="Hyperlink"/>
            <w:rFonts w:ascii="Arial" w:hAnsi="Arial" w:cs="Arial"/>
            <w:sz w:val="24"/>
            <w:szCs w:val="24"/>
          </w:rPr>
          <w:t>https://doi.org/10.1016/j.tourman.2018.10.009</w:t>
        </w:r>
      </w:hyperlink>
      <w:r w:rsidRPr="00F1683E">
        <w:rPr>
          <w:rFonts w:ascii="Arial" w:hAnsi="Arial" w:cs="Arial"/>
          <w:sz w:val="24"/>
          <w:szCs w:val="24"/>
        </w:rPr>
        <w:t xml:space="preserve"> (Accessed: </w:t>
      </w:r>
      <w:r w:rsidR="00651E85">
        <w:rPr>
          <w:rFonts w:ascii="Arial" w:hAnsi="Arial" w:cs="Arial"/>
          <w:sz w:val="24"/>
          <w:szCs w:val="24"/>
        </w:rPr>
        <w:t xml:space="preserve">1 </w:t>
      </w:r>
      <w:r w:rsidRPr="00F1683E">
        <w:rPr>
          <w:rFonts w:ascii="Arial" w:hAnsi="Arial" w:cs="Arial"/>
          <w:sz w:val="24"/>
          <w:szCs w:val="24"/>
        </w:rPr>
        <w:t>February 2026)</w:t>
      </w:r>
    </w:p>
    <w:p w14:paraId="0407D4E2" w14:textId="4F795BC8" w:rsidR="0011751A" w:rsidRDefault="0011751A" w:rsidP="005254E4">
      <w:pPr>
        <w:pStyle w:val="ListParagraph"/>
        <w:numPr>
          <w:ilvl w:val="0"/>
          <w:numId w:val="12"/>
        </w:numPr>
        <w:spacing w:line="360" w:lineRule="auto"/>
        <w:rPr>
          <w:rFonts w:ascii="Arial" w:hAnsi="Arial" w:cs="Arial"/>
          <w:sz w:val="24"/>
          <w:szCs w:val="24"/>
        </w:rPr>
      </w:pPr>
      <w:r w:rsidRPr="0011751A">
        <w:rPr>
          <w:rFonts w:ascii="Arial" w:hAnsi="Arial" w:cs="Arial"/>
          <w:sz w:val="24"/>
          <w:szCs w:val="24"/>
        </w:rPr>
        <w:t>Food and Agriculture Organization of the United Nations (FAO) (2019)</w:t>
      </w:r>
      <w:r w:rsidRPr="0011751A">
        <w:rPr>
          <w:rFonts w:ascii="Arial" w:hAnsi="Arial" w:cs="Arial"/>
          <w:sz w:val="24"/>
          <w:szCs w:val="24"/>
        </w:rPr>
        <w:br/>
      </w:r>
      <w:r w:rsidRPr="0011751A">
        <w:rPr>
          <w:rFonts w:ascii="Arial" w:hAnsi="Arial" w:cs="Arial"/>
          <w:i/>
          <w:iCs/>
          <w:sz w:val="24"/>
          <w:szCs w:val="24"/>
        </w:rPr>
        <w:t>The state of food loss and waste in the world: moving forward on food loss and waste reduction</w:t>
      </w:r>
      <w:r w:rsidRPr="0011751A">
        <w:rPr>
          <w:rFonts w:ascii="Arial" w:hAnsi="Arial" w:cs="Arial"/>
          <w:sz w:val="24"/>
          <w:szCs w:val="24"/>
        </w:rPr>
        <w:t>. Rome: FAO.</w:t>
      </w:r>
      <w:r w:rsidRPr="0011751A">
        <w:rPr>
          <w:rFonts w:ascii="Arial" w:hAnsi="Arial" w:cs="Arial"/>
          <w:sz w:val="24"/>
          <w:szCs w:val="24"/>
        </w:rPr>
        <w:br/>
        <w:t xml:space="preserve">Available at: </w:t>
      </w:r>
      <w:hyperlink r:id="rId14" w:tgtFrame="_new" w:history="1">
        <w:r w:rsidRPr="0011751A">
          <w:rPr>
            <w:rStyle w:val="Hyperlink"/>
            <w:rFonts w:ascii="Arial" w:hAnsi="Arial" w:cs="Arial"/>
            <w:sz w:val="24"/>
            <w:szCs w:val="24"/>
          </w:rPr>
          <w:t>https://www.fao.org/3/ca6030en/ca6030en.pdf</w:t>
        </w:r>
      </w:hyperlink>
      <w:r w:rsidRPr="0011751A">
        <w:rPr>
          <w:rFonts w:ascii="Arial" w:hAnsi="Arial" w:cs="Arial"/>
          <w:sz w:val="24"/>
          <w:szCs w:val="24"/>
        </w:rPr>
        <w:br/>
        <w:t xml:space="preserve">(Accessed: </w:t>
      </w:r>
      <w:r w:rsidR="00651E85">
        <w:rPr>
          <w:rFonts w:ascii="Arial" w:hAnsi="Arial" w:cs="Arial"/>
          <w:sz w:val="24"/>
          <w:szCs w:val="24"/>
        </w:rPr>
        <w:t>2</w:t>
      </w:r>
      <w:r w:rsidRPr="0011751A">
        <w:rPr>
          <w:rFonts w:ascii="Arial" w:hAnsi="Arial" w:cs="Arial"/>
          <w:sz w:val="24"/>
          <w:szCs w:val="24"/>
        </w:rPr>
        <w:t xml:space="preserve"> February 2026).</w:t>
      </w:r>
    </w:p>
    <w:p w14:paraId="1E9940C7" w14:textId="36940ADB" w:rsidR="00EC6E09" w:rsidRDefault="00EC6E09" w:rsidP="005254E4">
      <w:pPr>
        <w:pStyle w:val="ListParagraph"/>
        <w:numPr>
          <w:ilvl w:val="0"/>
          <w:numId w:val="12"/>
        </w:numPr>
        <w:spacing w:line="360" w:lineRule="auto"/>
        <w:rPr>
          <w:rFonts w:ascii="Arial" w:hAnsi="Arial" w:cs="Arial"/>
          <w:sz w:val="24"/>
          <w:szCs w:val="24"/>
        </w:rPr>
      </w:pPr>
      <w:proofErr w:type="spellStart"/>
      <w:r w:rsidRPr="00EC6E09">
        <w:rPr>
          <w:rFonts w:ascii="Arial" w:hAnsi="Arial" w:cs="Arial"/>
          <w:sz w:val="24"/>
          <w:szCs w:val="24"/>
        </w:rPr>
        <w:t>Gössling</w:t>
      </w:r>
      <w:proofErr w:type="spellEnd"/>
      <w:r w:rsidRPr="00EC6E09">
        <w:rPr>
          <w:rFonts w:ascii="Arial" w:hAnsi="Arial" w:cs="Arial"/>
          <w:sz w:val="24"/>
          <w:szCs w:val="24"/>
        </w:rPr>
        <w:t xml:space="preserve">, S., Garrod, B., </w:t>
      </w:r>
      <w:proofErr w:type="spellStart"/>
      <w:r w:rsidRPr="00EC6E09">
        <w:rPr>
          <w:rFonts w:ascii="Arial" w:hAnsi="Arial" w:cs="Arial"/>
          <w:sz w:val="24"/>
          <w:szCs w:val="24"/>
        </w:rPr>
        <w:t>Aall</w:t>
      </w:r>
      <w:proofErr w:type="spellEnd"/>
      <w:r w:rsidRPr="00EC6E09">
        <w:rPr>
          <w:rFonts w:ascii="Arial" w:hAnsi="Arial" w:cs="Arial"/>
          <w:sz w:val="24"/>
          <w:szCs w:val="24"/>
        </w:rPr>
        <w:t>, C., Hille, J. and Peeters, P. (2011)</w:t>
      </w:r>
      <w:r w:rsidRPr="00EC6E09">
        <w:rPr>
          <w:rFonts w:ascii="Arial" w:hAnsi="Arial" w:cs="Arial"/>
          <w:sz w:val="24"/>
          <w:szCs w:val="24"/>
        </w:rPr>
        <w:br/>
        <w:t xml:space="preserve">‘Food management in tourism: Reducing tourism’s carbon footprint’, </w:t>
      </w:r>
      <w:r w:rsidRPr="00EC6E09">
        <w:rPr>
          <w:rFonts w:ascii="Arial" w:hAnsi="Arial" w:cs="Arial"/>
          <w:i/>
          <w:iCs/>
          <w:sz w:val="24"/>
          <w:szCs w:val="24"/>
        </w:rPr>
        <w:t>Tourism Management</w:t>
      </w:r>
      <w:r w:rsidRPr="00EC6E09">
        <w:rPr>
          <w:rFonts w:ascii="Arial" w:hAnsi="Arial" w:cs="Arial"/>
          <w:sz w:val="24"/>
          <w:szCs w:val="24"/>
        </w:rPr>
        <w:t xml:space="preserve">, 32(3), pp. 534–543. Available at: </w:t>
      </w:r>
      <w:hyperlink r:id="rId15" w:history="1">
        <w:r w:rsidRPr="00FA17B6">
          <w:rPr>
            <w:rStyle w:val="Hyperlink"/>
            <w:rFonts w:ascii="Arial" w:hAnsi="Arial" w:cs="Arial"/>
            <w:sz w:val="24"/>
            <w:szCs w:val="24"/>
          </w:rPr>
          <w:t>https://doi.org/10.1016/j.tourman.2010.04.006</w:t>
        </w:r>
      </w:hyperlink>
      <w:r>
        <w:rPr>
          <w:rFonts w:ascii="Arial" w:hAnsi="Arial" w:cs="Arial"/>
          <w:sz w:val="24"/>
          <w:szCs w:val="24"/>
        </w:rPr>
        <w:t xml:space="preserve"> </w:t>
      </w:r>
      <w:r w:rsidRPr="00EC6E09">
        <w:rPr>
          <w:rFonts w:ascii="Arial" w:hAnsi="Arial" w:cs="Arial"/>
          <w:sz w:val="24"/>
          <w:szCs w:val="24"/>
        </w:rPr>
        <w:t xml:space="preserve"> (Accessed: </w:t>
      </w:r>
      <w:r w:rsidR="00651E85">
        <w:rPr>
          <w:rFonts w:ascii="Arial" w:hAnsi="Arial" w:cs="Arial"/>
          <w:sz w:val="24"/>
          <w:szCs w:val="24"/>
        </w:rPr>
        <w:t>2</w:t>
      </w:r>
      <w:r w:rsidRPr="00EC6E09">
        <w:rPr>
          <w:rFonts w:ascii="Arial" w:hAnsi="Arial" w:cs="Arial"/>
          <w:sz w:val="24"/>
          <w:szCs w:val="24"/>
        </w:rPr>
        <w:t xml:space="preserve"> February 2026).</w:t>
      </w:r>
    </w:p>
    <w:p w14:paraId="7403D8E4" w14:textId="4C0F6FB8" w:rsidR="00B43A26" w:rsidRDefault="00B43A26" w:rsidP="005254E4">
      <w:pPr>
        <w:pStyle w:val="ListParagraph"/>
        <w:numPr>
          <w:ilvl w:val="0"/>
          <w:numId w:val="12"/>
        </w:numPr>
        <w:spacing w:line="360" w:lineRule="auto"/>
        <w:rPr>
          <w:rFonts w:ascii="Arial" w:hAnsi="Arial" w:cs="Arial"/>
          <w:sz w:val="24"/>
          <w:szCs w:val="24"/>
        </w:rPr>
      </w:pPr>
      <w:proofErr w:type="spellStart"/>
      <w:r w:rsidRPr="00B43A26">
        <w:rPr>
          <w:rFonts w:ascii="Arial" w:hAnsi="Arial" w:cs="Arial"/>
          <w:sz w:val="24"/>
          <w:szCs w:val="24"/>
        </w:rPr>
        <w:t>Gössling</w:t>
      </w:r>
      <w:proofErr w:type="spellEnd"/>
      <w:r w:rsidRPr="00B43A26">
        <w:rPr>
          <w:rFonts w:ascii="Arial" w:hAnsi="Arial" w:cs="Arial"/>
          <w:sz w:val="24"/>
          <w:szCs w:val="24"/>
        </w:rPr>
        <w:t>, S. and Hall, C.M. (2019)</w:t>
      </w:r>
      <w:r w:rsidRPr="00B43A26">
        <w:rPr>
          <w:rFonts w:ascii="Arial" w:hAnsi="Arial" w:cs="Arial"/>
          <w:sz w:val="24"/>
          <w:szCs w:val="24"/>
        </w:rPr>
        <w:br/>
        <w:t xml:space="preserve">‘Sharing versus collaborative economy: How to align tourism sustainability goals’, </w:t>
      </w:r>
      <w:r w:rsidRPr="00B43A26">
        <w:rPr>
          <w:rFonts w:ascii="Arial" w:hAnsi="Arial" w:cs="Arial"/>
          <w:i/>
          <w:iCs/>
          <w:sz w:val="24"/>
          <w:szCs w:val="24"/>
        </w:rPr>
        <w:t>Journal of Sustainable Tourism</w:t>
      </w:r>
      <w:r w:rsidRPr="00B43A26">
        <w:rPr>
          <w:rFonts w:ascii="Arial" w:hAnsi="Arial" w:cs="Arial"/>
          <w:sz w:val="24"/>
          <w:szCs w:val="24"/>
        </w:rPr>
        <w:t xml:space="preserve">, 27(4), pp. 1–17. Available at: </w:t>
      </w:r>
      <w:hyperlink r:id="rId16" w:history="1">
        <w:r w:rsidRPr="00FA17B6">
          <w:rPr>
            <w:rStyle w:val="Hyperlink"/>
            <w:rFonts w:ascii="Arial" w:hAnsi="Arial" w:cs="Arial"/>
            <w:sz w:val="24"/>
            <w:szCs w:val="24"/>
          </w:rPr>
          <w:t>https://doi.org/10.1080/09669582.2018.1560455</w:t>
        </w:r>
      </w:hyperlink>
      <w:r>
        <w:rPr>
          <w:rFonts w:ascii="Arial" w:hAnsi="Arial" w:cs="Arial"/>
          <w:sz w:val="24"/>
          <w:szCs w:val="24"/>
        </w:rPr>
        <w:t xml:space="preserve"> </w:t>
      </w:r>
      <w:r w:rsidRPr="00B43A26">
        <w:rPr>
          <w:rFonts w:ascii="Arial" w:hAnsi="Arial" w:cs="Arial"/>
          <w:sz w:val="24"/>
          <w:szCs w:val="24"/>
        </w:rPr>
        <w:t xml:space="preserve"> (Accessed: </w:t>
      </w:r>
      <w:r w:rsidR="00F55DFE">
        <w:rPr>
          <w:rFonts w:ascii="Arial" w:hAnsi="Arial" w:cs="Arial"/>
          <w:sz w:val="24"/>
          <w:szCs w:val="24"/>
        </w:rPr>
        <w:t>30 January</w:t>
      </w:r>
      <w:r w:rsidRPr="00B43A26">
        <w:rPr>
          <w:rFonts w:ascii="Arial" w:hAnsi="Arial" w:cs="Arial"/>
          <w:sz w:val="24"/>
          <w:szCs w:val="24"/>
        </w:rPr>
        <w:t xml:space="preserve"> 2026).</w:t>
      </w:r>
    </w:p>
    <w:p w14:paraId="100A0382" w14:textId="4D7DD096" w:rsidR="00F727A4" w:rsidRDefault="00F727A4" w:rsidP="005254E4">
      <w:pPr>
        <w:pStyle w:val="ListParagraph"/>
        <w:numPr>
          <w:ilvl w:val="0"/>
          <w:numId w:val="12"/>
        </w:numPr>
        <w:spacing w:line="360" w:lineRule="auto"/>
        <w:rPr>
          <w:rFonts w:ascii="Arial" w:hAnsi="Arial" w:cs="Arial"/>
          <w:sz w:val="24"/>
          <w:szCs w:val="24"/>
        </w:rPr>
      </w:pPr>
      <w:r w:rsidRPr="00F727A4">
        <w:rPr>
          <w:rFonts w:ascii="Arial" w:hAnsi="Arial" w:cs="Arial"/>
          <w:sz w:val="24"/>
          <w:szCs w:val="24"/>
        </w:rPr>
        <w:t xml:space="preserve">Greene, D., Grad, G., Zinn, A.K. and </w:t>
      </w:r>
      <w:proofErr w:type="spellStart"/>
      <w:r w:rsidRPr="00F727A4">
        <w:rPr>
          <w:rFonts w:ascii="Arial" w:hAnsi="Arial" w:cs="Arial"/>
          <w:sz w:val="24"/>
          <w:szCs w:val="24"/>
        </w:rPr>
        <w:t>Dolnicar</w:t>
      </w:r>
      <w:proofErr w:type="spellEnd"/>
      <w:r w:rsidRPr="00F727A4">
        <w:rPr>
          <w:rFonts w:ascii="Arial" w:hAnsi="Arial" w:cs="Arial"/>
          <w:sz w:val="24"/>
          <w:szCs w:val="24"/>
        </w:rPr>
        <w:t xml:space="preserve">, S. (2024) ‘Guiding people to take less food from the buffet: two survey experiments that introduce a new simulated buffet scenario’, </w:t>
      </w:r>
      <w:r w:rsidRPr="00F727A4">
        <w:rPr>
          <w:rFonts w:ascii="Arial" w:hAnsi="Arial" w:cs="Arial"/>
          <w:i/>
          <w:iCs/>
          <w:sz w:val="24"/>
          <w:szCs w:val="24"/>
        </w:rPr>
        <w:t>Food Quality and Preference</w:t>
      </w:r>
      <w:r w:rsidRPr="00F727A4">
        <w:rPr>
          <w:rFonts w:ascii="Arial" w:hAnsi="Arial" w:cs="Arial"/>
          <w:sz w:val="24"/>
          <w:szCs w:val="24"/>
        </w:rPr>
        <w:t xml:space="preserve">, 121, article 105273. </w:t>
      </w:r>
      <w:r w:rsidRPr="00F727A4">
        <w:rPr>
          <w:rFonts w:ascii="Arial" w:hAnsi="Arial" w:cs="Arial"/>
          <w:sz w:val="24"/>
          <w:szCs w:val="24"/>
        </w:rPr>
        <w:lastRenderedPageBreak/>
        <w:t xml:space="preserve">Available at: </w:t>
      </w:r>
      <w:hyperlink r:id="rId17" w:history="1">
        <w:r w:rsidRPr="00D162C4">
          <w:rPr>
            <w:rStyle w:val="Hyperlink"/>
            <w:rFonts w:ascii="Arial" w:hAnsi="Arial" w:cs="Arial"/>
            <w:sz w:val="24"/>
            <w:szCs w:val="24"/>
          </w:rPr>
          <w:t>https://doi.org/10.1016/j.foodqual.2024.105273</w:t>
        </w:r>
      </w:hyperlink>
      <w:r>
        <w:rPr>
          <w:rFonts w:ascii="Arial" w:hAnsi="Arial" w:cs="Arial"/>
          <w:sz w:val="24"/>
          <w:szCs w:val="24"/>
        </w:rPr>
        <w:t xml:space="preserve"> </w:t>
      </w:r>
      <w:r w:rsidRPr="00F727A4">
        <w:rPr>
          <w:rFonts w:ascii="Arial" w:hAnsi="Arial" w:cs="Arial"/>
          <w:sz w:val="24"/>
          <w:szCs w:val="24"/>
        </w:rPr>
        <w:t xml:space="preserve"> (Accessed: </w:t>
      </w:r>
      <w:r w:rsidR="00F55DFE">
        <w:rPr>
          <w:rFonts w:ascii="Arial" w:hAnsi="Arial" w:cs="Arial"/>
          <w:sz w:val="24"/>
          <w:szCs w:val="24"/>
        </w:rPr>
        <w:t>30 January</w:t>
      </w:r>
      <w:r w:rsidRPr="00F727A4">
        <w:rPr>
          <w:rFonts w:ascii="Arial" w:hAnsi="Arial" w:cs="Arial"/>
          <w:sz w:val="24"/>
          <w:szCs w:val="24"/>
        </w:rPr>
        <w:t xml:space="preserve"> 2026).</w:t>
      </w:r>
    </w:p>
    <w:p w14:paraId="4083D073" w14:textId="1F7D4587" w:rsidR="008C5256" w:rsidRDefault="008C5256" w:rsidP="005254E4">
      <w:pPr>
        <w:pStyle w:val="ListParagraph"/>
        <w:numPr>
          <w:ilvl w:val="0"/>
          <w:numId w:val="12"/>
        </w:numPr>
        <w:spacing w:line="360" w:lineRule="auto"/>
        <w:rPr>
          <w:rFonts w:ascii="Arial" w:hAnsi="Arial" w:cs="Arial"/>
          <w:sz w:val="24"/>
          <w:szCs w:val="24"/>
        </w:rPr>
      </w:pPr>
      <w:r w:rsidRPr="008C5256">
        <w:rPr>
          <w:rFonts w:ascii="Arial" w:hAnsi="Arial" w:cs="Arial"/>
          <w:sz w:val="24"/>
          <w:szCs w:val="24"/>
        </w:rPr>
        <w:t>Jones, P., Hillier, D. and Comfort, D. (2016)</w:t>
      </w:r>
      <w:r w:rsidRPr="008C5256">
        <w:rPr>
          <w:rFonts w:ascii="Arial" w:hAnsi="Arial" w:cs="Arial"/>
          <w:sz w:val="24"/>
          <w:szCs w:val="24"/>
        </w:rPr>
        <w:br/>
        <w:t xml:space="preserve">‘Sustainability in the hospitality industry: some personal reflections on corporate challenges and research agendas’, </w:t>
      </w:r>
      <w:r w:rsidRPr="008C5256">
        <w:rPr>
          <w:rFonts w:ascii="Arial" w:hAnsi="Arial" w:cs="Arial"/>
          <w:i/>
          <w:iCs/>
          <w:sz w:val="24"/>
          <w:szCs w:val="24"/>
        </w:rPr>
        <w:t>International Journal of Contemporary Hospitality Management</w:t>
      </w:r>
      <w:r w:rsidRPr="008C5256">
        <w:rPr>
          <w:rFonts w:ascii="Arial" w:hAnsi="Arial" w:cs="Arial"/>
          <w:sz w:val="24"/>
          <w:szCs w:val="24"/>
        </w:rPr>
        <w:t xml:space="preserve">, 28(1), pp. 36–67. Available at: </w:t>
      </w:r>
      <w:hyperlink r:id="rId18" w:tgtFrame="_new" w:history="1">
        <w:r w:rsidRPr="008C5256">
          <w:rPr>
            <w:rStyle w:val="Hyperlink"/>
            <w:rFonts w:ascii="Arial" w:hAnsi="Arial" w:cs="Arial"/>
            <w:sz w:val="24"/>
            <w:szCs w:val="24"/>
          </w:rPr>
          <w:t>https://eprints.glos.ac.uk/698/1/Jones%20%282016%29%20sustainability%20in%20the%20hospitality%20industry%20with%20cover%20sheet.pdf</w:t>
        </w:r>
      </w:hyperlink>
      <w:r w:rsidRPr="008C5256">
        <w:rPr>
          <w:rFonts w:ascii="Arial" w:hAnsi="Arial" w:cs="Arial"/>
          <w:sz w:val="24"/>
          <w:szCs w:val="24"/>
        </w:rPr>
        <w:t xml:space="preserve"> (Accessed: </w:t>
      </w:r>
      <w:r w:rsidR="00F55DFE">
        <w:rPr>
          <w:rFonts w:ascii="Arial" w:hAnsi="Arial" w:cs="Arial"/>
          <w:sz w:val="24"/>
          <w:szCs w:val="24"/>
        </w:rPr>
        <w:t>30 January</w:t>
      </w:r>
      <w:r w:rsidR="00F55DFE" w:rsidRPr="00B43A26">
        <w:rPr>
          <w:rFonts w:ascii="Arial" w:hAnsi="Arial" w:cs="Arial"/>
          <w:sz w:val="24"/>
          <w:szCs w:val="24"/>
        </w:rPr>
        <w:t xml:space="preserve"> </w:t>
      </w:r>
      <w:r w:rsidRPr="008C5256">
        <w:rPr>
          <w:rFonts w:ascii="Arial" w:hAnsi="Arial" w:cs="Arial"/>
          <w:sz w:val="24"/>
          <w:szCs w:val="24"/>
        </w:rPr>
        <w:t>2026).</w:t>
      </w:r>
    </w:p>
    <w:p w14:paraId="7F68BEC3" w14:textId="322B110D" w:rsidR="00A9193F" w:rsidRDefault="00A9193F" w:rsidP="005254E4">
      <w:pPr>
        <w:pStyle w:val="ListParagraph"/>
        <w:numPr>
          <w:ilvl w:val="0"/>
          <w:numId w:val="12"/>
        </w:numPr>
        <w:spacing w:line="360" w:lineRule="auto"/>
        <w:rPr>
          <w:rFonts w:ascii="Arial" w:hAnsi="Arial" w:cs="Arial"/>
          <w:sz w:val="24"/>
          <w:szCs w:val="24"/>
        </w:rPr>
      </w:pPr>
      <w:proofErr w:type="spellStart"/>
      <w:r w:rsidRPr="00A9193F">
        <w:rPr>
          <w:rFonts w:ascii="Arial" w:hAnsi="Arial" w:cs="Arial"/>
          <w:sz w:val="24"/>
          <w:szCs w:val="24"/>
        </w:rPr>
        <w:t>Kallbekken</w:t>
      </w:r>
      <w:proofErr w:type="spellEnd"/>
      <w:r w:rsidRPr="00A9193F">
        <w:rPr>
          <w:rFonts w:ascii="Arial" w:hAnsi="Arial" w:cs="Arial"/>
          <w:sz w:val="24"/>
          <w:szCs w:val="24"/>
        </w:rPr>
        <w:t>, S. and Sælen, H. (2013)</w:t>
      </w:r>
      <w:r w:rsidRPr="00A9193F">
        <w:rPr>
          <w:rFonts w:ascii="Arial" w:hAnsi="Arial" w:cs="Arial"/>
          <w:sz w:val="24"/>
          <w:szCs w:val="24"/>
        </w:rPr>
        <w:br/>
        <w:t xml:space="preserve">‘“Nudging” hotel guests to reduce food waste as a win–win environmental measure’, </w:t>
      </w:r>
      <w:r w:rsidRPr="00A9193F">
        <w:rPr>
          <w:rFonts w:ascii="Arial" w:hAnsi="Arial" w:cs="Arial"/>
          <w:i/>
          <w:iCs/>
          <w:sz w:val="24"/>
          <w:szCs w:val="24"/>
        </w:rPr>
        <w:t>Economics Letters</w:t>
      </w:r>
      <w:r w:rsidRPr="00A9193F">
        <w:rPr>
          <w:rFonts w:ascii="Arial" w:hAnsi="Arial" w:cs="Arial"/>
          <w:sz w:val="24"/>
          <w:szCs w:val="24"/>
        </w:rPr>
        <w:t xml:space="preserve">, 119(3), pp. 325–327. Available at: </w:t>
      </w:r>
      <w:hyperlink r:id="rId19" w:history="1">
        <w:r w:rsidRPr="00FA17B6">
          <w:rPr>
            <w:rStyle w:val="Hyperlink"/>
            <w:rFonts w:ascii="Arial" w:hAnsi="Arial" w:cs="Arial"/>
            <w:sz w:val="24"/>
            <w:szCs w:val="24"/>
          </w:rPr>
          <w:t>https://doi.org/10.1016/j.econlet.2013.03.019</w:t>
        </w:r>
      </w:hyperlink>
      <w:r>
        <w:rPr>
          <w:rFonts w:ascii="Arial" w:hAnsi="Arial" w:cs="Arial"/>
          <w:sz w:val="24"/>
          <w:szCs w:val="24"/>
        </w:rPr>
        <w:t xml:space="preserve"> </w:t>
      </w:r>
      <w:r w:rsidRPr="00A9193F">
        <w:rPr>
          <w:rFonts w:ascii="Arial" w:hAnsi="Arial" w:cs="Arial"/>
          <w:sz w:val="24"/>
          <w:szCs w:val="24"/>
        </w:rPr>
        <w:t xml:space="preserve"> (Accessed: </w:t>
      </w:r>
      <w:r w:rsidR="00F55DFE">
        <w:rPr>
          <w:rFonts w:ascii="Arial" w:hAnsi="Arial" w:cs="Arial"/>
          <w:sz w:val="24"/>
          <w:szCs w:val="24"/>
        </w:rPr>
        <w:t>31 January</w:t>
      </w:r>
      <w:r w:rsidR="00F55DFE" w:rsidRPr="00B43A26">
        <w:rPr>
          <w:rFonts w:ascii="Arial" w:hAnsi="Arial" w:cs="Arial"/>
          <w:sz w:val="24"/>
          <w:szCs w:val="24"/>
        </w:rPr>
        <w:t xml:space="preserve"> </w:t>
      </w:r>
      <w:r w:rsidRPr="00A9193F">
        <w:rPr>
          <w:rFonts w:ascii="Arial" w:hAnsi="Arial" w:cs="Arial"/>
          <w:sz w:val="24"/>
          <w:szCs w:val="24"/>
        </w:rPr>
        <w:t>2026).</w:t>
      </w:r>
    </w:p>
    <w:p w14:paraId="6E79963A" w14:textId="7C32983D" w:rsidR="000A6F98" w:rsidRDefault="000A6F98" w:rsidP="005254E4">
      <w:pPr>
        <w:pStyle w:val="ListParagraph"/>
        <w:numPr>
          <w:ilvl w:val="0"/>
          <w:numId w:val="12"/>
        </w:numPr>
        <w:spacing w:line="360" w:lineRule="auto"/>
        <w:rPr>
          <w:rFonts w:ascii="Arial" w:hAnsi="Arial" w:cs="Arial"/>
          <w:sz w:val="24"/>
          <w:szCs w:val="24"/>
        </w:rPr>
      </w:pPr>
      <w:proofErr w:type="spellStart"/>
      <w:r w:rsidRPr="000A6F98">
        <w:rPr>
          <w:rFonts w:ascii="Arial" w:hAnsi="Arial" w:cs="Arial"/>
          <w:sz w:val="24"/>
          <w:szCs w:val="24"/>
        </w:rPr>
        <w:t>Kattiyapornpong</w:t>
      </w:r>
      <w:proofErr w:type="spellEnd"/>
      <w:r w:rsidRPr="000A6F98">
        <w:rPr>
          <w:rFonts w:ascii="Arial" w:hAnsi="Arial" w:cs="Arial"/>
          <w:sz w:val="24"/>
          <w:szCs w:val="24"/>
        </w:rPr>
        <w:t xml:space="preserve">, U. et al. (2023) ‘Sustainable food waste management practices: Perspectives from five-star hotels in Thailand’, </w:t>
      </w:r>
      <w:r w:rsidRPr="000A6F98">
        <w:rPr>
          <w:rFonts w:ascii="Arial" w:hAnsi="Arial" w:cs="Arial"/>
          <w:i/>
          <w:iCs/>
          <w:sz w:val="24"/>
          <w:szCs w:val="24"/>
        </w:rPr>
        <w:t>Sustainability</w:t>
      </w:r>
      <w:r w:rsidRPr="000A6F98">
        <w:rPr>
          <w:rFonts w:ascii="Arial" w:hAnsi="Arial" w:cs="Arial"/>
          <w:sz w:val="24"/>
          <w:szCs w:val="24"/>
        </w:rPr>
        <w:t xml:space="preserve">, 15(13), article 10213. Available at: </w:t>
      </w:r>
      <w:hyperlink r:id="rId20" w:tgtFrame="_new" w:history="1">
        <w:r w:rsidRPr="000A6F98">
          <w:rPr>
            <w:rStyle w:val="Hyperlink"/>
            <w:rFonts w:ascii="Arial" w:hAnsi="Arial" w:cs="Arial"/>
            <w:sz w:val="24"/>
            <w:szCs w:val="24"/>
          </w:rPr>
          <w:t>https://www.mdpi.com/2071-1050/15/13/10213</w:t>
        </w:r>
      </w:hyperlink>
      <w:r w:rsidRPr="000A6F98">
        <w:rPr>
          <w:rFonts w:ascii="Arial" w:hAnsi="Arial" w:cs="Arial"/>
          <w:sz w:val="24"/>
          <w:szCs w:val="24"/>
        </w:rPr>
        <w:t xml:space="preserve"> (Accessed: </w:t>
      </w:r>
      <w:r w:rsidR="00F55DFE">
        <w:rPr>
          <w:rFonts w:ascii="Arial" w:hAnsi="Arial" w:cs="Arial"/>
          <w:sz w:val="24"/>
          <w:szCs w:val="24"/>
        </w:rPr>
        <w:t>31 January</w:t>
      </w:r>
      <w:r w:rsidR="00F55DFE" w:rsidRPr="00B43A26">
        <w:rPr>
          <w:rFonts w:ascii="Arial" w:hAnsi="Arial" w:cs="Arial"/>
          <w:sz w:val="24"/>
          <w:szCs w:val="24"/>
        </w:rPr>
        <w:t xml:space="preserve"> </w:t>
      </w:r>
      <w:r w:rsidRPr="000A6F98">
        <w:rPr>
          <w:rFonts w:ascii="Arial" w:hAnsi="Arial" w:cs="Arial"/>
          <w:sz w:val="24"/>
          <w:szCs w:val="24"/>
        </w:rPr>
        <w:t>2026).</w:t>
      </w:r>
    </w:p>
    <w:p w14:paraId="1F466E75" w14:textId="617BE122" w:rsidR="00490B5D" w:rsidRDefault="00490B5D" w:rsidP="00490B5D">
      <w:pPr>
        <w:pStyle w:val="ListParagraph"/>
        <w:numPr>
          <w:ilvl w:val="0"/>
          <w:numId w:val="12"/>
        </w:numPr>
        <w:spacing w:line="360" w:lineRule="auto"/>
        <w:rPr>
          <w:rFonts w:ascii="Arial" w:hAnsi="Arial" w:cs="Arial"/>
          <w:sz w:val="24"/>
          <w:szCs w:val="24"/>
        </w:rPr>
      </w:pPr>
      <w:r w:rsidRPr="005254E4">
        <w:rPr>
          <w:rFonts w:ascii="Arial" w:hAnsi="Arial" w:cs="Arial"/>
          <w:sz w:val="24"/>
          <w:szCs w:val="24"/>
        </w:rPr>
        <w:t xml:space="preserve">Khatter, A. (2023) ‘Challenges and solutions for environmental sustainability in the hospitality sector’, </w:t>
      </w:r>
      <w:r w:rsidRPr="005254E4">
        <w:rPr>
          <w:rFonts w:ascii="Arial" w:hAnsi="Arial" w:cs="Arial"/>
          <w:i/>
          <w:iCs/>
          <w:sz w:val="24"/>
          <w:szCs w:val="24"/>
        </w:rPr>
        <w:t>Sustainability</w:t>
      </w:r>
      <w:r w:rsidRPr="005254E4">
        <w:rPr>
          <w:rFonts w:ascii="Arial" w:hAnsi="Arial" w:cs="Arial"/>
          <w:sz w:val="24"/>
          <w:szCs w:val="24"/>
        </w:rPr>
        <w:t xml:space="preserve">, 15(15), article 11491. Available at: </w:t>
      </w:r>
      <w:hyperlink r:id="rId21" w:tgtFrame="_new" w:history="1">
        <w:r w:rsidRPr="005254E4">
          <w:rPr>
            <w:rStyle w:val="Hyperlink"/>
            <w:rFonts w:ascii="Arial" w:hAnsi="Arial" w:cs="Arial"/>
            <w:sz w:val="24"/>
            <w:szCs w:val="24"/>
          </w:rPr>
          <w:t>https://doi.org/10.3390/su151511491</w:t>
        </w:r>
      </w:hyperlink>
      <w:r w:rsidRPr="005254E4">
        <w:rPr>
          <w:rFonts w:ascii="Arial" w:hAnsi="Arial" w:cs="Arial"/>
          <w:sz w:val="24"/>
          <w:szCs w:val="24"/>
        </w:rPr>
        <w:t xml:space="preserve"> (Accessed: </w:t>
      </w:r>
      <w:r w:rsidR="00F55DFE">
        <w:rPr>
          <w:rFonts w:ascii="Arial" w:hAnsi="Arial" w:cs="Arial"/>
          <w:sz w:val="24"/>
          <w:szCs w:val="24"/>
        </w:rPr>
        <w:t>29 January</w:t>
      </w:r>
      <w:r w:rsidRPr="005254E4">
        <w:rPr>
          <w:rFonts w:ascii="Arial" w:hAnsi="Arial" w:cs="Arial"/>
          <w:sz w:val="24"/>
          <w:szCs w:val="24"/>
        </w:rPr>
        <w:t xml:space="preserve"> 2026)</w:t>
      </w:r>
    </w:p>
    <w:p w14:paraId="1E76E99F" w14:textId="7D2A0B53" w:rsidR="00852FF8" w:rsidRDefault="00852FF8" w:rsidP="00490B5D">
      <w:pPr>
        <w:pStyle w:val="ListParagraph"/>
        <w:numPr>
          <w:ilvl w:val="0"/>
          <w:numId w:val="12"/>
        </w:numPr>
        <w:spacing w:line="360" w:lineRule="auto"/>
        <w:rPr>
          <w:rFonts w:ascii="Arial" w:hAnsi="Arial" w:cs="Arial"/>
          <w:sz w:val="24"/>
          <w:szCs w:val="24"/>
        </w:rPr>
      </w:pPr>
      <w:r w:rsidRPr="00852FF8">
        <w:rPr>
          <w:rFonts w:ascii="Arial" w:hAnsi="Arial" w:cs="Arial"/>
          <w:sz w:val="24"/>
          <w:szCs w:val="24"/>
        </w:rPr>
        <w:t xml:space="preserve">Lee, H.H. (2023) ‘Food waste and environmental sustainability of the hotel industry in Taiwan’, </w:t>
      </w:r>
      <w:r w:rsidRPr="00852FF8">
        <w:rPr>
          <w:rFonts w:ascii="Arial" w:hAnsi="Arial" w:cs="Arial"/>
          <w:i/>
          <w:iCs/>
          <w:sz w:val="24"/>
          <w:szCs w:val="24"/>
        </w:rPr>
        <w:t>Sustainability</w:t>
      </w:r>
      <w:r w:rsidRPr="00852FF8">
        <w:rPr>
          <w:rFonts w:ascii="Arial" w:hAnsi="Arial" w:cs="Arial"/>
          <w:sz w:val="24"/>
          <w:szCs w:val="24"/>
        </w:rPr>
        <w:t xml:space="preserve">, 15(21), article 15459. Available at: </w:t>
      </w:r>
      <w:hyperlink r:id="rId22" w:tgtFrame="_new" w:history="1">
        <w:r w:rsidRPr="00852FF8">
          <w:rPr>
            <w:rStyle w:val="Hyperlink"/>
            <w:rFonts w:ascii="Arial" w:hAnsi="Arial" w:cs="Arial"/>
            <w:sz w:val="24"/>
            <w:szCs w:val="24"/>
          </w:rPr>
          <w:t>https://www.mdpi.com/2071-1050/15/21/15459</w:t>
        </w:r>
      </w:hyperlink>
      <w:r w:rsidRPr="00852FF8">
        <w:rPr>
          <w:rFonts w:ascii="Arial" w:hAnsi="Arial" w:cs="Arial"/>
          <w:sz w:val="24"/>
          <w:szCs w:val="24"/>
        </w:rPr>
        <w:t xml:space="preserve"> (Accessed: </w:t>
      </w:r>
      <w:r w:rsidR="00F55DFE">
        <w:rPr>
          <w:rFonts w:ascii="Arial" w:hAnsi="Arial" w:cs="Arial"/>
          <w:sz w:val="24"/>
          <w:szCs w:val="24"/>
        </w:rPr>
        <w:t>2</w:t>
      </w:r>
      <w:r w:rsidRPr="00852FF8">
        <w:rPr>
          <w:rFonts w:ascii="Arial" w:hAnsi="Arial" w:cs="Arial"/>
          <w:sz w:val="24"/>
          <w:szCs w:val="24"/>
        </w:rPr>
        <w:t xml:space="preserve"> February 2026).</w:t>
      </w:r>
    </w:p>
    <w:p w14:paraId="53EC9484" w14:textId="66BA9CCA" w:rsidR="00007F29" w:rsidRDefault="00007F29" w:rsidP="00490B5D">
      <w:pPr>
        <w:pStyle w:val="ListParagraph"/>
        <w:numPr>
          <w:ilvl w:val="0"/>
          <w:numId w:val="12"/>
        </w:numPr>
        <w:spacing w:line="360" w:lineRule="auto"/>
        <w:rPr>
          <w:rFonts w:ascii="Arial" w:hAnsi="Arial" w:cs="Arial"/>
          <w:sz w:val="24"/>
          <w:szCs w:val="24"/>
        </w:rPr>
      </w:pPr>
      <w:r w:rsidRPr="00007F29">
        <w:rPr>
          <w:rFonts w:ascii="Arial" w:hAnsi="Arial" w:cs="Arial"/>
          <w:sz w:val="24"/>
          <w:szCs w:val="24"/>
        </w:rPr>
        <w:t xml:space="preserve">Mabaso, C. and Hewson, D. (2025) ‘Food waste mitigation strategies in hotel restaurants’, </w:t>
      </w:r>
      <w:r w:rsidRPr="00007F29">
        <w:rPr>
          <w:rFonts w:ascii="Arial" w:hAnsi="Arial" w:cs="Arial"/>
          <w:i/>
          <w:iCs/>
          <w:sz w:val="24"/>
          <w:szCs w:val="24"/>
        </w:rPr>
        <w:t>African Journal of Hospitality, Tourism and Leisure</w:t>
      </w:r>
      <w:r w:rsidRPr="00007F29">
        <w:rPr>
          <w:rFonts w:ascii="Arial" w:hAnsi="Arial" w:cs="Arial"/>
          <w:sz w:val="24"/>
          <w:szCs w:val="24"/>
        </w:rPr>
        <w:t xml:space="preserve">, 14(1), pp. 127–134. Available at: </w:t>
      </w:r>
      <w:hyperlink r:id="rId23" w:tgtFrame="_new" w:history="1">
        <w:r w:rsidRPr="00007F29">
          <w:rPr>
            <w:rStyle w:val="Hyperlink"/>
            <w:rFonts w:ascii="Arial" w:hAnsi="Arial" w:cs="Arial"/>
            <w:sz w:val="24"/>
            <w:szCs w:val="24"/>
          </w:rPr>
          <w:t>https://www.ajhtl.com/uploads/7/1/6/3/7163688/article_13_14_1_127-134.pdf</w:t>
        </w:r>
      </w:hyperlink>
      <w:r w:rsidRPr="00007F29">
        <w:rPr>
          <w:rFonts w:ascii="Arial" w:hAnsi="Arial" w:cs="Arial"/>
          <w:sz w:val="24"/>
          <w:szCs w:val="24"/>
        </w:rPr>
        <w:t xml:space="preserve"> (Accessed: </w:t>
      </w:r>
      <w:r w:rsidR="00F55DFE">
        <w:rPr>
          <w:rFonts w:ascii="Arial" w:hAnsi="Arial" w:cs="Arial"/>
          <w:sz w:val="24"/>
          <w:szCs w:val="24"/>
        </w:rPr>
        <w:t xml:space="preserve">1 </w:t>
      </w:r>
      <w:r w:rsidRPr="00007F29">
        <w:rPr>
          <w:rFonts w:ascii="Arial" w:hAnsi="Arial" w:cs="Arial"/>
          <w:sz w:val="24"/>
          <w:szCs w:val="24"/>
        </w:rPr>
        <w:t>February 2026).</w:t>
      </w:r>
    </w:p>
    <w:p w14:paraId="165E133C" w14:textId="34827EEE" w:rsidR="00F727A4" w:rsidRDefault="00F727A4" w:rsidP="00490B5D">
      <w:pPr>
        <w:pStyle w:val="ListParagraph"/>
        <w:numPr>
          <w:ilvl w:val="0"/>
          <w:numId w:val="12"/>
        </w:numPr>
        <w:spacing w:line="360" w:lineRule="auto"/>
        <w:rPr>
          <w:rFonts w:ascii="Arial" w:hAnsi="Arial" w:cs="Arial"/>
          <w:sz w:val="24"/>
          <w:szCs w:val="24"/>
        </w:rPr>
      </w:pPr>
      <w:proofErr w:type="spellStart"/>
      <w:r w:rsidRPr="00F727A4">
        <w:rPr>
          <w:rFonts w:ascii="Arial" w:hAnsi="Arial" w:cs="Arial"/>
          <w:sz w:val="24"/>
          <w:szCs w:val="24"/>
        </w:rPr>
        <w:t>Matzembacher</w:t>
      </w:r>
      <w:proofErr w:type="spellEnd"/>
      <w:r w:rsidRPr="00F727A4">
        <w:rPr>
          <w:rFonts w:ascii="Arial" w:hAnsi="Arial" w:cs="Arial"/>
          <w:sz w:val="24"/>
          <w:szCs w:val="24"/>
        </w:rPr>
        <w:t xml:space="preserve">, D.E., </w:t>
      </w:r>
      <w:proofErr w:type="spellStart"/>
      <w:r w:rsidRPr="00F727A4">
        <w:rPr>
          <w:rFonts w:ascii="Arial" w:hAnsi="Arial" w:cs="Arial"/>
          <w:sz w:val="24"/>
          <w:szCs w:val="24"/>
        </w:rPr>
        <w:t>Brancoli</w:t>
      </w:r>
      <w:proofErr w:type="spellEnd"/>
      <w:r w:rsidRPr="00F727A4">
        <w:rPr>
          <w:rFonts w:ascii="Arial" w:hAnsi="Arial" w:cs="Arial"/>
          <w:sz w:val="24"/>
          <w:szCs w:val="24"/>
        </w:rPr>
        <w:t xml:space="preserve">, P., Maia, L.M. and Eriksson, M. (2020) ‘Consumer’s food waste in different restaurants configuration: a comparison between different levels of incentive and interaction’, </w:t>
      </w:r>
      <w:r w:rsidRPr="00F727A4">
        <w:rPr>
          <w:rFonts w:ascii="Arial" w:hAnsi="Arial" w:cs="Arial"/>
          <w:i/>
          <w:iCs/>
          <w:sz w:val="24"/>
          <w:szCs w:val="24"/>
        </w:rPr>
        <w:t>Waste Management</w:t>
      </w:r>
      <w:r w:rsidRPr="00F727A4">
        <w:rPr>
          <w:rFonts w:ascii="Arial" w:hAnsi="Arial" w:cs="Arial"/>
          <w:sz w:val="24"/>
          <w:szCs w:val="24"/>
        </w:rPr>
        <w:t xml:space="preserve">, 114, pp. 263–273. Available at: </w:t>
      </w:r>
      <w:hyperlink r:id="rId24" w:tgtFrame="_new" w:history="1">
        <w:r w:rsidRPr="00F727A4">
          <w:rPr>
            <w:rStyle w:val="Hyperlink"/>
            <w:rFonts w:ascii="Arial" w:hAnsi="Arial" w:cs="Arial"/>
            <w:sz w:val="24"/>
            <w:szCs w:val="24"/>
          </w:rPr>
          <w:t>https://doi.org/10.1016/j.wasman.2020.07.014</w:t>
        </w:r>
      </w:hyperlink>
      <w:r w:rsidRPr="00F727A4">
        <w:rPr>
          <w:rFonts w:ascii="Arial" w:hAnsi="Arial" w:cs="Arial"/>
          <w:sz w:val="24"/>
          <w:szCs w:val="24"/>
        </w:rPr>
        <w:t xml:space="preserve"> (Accessed: </w:t>
      </w:r>
      <w:r w:rsidR="00F55DFE">
        <w:rPr>
          <w:rFonts w:ascii="Arial" w:hAnsi="Arial" w:cs="Arial"/>
          <w:sz w:val="24"/>
          <w:szCs w:val="24"/>
        </w:rPr>
        <w:t>3</w:t>
      </w:r>
      <w:r w:rsidRPr="00F727A4">
        <w:rPr>
          <w:rFonts w:ascii="Arial" w:hAnsi="Arial" w:cs="Arial"/>
          <w:sz w:val="24"/>
          <w:szCs w:val="24"/>
        </w:rPr>
        <w:t xml:space="preserve"> February 2026).</w:t>
      </w:r>
    </w:p>
    <w:p w14:paraId="691E3173" w14:textId="3F16A853" w:rsidR="00CB5000" w:rsidRDefault="00CB5000" w:rsidP="00490B5D">
      <w:pPr>
        <w:pStyle w:val="ListParagraph"/>
        <w:numPr>
          <w:ilvl w:val="0"/>
          <w:numId w:val="12"/>
        </w:numPr>
        <w:spacing w:line="360" w:lineRule="auto"/>
        <w:rPr>
          <w:rFonts w:ascii="Arial" w:hAnsi="Arial" w:cs="Arial"/>
          <w:sz w:val="24"/>
          <w:szCs w:val="24"/>
        </w:rPr>
      </w:pPr>
      <w:r w:rsidRPr="00CB5000">
        <w:rPr>
          <w:rFonts w:ascii="Arial" w:hAnsi="Arial" w:cs="Arial"/>
          <w:sz w:val="24"/>
          <w:szCs w:val="24"/>
        </w:rPr>
        <w:lastRenderedPageBreak/>
        <w:t xml:space="preserve">Montesdeoca-Calderón, M.-G., Gil-Saura, I., Ruiz-Molina, M.-E. and Martín-Ríos, C. (2024) ‘Does employee training in sustainable practices and food waste influence a restaurant’s level of sustainability-oriented service innovation (SOSI) and brand equity? Evidence-based research into the Ecuadorian catering industry’, </w:t>
      </w:r>
      <w:r w:rsidRPr="00CB5000">
        <w:rPr>
          <w:rFonts w:ascii="Arial" w:hAnsi="Arial" w:cs="Arial"/>
          <w:i/>
          <w:iCs/>
          <w:sz w:val="24"/>
          <w:szCs w:val="24"/>
        </w:rPr>
        <w:t>Sustainability</w:t>
      </w:r>
      <w:r w:rsidRPr="00CB5000">
        <w:rPr>
          <w:rFonts w:ascii="Arial" w:hAnsi="Arial" w:cs="Arial"/>
          <w:sz w:val="24"/>
          <w:szCs w:val="24"/>
        </w:rPr>
        <w:t xml:space="preserve">, 16(22), article 9990. Available at: </w:t>
      </w:r>
      <w:hyperlink r:id="rId25" w:tgtFrame="_new" w:history="1">
        <w:r w:rsidRPr="00CB5000">
          <w:rPr>
            <w:rStyle w:val="Hyperlink"/>
            <w:rFonts w:ascii="Arial" w:hAnsi="Arial" w:cs="Arial"/>
            <w:sz w:val="24"/>
            <w:szCs w:val="24"/>
          </w:rPr>
          <w:t>https://www.mdpi.com/2071-1050/16/22/9990</w:t>
        </w:r>
      </w:hyperlink>
      <w:r w:rsidRPr="00CB5000">
        <w:rPr>
          <w:rFonts w:ascii="Arial" w:hAnsi="Arial" w:cs="Arial"/>
          <w:sz w:val="24"/>
          <w:szCs w:val="24"/>
        </w:rPr>
        <w:t xml:space="preserve"> (Accessed: </w:t>
      </w:r>
      <w:r w:rsidR="00F55DFE">
        <w:rPr>
          <w:rFonts w:ascii="Arial" w:hAnsi="Arial" w:cs="Arial"/>
          <w:sz w:val="24"/>
          <w:szCs w:val="24"/>
        </w:rPr>
        <w:t>5</w:t>
      </w:r>
      <w:r w:rsidRPr="00CB5000">
        <w:rPr>
          <w:rFonts w:ascii="Arial" w:hAnsi="Arial" w:cs="Arial"/>
          <w:sz w:val="24"/>
          <w:szCs w:val="24"/>
        </w:rPr>
        <w:t xml:space="preserve"> February 2026).</w:t>
      </w:r>
    </w:p>
    <w:p w14:paraId="24045976" w14:textId="792E3A23" w:rsidR="006059D0" w:rsidRPr="00490B5D" w:rsidRDefault="006059D0" w:rsidP="00490B5D">
      <w:pPr>
        <w:pStyle w:val="ListParagraph"/>
        <w:numPr>
          <w:ilvl w:val="0"/>
          <w:numId w:val="12"/>
        </w:numPr>
        <w:spacing w:line="360" w:lineRule="auto"/>
        <w:rPr>
          <w:rFonts w:ascii="Arial" w:hAnsi="Arial" w:cs="Arial"/>
          <w:sz w:val="24"/>
          <w:szCs w:val="24"/>
        </w:rPr>
      </w:pPr>
      <w:r w:rsidRPr="006059D0">
        <w:rPr>
          <w:rFonts w:ascii="Arial" w:hAnsi="Arial" w:cs="Arial"/>
          <w:sz w:val="24"/>
          <w:szCs w:val="24"/>
        </w:rPr>
        <w:t>Organisation for Economic Co-operation and Development (OECD) (2021)</w:t>
      </w:r>
      <w:r w:rsidRPr="006059D0">
        <w:rPr>
          <w:rFonts w:ascii="Arial" w:hAnsi="Arial" w:cs="Arial"/>
          <w:sz w:val="24"/>
          <w:szCs w:val="24"/>
        </w:rPr>
        <w:br/>
      </w:r>
      <w:r w:rsidRPr="006059D0">
        <w:rPr>
          <w:rFonts w:ascii="Arial" w:hAnsi="Arial" w:cs="Arial"/>
          <w:i/>
          <w:iCs/>
          <w:sz w:val="24"/>
          <w:szCs w:val="24"/>
        </w:rPr>
        <w:t>Global material resources outlook to 2060: economic drivers and environmental consequences</w:t>
      </w:r>
      <w:r w:rsidRPr="006059D0">
        <w:rPr>
          <w:rFonts w:ascii="Arial" w:hAnsi="Arial" w:cs="Arial"/>
          <w:sz w:val="24"/>
          <w:szCs w:val="24"/>
        </w:rPr>
        <w:t>. Paris: OECD Publishing.</w:t>
      </w:r>
      <w:r w:rsidRPr="006059D0">
        <w:rPr>
          <w:rFonts w:ascii="Arial" w:hAnsi="Arial" w:cs="Arial"/>
          <w:sz w:val="24"/>
          <w:szCs w:val="24"/>
        </w:rPr>
        <w:br/>
        <w:t>Available</w:t>
      </w:r>
      <w:r w:rsidR="00AD524A">
        <w:rPr>
          <w:rFonts w:ascii="Arial" w:hAnsi="Arial" w:cs="Arial"/>
          <w:sz w:val="24"/>
          <w:szCs w:val="24"/>
        </w:rPr>
        <w:t xml:space="preserve"> </w:t>
      </w:r>
      <w:r w:rsidRPr="006059D0">
        <w:rPr>
          <w:rFonts w:ascii="Arial" w:hAnsi="Arial" w:cs="Arial"/>
          <w:sz w:val="24"/>
          <w:szCs w:val="24"/>
        </w:rPr>
        <w:t>at</w:t>
      </w:r>
      <w:r w:rsidR="00AD524A">
        <w:t>:</w:t>
      </w:r>
      <w:hyperlink r:id="rId26" w:history="1">
        <w:r w:rsidR="00AD524A" w:rsidRPr="00FA17B6">
          <w:rPr>
            <w:rStyle w:val="Hyperlink"/>
            <w:rFonts w:ascii="Arial" w:hAnsi="Arial" w:cs="Arial"/>
            <w:sz w:val="24"/>
            <w:szCs w:val="24"/>
          </w:rPr>
          <w:t>https://www.oecd.org/content/dam/oecd/en/publications/reports/2019/02/global-material-resources-outlook-to-2060_g1g98d7d/9789264307452-en.pdf</w:t>
        </w:r>
      </w:hyperlink>
      <w:r w:rsidR="00024030">
        <w:rPr>
          <w:rFonts w:ascii="Arial" w:hAnsi="Arial" w:cs="Arial"/>
          <w:sz w:val="24"/>
          <w:szCs w:val="24"/>
        </w:rPr>
        <w:t xml:space="preserve"> </w:t>
      </w:r>
      <w:r>
        <w:rPr>
          <w:rFonts w:ascii="Arial" w:hAnsi="Arial" w:cs="Arial"/>
          <w:sz w:val="24"/>
          <w:szCs w:val="24"/>
        </w:rPr>
        <w:t xml:space="preserve"> </w:t>
      </w:r>
      <w:r w:rsidRPr="006059D0">
        <w:rPr>
          <w:rFonts w:ascii="Arial" w:hAnsi="Arial" w:cs="Arial"/>
          <w:sz w:val="24"/>
          <w:szCs w:val="24"/>
        </w:rPr>
        <w:t>(Accessed: 4 February 2026).</w:t>
      </w:r>
    </w:p>
    <w:p w14:paraId="7E1B63FC" w14:textId="77777777" w:rsidR="000C5F3E" w:rsidRDefault="000C5F3E" w:rsidP="005254E4">
      <w:pPr>
        <w:pStyle w:val="ListParagraph"/>
        <w:numPr>
          <w:ilvl w:val="0"/>
          <w:numId w:val="12"/>
        </w:numPr>
        <w:spacing w:line="360" w:lineRule="auto"/>
        <w:rPr>
          <w:rFonts w:ascii="Arial" w:hAnsi="Arial" w:cs="Arial"/>
          <w:sz w:val="24"/>
          <w:szCs w:val="24"/>
        </w:rPr>
      </w:pPr>
      <w:proofErr w:type="spellStart"/>
      <w:r w:rsidRPr="000C5F3E">
        <w:rPr>
          <w:rFonts w:ascii="Arial" w:hAnsi="Arial" w:cs="Arial"/>
          <w:sz w:val="24"/>
          <w:szCs w:val="24"/>
        </w:rPr>
        <w:t>Papargyropoulou</w:t>
      </w:r>
      <w:proofErr w:type="spellEnd"/>
      <w:r w:rsidRPr="000C5F3E">
        <w:rPr>
          <w:rFonts w:ascii="Arial" w:hAnsi="Arial" w:cs="Arial"/>
          <w:sz w:val="24"/>
          <w:szCs w:val="24"/>
        </w:rPr>
        <w:t>, E., Lozano, R., Steinberger, J.K., Wright, N. and Ujang, Z. (2014)</w:t>
      </w:r>
      <w:r w:rsidRPr="000C5F3E">
        <w:rPr>
          <w:rFonts w:ascii="Arial" w:hAnsi="Arial" w:cs="Arial"/>
          <w:sz w:val="24"/>
          <w:szCs w:val="24"/>
        </w:rPr>
        <w:br/>
        <w:t xml:space="preserve">‘The food waste hierarchy as a framework for the management of food surplus and food waste’, </w:t>
      </w:r>
      <w:r w:rsidRPr="000C5F3E">
        <w:rPr>
          <w:rFonts w:ascii="Arial" w:hAnsi="Arial" w:cs="Arial"/>
          <w:i/>
          <w:iCs/>
          <w:sz w:val="24"/>
          <w:szCs w:val="24"/>
        </w:rPr>
        <w:t>Journal of Cleaner Production</w:t>
      </w:r>
      <w:r w:rsidRPr="000C5F3E">
        <w:rPr>
          <w:rFonts w:ascii="Arial" w:hAnsi="Arial" w:cs="Arial"/>
          <w:sz w:val="24"/>
          <w:szCs w:val="24"/>
        </w:rPr>
        <w:t xml:space="preserve">, 76, pp. 106–115. Available at: </w:t>
      </w:r>
      <w:hyperlink r:id="rId27" w:tgtFrame="_new" w:history="1">
        <w:r w:rsidRPr="000C5F3E">
          <w:rPr>
            <w:rStyle w:val="Hyperlink"/>
            <w:rFonts w:ascii="Arial" w:hAnsi="Arial" w:cs="Arial"/>
            <w:sz w:val="24"/>
            <w:szCs w:val="24"/>
          </w:rPr>
          <w:t>https://doi.org/10.1016/j.jclepro.2014.04.020</w:t>
        </w:r>
      </w:hyperlink>
      <w:r w:rsidRPr="000C5F3E">
        <w:rPr>
          <w:rFonts w:ascii="Arial" w:hAnsi="Arial" w:cs="Arial"/>
          <w:sz w:val="24"/>
          <w:szCs w:val="24"/>
        </w:rPr>
        <w:t xml:space="preserve"> (Accessed: 4 February 2026).</w:t>
      </w:r>
    </w:p>
    <w:p w14:paraId="1CE19575" w14:textId="4BCE7431" w:rsidR="001D6200" w:rsidRDefault="001D6200" w:rsidP="005254E4">
      <w:pPr>
        <w:pStyle w:val="ListParagraph"/>
        <w:numPr>
          <w:ilvl w:val="0"/>
          <w:numId w:val="12"/>
        </w:numPr>
        <w:spacing w:line="360" w:lineRule="auto"/>
        <w:rPr>
          <w:rFonts w:ascii="Arial" w:hAnsi="Arial" w:cs="Arial"/>
          <w:sz w:val="24"/>
          <w:szCs w:val="24"/>
        </w:rPr>
      </w:pPr>
      <w:r w:rsidRPr="001D6200">
        <w:rPr>
          <w:rFonts w:ascii="Arial" w:hAnsi="Arial" w:cs="Arial"/>
          <w:sz w:val="24"/>
          <w:szCs w:val="24"/>
        </w:rPr>
        <w:t xml:space="preserve">Pirani, S.I. and Arafat, H.A. (2016) ‘Solid waste management in the hospitality industry: A review’, </w:t>
      </w:r>
      <w:r w:rsidRPr="001D6200">
        <w:rPr>
          <w:rFonts w:ascii="Arial" w:hAnsi="Arial" w:cs="Arial"/>
          <w:i/>
          <w:iCs/>
          <w:sz w:val="24"/>
          <w:szCs w:val="24"/>
        </w:rPr>
        <w:t>Journal of Environmental Management</w:t>
      </w:r>
      <w:r w:rsidRPr="001D6200">
        <w:rPr>
          <w:rFonts w:ascii="Arial" w:hAnsi="Arial" w:cs="Arial"/>
          <w:sz w:val="24"/>
          <w:szCs w:val="24"/>
        </w:rPr>
        <w:t xml:space="preserve">, 146, pp. 320–336. Available at: </w:t>
      </w:r>
      <w:hyperlink r:id="rId28" w:history="1">
        <w:r w:rsidRPr="00D162C4">
          <w:rPr>
            <w:rStyle w:val="Hyperlink"/>
            <w:rFonts w:ascii="Arial" w:hAnsi="Arial" w:cs="Arial"/>
            <w:sz w:val="24"/>
            <w:szCs w:val="24"/>
          </w:rPr>
          <w:t>https://doi.org/10.1016/j.jenvman.2014.07.038</w:t>
        </w:r>
      </w:hyperlink>
      <w:r>
        <w:rPr>
          <w:rFonts w:ascii="Arial" w:hAnsi="Arial" w:cs="Arial"/>
          <w:sz w:val="24"/>
          <w:szCs w:val="24"/>
        </w:rPr>
        <w:t xml:space="preserve"> </w:t>
      </w:r>
      <w:r w:rsidRPr="001D6200">
        <w:rPr>
          <w:rFonts w:ascii="Arial" w:hAnsi="Arial" w:cs="Arial"/>
          <w:sz w:val="24"/>
          <w:szCs w:val="24"/>
        </w:rPr>
        <w:t xml:space="preserve"> (Accessed: </w:t>
      </w:r>
      <w:r w:rsidR="00F55DFE">
        <w:rPr>
          <w:rFonts w:ascii="Arial" w:hAnsi="Arial" w:cs="Arial"/>
          <w:sz w:val="24"/>
          <w:szCs w:val="24"/>
        </w:rPr>
        <w:t>3</w:t>
      </w:r>
      <w:r w:rsidRPr="001D6200">
        <w:rPr>
          <w:rFonts w:ascii="Arial" w:hAnsi="Arial" w:cs="Arial"/>
          <w:sz w:val="24"/>
          <w:szCs w:val="24"/>
        </w:rPr>
        <w:t xml:space="preserve"> February 2026).</w:t>
      </w:r>
    </w:p>
    <w:p w14:paraId="62E7F4B5" w14:textId="6D110B29" w:rsidR="001131DA" w:rsidRDefault="001131DA" w:rsidP="005254E4">
      <w:pPr>
        <w:pStyle w:val="ListParagraph"/>
        <w:numPr>
          <w:ilvl w:val="0"/>
          <w:numId w:val="12"/>
        </w:numPr>
        <w:spacing w:line="360" w:lineRule="auto"/>
        <w:rPr>
          <w:rFonts w:ascii="Arial" w:hAnsi="Arial" w:cs="Arial"/>
          <w:sz w:val="24"/>
          <w:szCs w:val="24"/>
        </w:rPr>
      </w:pPr>
      <w:r w:rsidRPr="001131DA">
        <w:rPr>
          <w:rFonts w:ascii="Arial" w:hAnsi="Arial" w:cs="Arial"/>
          <w:sz w:val="24"/>
          <w:szCs w:val="24"/>
        </w:rPr>
        <w:t xml:space="preserve">Principato, L., Pratesi, C.A. and Secondi, L. (2018) ‘Towards zero waste: An exploratory study on restaurant managers’, </w:t>
      </w:r>
      <w:r w:rsidRPr="001131DA">
        <w:rPr>
          <w:rFonts w:ascii="Arial" w:hAnsi="Arial" w:cs="Arial"/>
          <w:i/>
          <w:iCs/>
          <w:sz w:val="24"/>
          <w:szCs w:val="24"/>
        </w:rPr>
        <w:t>International Journal of Hospitality Management</w:t>
      </w:r>
      <w:r w:rsidRPr="001131DA">
        <w:rPr>
          <w:rFonts w:ascii="Arial" w:hAnsi="Arial" w:cs="Arial"/>
          <w:sz w:val="24"/>
          <w:szCs w:val="24"/>
        </w:rPr>
        <w:t xml:space="preserve">, 67, pp. 130–138. Available at: </w:t>
      </w:r>
      <w:hyperlink r:id="rId29" w:tgtFrame="_new" w:history="1">
        <w:r w:rsidRPr="001131DA">
          <w:rPr>
            <w:rStyle w:val="Hyperlink"/>
            <w:rFonts w:ascii="Arial" w:hAnsi="Arial" w:cs="Arial"/>
            <w:sz w:val="24"/>
            <w:szCs w:val="24"/>
          </w:rPr>
          <w:t>https://dspace.unitus.it/bitstream/2067/47604/1/Manuscript_IJHM_accepted%20version.pdf</w:t>
        </w:r>
      </w:hyperlink>
      <w:r w:rsidRPr="001131DA">
        <w:rPr>
          <w:rFonts w:ascii="Arial" w:hAnsi="Arial" w:cs="Arial"/>
          <w:sz w:val="24"/>
          <w:szCs w:val="24"/>
        </w:rPr>
        <w:t xml:space="preserve"> (Accessed: </w:t>
      </w:r>
      <w:r w:rsidR="00F55DFE">
        <w:rPr>
          <w:rFonts w:ascii="Arial" w:hAnsi="Arial" w:cs="Arial"/>
          <w:sz w:val="24"/>
          <w:szCs w:val="24"/>
        </w:rPr>
        <w:t>1</w:t>
      </w:r>
      <w:r w:rsidRPr="001131DA">
        <w:rPr>
          <w:rFonts w:ascii="Arial" w:hAnsi="Arial" w:cs="Arial"/>
          <w:sz w:val="24"/>
          <w:szCs w:val="24"/>
        </w:rPr>
        <w:t xml:space="preserve"> February 2026).</w:t>
      </w:r>
    </w:p>
    <w:p w14:paraId="21B9247C" w14:textId="356B202D" w:rsidR="00E1447C" w:rsidRDefault="00F727A4" w:rsidP="00E1447C">
      <w:pPr>
        <w:pStyle w:val="ListParagraph"/>
        <w:numPr>
          <w:ilvl w:val="0"/>
          <w:numId w:val="12"/>
        </w:numPr>
        <w:spacing w:line="360" w:lineRule="auto"/>
        <w:rPr>
          <w:rFonts w:ascii="Arial" w:hAnsi="Arial" w:cs="Arial"/>
          <w:sz w:val="24"/>
          <w:szCs w:val="24"/>
        </w:rPr>
      </w:pPr>
      <w:r w:rsidRPr="00F727A4">
        <w:rPr>
          <w:rFonts w:ascii="Arial" w:hAnsi="Arial" w:cs="Arial"/>
          <w:sz w:val="24"/>
          <w:szCs w:val="24"/>
        </w:rPr>
        <w:t xml:space="preserve">Puga-Gonzalez, I., Lima, L.L., Antosz, P., </w:t>
      </w:r>
      <w:proofErr w:type="spellStart"/>
      <w:r w:rsidRPr="00F727A4">
        <w:rPr>
          <w:rFonts w:ascii="Arial" w:hAnsi="Arial" w:cs="Arial"/>
          <w:sz w:val="24"/>
          <w:szCs w:val="24"/>
        </w:rPr>
        <w:t>Carrella</w:t>
      </w:r>
      <w:proofErr w:type="spellEnd"/>
      <w:r w:rsidRPr="00F727A4">
        <w:rPr>
          <w:rFonts w:ascii="Arial" w:hAnsi="Arial" w:cs="Arial"/>
          <w:sz w:val="24"/>
          <w:szCs w:val="24"/>
        </w:rPr>
        <w:t xml:space="preserve">, E., Iori, E., </w:t>
      </w:r>
      <w:proofErr w:type="spellStart"/>
      <w:r w:rsidRPr="00F727A4">
        <w:rPr>
          <w:rFonts w:ascii="Arial" w:hAnsi="Arial" w:cs="Arial"/>
          <w:sz w:val="24"/>
          <w:szCs w:val="24"/>
        </w:rPr>
        <w:t>Rettore</w:t>
      </w:r>
      <w:proofErr w:type="spellEnd"/>
      <w:r w:rsidRPr="00F727A4">
        <w:rPr>
          <w:rFonts w:ascii="Arial" w:hAnsi="Arial" w:cs="Arial"/>
          <w:sz w:val="24"/>
          <w:szCs w:val="24"/>
        </w:rPr>
        <w:t xml:space="preserve">, C., Rousseau, M.G., Shults, F.L. and </w:t>
      </w:r>
      <w:proofErr w:type="spellStart"/>
      <w:r w:rsidRPr="00F727A4">
        <w:rPr>
          <w:rFonts w:ascii="Arial" w:hAnsi="Arial" w:cs="Arial"/>
          <w:sz w:val="24"/>
          <w:szCs w:val="24"/>
        </w:rPr>
        <w:t>Vittuari</w:t>
      </w:r>
      <w:proofErr w:type="spellEnd"/>
      <w:r w:rsidRPr="00F727A4">
        <w:rPr>
          <w:rFonts w:ascii="Arial" w:hAnsi="Arial" w:cs="Arial"/>
          <w:sz w:val="24"/>
          <w:szCs w:val="24"/>
        </w:rPr>
        <w:t xml:space="preserve">, M. (2025) ‘To eat or not to eat: </w:t>
      </w:r>
      <w:proofErr w:type="spellStart"/>
      <w:r w:rsidRPr="00F727A4">
        <w:rPr>
          <w:rFonts w:ascii="Arial" w:hAnsi="Arial" w:cs="Arial"/>
          <w:sz w:val="24"/>
          <w:szCs w:val="24"/>
        </w:rPr>
        <w:t>modeling</w:t>
      </w:r>
      <w:proofErr w:type="spellEnd"/>
      <w:r w:rsidRPr="00F727A4">
        <w:rPr>
          <w:rFonts w:ascii="Arial" w:hAnsi="Arial" w:cs="Arial"/>
          <w:sz w:val="24"/>
          <w:szCs w:val="24"/>
        </w:rPr>
        <w:t xml:space="preserve"> food waste </w:t>
      </w:r>
      <w:proofErr w:type="spellStart"/>
      <w:r w:rsidRPr="00F727A4">
        <w:rPr>
          <w:rFonts w:ascii="Arial" w:hAnsi="Arial" w:cs="Arial"/>
          <w:sz w:val="24"/>
          <w:szCs w:val="24"/>
        </w:rPr>
        <w:t>behavior</w:t>
      </w:r>
      <w:proofErr w:type="spellEnd"/>
      <w:r w:rsidRPr="00F727A4">
        <w:rPr>
          <w:rFonts w:ascii="Arial" w:hAnsi="Arial" w:cs="Arial"/>
          <w:sz w:val="24"/>
          <w:szCs w:val="24"/>
        </w:rPr>
        <w:t xml:space="preserve"> at a hotel breakfast buffet’, </w:t>
      </w:r>
      <w:r w:rsidRPr="00F727A4">
        <w:rPr>
          <w:rFonts w:ascii="Arial" w:hAnsi="Arial" w:cs="Arial"/>
          <w:i/>
          <w:iCs/>
          <w:sz w:val="24"/>
          <w:szCs w:val="24"/>
        </w:rPr>
        <w:t>Cleaner and Responsible Consumption</w:t>
      </w:r>
      <w:r w:rsidRPr="00F727A4">
        <w:rPr>
          <w:rFonts w:ascii="Arial" w:hAnsi="Arial" w:cs="Arial"/>
          <w:sz w:val="24"/>
          <w:szCs w:val="24"/>
        </w:rPr>
        <w:t xml:space="preserve">, 19, article 100333. Available at: </w:t>
      </w:r>
      <w:hyperlink r:id="rId30" w:history="1">
        <w:r w:rsidRPr="00D162C4">
          <w:rPr>
            <w:rStyle w:val="Hyperlink"/>
            <w:rFonts w:ascii="Arial" w:hAnsi="Arial" w:cs="Arial"/>
            <w:sz w:val="24"/>
            <w:szCs w:val="24"/>
          </w:rPr>
          <w:t>https://doi.org/10.1016/j.clrc.2025.100333</w:t>
        </w:r>
      </w:hyperlink>
      <w:r>
        <w:rPr>
          <w:rFonts w:ascii="Arial" w:hAnsi="Arial" w:cs="Arial"/>
          <w:sz w:val="24"/>
          <w:szCs w:val="24"/>
        </w:rPr>
        <w:t xml:space="preserve"> </w:t>
      </w:r>
      <w:r w:rsidRPr="00F727A4">
        <w:rPr>
          <w:rFonts w:ascii="Arial" w:hAnsi="Arial" w:cs="Arial"/>
          <w:sz w:val="24"/>
          <w:szCs w:val="24"/>
        </w:rPr>
        <w:t xml:space="preserve"> (Accessed: </w:t>
      </w:r>
      <w:r w:rsidR="00F55DFE">
        <w:rPr>
          <w:rFonts w:ascii="Arial" w:hAnsi="Arial" w:cs="Arial"/>
          <w:sz w:val="24"/>
          <w:szCs w:val="24"/>
        </w:rPr>
        <w:t>2</w:t>
      </w:r>
      <w:r w:rsidRPr="00F727A4">
        <w:rPr>
          <w:rFonts w:ascii="Arial" w:hAnsi="Arial" w:cs="Arial"/>
          <w:sz w:val="24"/>
          <w:szCs w:val="24"/>
        </w:rPr>
        <w:t xml:space="preserve"> February 2026).</w:t>
      </w:r>
    </w:p>
    <w:p w14:paraId="017027C7" w14:textId="3D7C2947" w:rsidR="00E1447C" w:rsidRDefault="00E1447C" w:rsidP="00E1447C">
      <w:pPr>
        <w:pStyle w:val="ListParagraph"/>
        <w:numPr>
          <w:ilvl w:val="0"/>
          <w:numId w:val="12"/>
        </w:numPr>
        <w:spacing w:line="360" w:lineRule="auto"/>
        <w:rPr>
          <w:rFonts w:ascii="Arial" w:hAnsi="Arial" w:cs="Arial"/>
          <w:sz w:val="24"/>
          <w:szCs w:val="24"/>
        </w:rPr>
      </w:pPr>
      <w:proofErr w:type="spellStart"/>
      <w:r w:rsidRPr="00E1447C">
        <w:rPr>
          <w:rFonts w:ascii="Arial" w:hAnsi="Arial" w:cs="Arial"/>
          <w:sz w:val="24"/>
          <w:szCs w:val="24"/>
        </w:rPr>
        <w:lastRenderedPageBreak/>
        <w:t>Skordoulis</w:t>
      </w:r>
      <w:proofErr w:type="spellEnd"/>
      <w:r w:rsidRPr="00E1447C">
        <w:rPr>
          <w:rFonts w:ascii="Arial" w:hAnsi="Arial" w:cs="Arial"/>
          <w:sz w:val="24"/>
          <w:szCs w:val="24"/>
        </w:rPr>
        <w:t xml:space="preserve">, M., Stavropoulos, A.-S., </w:t>
      </w:r>
      <w:proofErr w:type="spellStart"/>
      <w:r w:rsidRPr="00E1447C">
        <w:rPr>
          <w:rFonts w:ascii="Arial" w:hAnsi="Arial" w:cs="Arial"/>
          <w:sz w:val="24"/>
          <w:szCs w:val="24"/>
        </w:rPr>
        <w:t>Papagrigoriou</w:t>
      </w:r>
      <w:proofErr w:type="spellEnd"/>
      <w:r w:rsidRPr="00E1447C">
        <w:rPr>
          <w:rFonts w:ascii="Arial" w:hAnsi="Arial" w:cs="Arial"/>
          <w:sz w:val="24"/>
          <w:szCs w:val="24"/>
        </w:rPr>
        <w:t xml:space="preserve">, A. and </w:t>
      </w:r>
      <w:proofErr w:type="spellStart"/>
      <w:r w:rsidRPr="00E1447C">
        <w:rPr>
          <w:rFonts w:ascii="Arial" w:hAnsi="Arial" w:cs="Arial"/>
          <w:sz w:val="24"/>
          <w:szCs w:val="24"/>
        </w:rPr>
        <w:t>Kalantonis</w:t>
      </w:r>
      <w:proofErr w:type="spellEnd"/>
      <w:r w:rsidRPr="00E1447C">
        <w:rPr>
          <w:rFonts w:ascii="Arial" w:hAnsi="Arial" w:cs="Arial"/>
          <w:sz w:val="24"/>
          <w:szCs w:val="24"/>
        </w:rPr>
        <w:t xml:space="preserve">, P. (2024) ‘The strategic impact of service quality and environmental sustainability on financial performance: a case study of five-star hotels in Athens’, </w:t>
      </w:r>
      <w:r w:rsidRPr="00E1447C">
        <w:rPr>
          <w:rFonts w:ascii="Arial" w:hAnsi="Arial" w:cs="Arial"/>
          <w:i/>
          <w:iCs/>
          <w:sz w:val="24"/>
          <w:szCs w:val="24"/>
        </w:rPr>
        <w:t>Journal of Risk and Financial Management</w:t>
      </w:r>
      <w:r w:rsidRPr="00E1447C">
        <w:rPr>
          <w:rFonts w:ascii="Arial" w:hAnsi="Arial" w:cs="Arial"/>
          <w:sz w:val="24"/>
          <w:szCs w:val="24"/>
        </w:rPr>
        <w:t xml:space="preserve">, 17(10), article 473. Available at: </w:t>
      </w:r>
      <w:hyperlink r:id="rId31" w:tgtFrame="_new" w:history="1">
        <w:r w:rsidRPr="00E1447C">
          <w:rPr>
            <w:rStyle w:val="Hyperlink"/>
            <w:rFonts w:ascii="Arial" w:hAnsi="Arial" w:cs="Arial"/>
            <w:sz w:val="24"/>
            <w:szCs w:val="24"/>
          </w:rPr>
          <w:t>https://doi.org/10.3390/jrfm17100473</w:t>
        </w:r>
      </w:hyperlink>
      <w:r w:rsidRPr="00E1447C">
        <w:rPr>
          <w:rFonts w:ascii="Arial" w:hAnsi="Arial" w:cs="Arial"/>
          <w:sz w:val="24"/>
          <w:szCs w:val="24"/>
        </w:rPr>
        <w:t xml:space="preserve"> (Accessed: </w:t>
      </w:r>
      <w:r w:rsidR="00F55DFE">
        <w:rPr>
          <w:rFonts w:ascii="Arial" w:hAnsi="Arial" w:cs="Arial"/>
          <w:sz w:val="24"/>
          <w:szCs w:val="24"/>
        </w:rPr>
        <w:t>1</w:t>
      </w:r>
      <w:r w:rsidRPr="00E1447C">
        <w:rPr>
          <w:rFonts w:ascii="Arial" w:hAnsi="Arial" w:cs="Arial"/>
          <w:sz w:val="24"/>
          <w:szCs w:val="24"/>
        </w:rPr>
        <w:t xml:space="preserve"> February 2026).</w:t>
      </w:r>
    </w:p>
    <w:p w14:paraId="7DAFDEFA" w14:textId="78EDFC26" w:rsidR="00175998" w:rsidRDefault="00FA2C96" w:rsidP="00E1447C">
      <w:pPr>
        <w:pStyle w:val="ListParagraph"/>
        <w:numPr>
          <w:ilvl w:val="0"/>
          <w:numId w:val="12"/>
        </w:numPr>
        <w:spacing w:line="360" w:lineRule="auto"/>
        <w:rPr>
          <w:rFonts w:ascii="Arial" w:hAnsi="Arial" w:cs="Arial"/>
          <w:sz w:val="24"/>
          <w:szCs w:val="24"/>
        </w:rPr>
      </w:pPr>
      <w:r w:rsidRPr="00FA2C96">
        <w:rPr>
          <w:rFonts w:ascii="Arial" w:hAnsi="Arial" w:cs="Arial"/>
          <w:sz w:val="24"/>
          <w:szCs w:val="24"/>
        </w:rPr>
        <w:t>Tomaszewska, M., Bilska, B., Tul-</w:t>
      </w:r>
      <w:proofErr w:type="spellStart"/>
      <w:r w:rsidRPr="00FA2C96">
        <w:rPr>
          <w:rFonts w:ascii="Arial" w:hAnsi="Arial" w:cs="Arial"/>
          <w:sz w:val="24"/>
          <w:szCs w:val="24"/>
        </w:rPr>
        <w:t>Krzyszczuk</w:t>
      </w:r>
      <w:proofErr w:type="spellEnd"/>
      <w:r w:rsidRPr="00FA2C96">
        <w:rPr>
          <w:rFonts w:ascii="Arial" w:hAnsi="Arial" w:cs="Arial"/>
          <w:sz w:val="24"/>
          <w:szCs w:val="24"/>
        </w:rPr>
        <w:t xml:space="preserve">, A. and </w:t>
      </w:r>
      <w:proofErr w:type="spellStart"/>
      <w:r w:rsidRPr="00FA2C96">
        <w:rPr>
          <w:rFonts w:ascii="Arial" w:hAnsi="Arial" w:cs="Arial"/>
          <w:sz w:val="24"/>
          <w:szCs w:val="24"/>
        </w:rPr>
        <w:t>Kołożyn</w:t>
      </w:r>
      <w:proofErr w:type="spellEnd"/>
      <w:r w:rsidRPr="00FA2C96">
        <w:rPr>
          <w:rFonts w:ascii="Arial" w:hAnsi="Arial" w:cs="Arial"/>
          <w:sz w:val="24"/>
          <w:szCs w:val="24"/>
        </w:rPr>
        <w:t xml:space="preserve">-Krajewska, D. (2021) ‘Estimation of the scale of food waste in hotel food services—A case study’, </w:t>
      </w:r>
      <w:r w:rsidRPr="00FA2C96">
        <w:rPr>
          <w:rFonts w:ascii="Arial" w:hAnsi="Arial" w:cs="Arial"/>
          <w:i/>
          <w:iCs/>
          <w:sz w:val="24"/>
          <w:szCs w:val="24"/>
        </w:rPr>
        <w:t>Sustainability</w:t>
      </w:r>
      <w:r w:rsidRPr="00FA2C96">
        <w:rPr>
          <w:rFonts w:ascii="Arial" w:hAnsi="Arial" w:cs="Arial"/>
          <w:sz w:val="24"/>
          <w:szCs w:val="24"/>
        </w:rPr>
        <w:t xml:space="preserve">, 13(1), 421. Available at: </w:t>
      </w:r>
      <w:hyperlink r:id="rId32" w:tgtFrame="_new" w:history="1">
        <w:r w:rsidRPr="00FA2C96">
          <w:rPr>
            <w:rStyle w:val="Hyperlink"/>
            <w:rFonts w:ascii="Arial" w:hAnsi="Arial" w:cs="Arial"/>
            <w:sz w:val="24"/>
            <w:szCs w:val="24"/>
          </w:rPr>
          <w:t>https://doi.org/10.3390/su13010421</w:t>
        </w:r>
      </w:hyperlink>
      <w:r w:rsidRPr="00FA2C96">
        <w:rPr>
          <w:rFonts w:ascii="Arial" w:hAnsi="Arial" w:cs="Arial"/>
          <w:sz w:val="24"/>
          <w:szCs w:val="24"/>
        </w:rPr>
        <w:t xml:space="preserve"> (Accessed: </w:t>
      </w:r>
      <w:r w:rsidR="00F55DFE">
        <w:rPr>
          <w:rFonts w:ascii="Arial" w:hAnsi="Arial" w:cs="Arial"/>
          <w:sz w:val="24"/>
          <w:szCs w:val="24"/>
        </w:rPr>
        <w:t>1</w:t>
      </w:r>
      <w:r w:rsidRPr="00FA2C96">
        <w:rPr>
          <w:rFonts w:ascii="Arial" w:hAnsi="Arial" w:cs="Arial"/>
          <w:sz w:val="24"/>
          <w:szCs w:val="24"/>
        </w:rPr>
        <w:t xml:space="preserve"> February 2026)</w:t>
      </w:r>
      <w:r>
        <w:rPr>
          <w:rFonts w:ascii="Arial" w:hAnsi="Arial" w:cs="Arial"/>
          <w:sz w:val="24"/>
          <w:szCs w:val="24"/>
        </w:rPr>
        <w:t>.</w:t>
      </w:r>
    </w:p>
    <w:p w14:paraId="067F06F2" w14:textId="1CBCED72" w:rsidR="007846A9" w:rsidRPr="00E1447C" w:rsidRDefault="007846A9" w:rsidP="00E1447C">
      <w:pPr>
        <w:pStyle w:val="ListParagraph"/>
        <w:numPr>
          <w:ilvl w:val="0"/>
          <w:numId w:val="12"/>
        </w:numPr>
        <w:spacing w:line="360" w:lineRule="auto"/>
        <w:rPr>
          <w:rFonts w:ascii="Arial" w:hAnsi="Arial" w:cs="Arial"/>
          <w:sz w:val="24"/>
          <w:szCs w:val="24"/>
        </w:rPr>
      </w:pPr>
      <w:r w:rsidRPr="007846A9">
        <w:rPr>
          <w:rFonts w:ascii="Arial" w:hAnsi="Arial" w:cs="Arial"/>
          <w:sz w:val="24"/>
          <w:szCs w:val="24"/>
        </w:rPr>
        <w:t xml:space="preserve">Tomaszewska, M. et al. (2024) ‘Sustainable food waste management in food service establishments in relation to unserved dishes’, </w:t>
      </w:r>
      <w:r w:rsidRPr="007846A9">
        <w:rPr>
          <w:rFonts w:ascii="Arial" w:hAnsi="Arial" w:cs="Arial"/>
          <w:i/>
          <w:iCs/>
          <w:sz w:val="24"/>
          <w:szCs w:val="24"/>
        </w:rPr>
        <w:t>Sustainability</w:t>
      </w:r>
      <w:r w:rsidRPr="007846A9">
        <w:rPr>
          <w:rFonts w:ascii="Arial" w:hAnsi="Arial" w:cs="Arial"/>
          <w:sz w:val="24"/>
          <w:szCs w:val="24"/>
        </w:rPr>
        <w:t xml:space="preserve">, 16(15), article 6631. Available at: </w:t>
      </w:r>
      <w:hyperlink r:id="rId33" w:tgtFrame="_new" w:history="1">
        <w:r w:rsidRPr="007846A9">
          <w:rPr>
            <w:rStyle w:val="Hyperlink"/>
            <w:rFonts w:ascii="Arial" w:hAnsi="Arial" w:cs="Arial"/>
            <w:sz w:val="24"/>
            <w:szCs w:val="24"/>
          </w:rPr>
          <w:t>https://www.mdpi.com/2071-1050/16/15/6631</w:t>
        </w:r>
      </w:hyperlink>
      <w:r w:rsidRPr="007846A9">
        <w:rPr>
          <w:rFonts w:ascii="Arial" w:hAnsi="Arial" w:cs="Arial"/>
          <w:sz w:val="24"/>
          <w:szCs w:val="24"/>
        </w:rPr>
        <w:t xml:space="preserve"> (Accessed: 5 February 2026).</w:t>
      </w:r>
    </w:p>
    <w:p w14:paraId="4DDC4052" w14:textId="5DBDEBFE" w:rsidR="001229A8" w:rsidRDefault="001229A8" w:rsidP="005254E4">
      <w:pPr>
        <w:pStyle w:val="ListParagraph"/>
        <w:numPr>
          <w:ilvl w:val="0"/>
          <w:numId w:val="12"/>
        </w:numPr>
        <w:spacing w:line="360" w:lineRule="auto"/>
        <w:rPr>
          <w:rFonts w:ascii="Arial" w:hAnsi="Arial" w:cs="Arial"/>
          <w:sz w:val="24"/>
          <w:szCs w:val="24"/>
        </w:rPr>
      </w:pPr>
      <w:r w:rsidRPr="001229A8">
        <w:rPr>
          <w:rFonts w:ascii="Arial" w:hAnsi="Arial" w:cs="Arial"/>
          <w:sz w:val="24"/>
          <w:szCs w:val="24"/>
        </w:rPr>
        <w:t xml:space="preserve">UNEP (2021) </w:t>
      </w:r>
      <w:r w:rsidRPr="001229A8">
        <w:rPr>
          <w:rFonts w:ascii="Arial" w:hAnsi="Arial" w:cs="Arial"/>
          <w:i/>
          <w:iCs/>
          <w:sz w:val="24"/>
          <w:szCs w:val="24"/>
        </w:rPr>
        <w:t>Food waste index report 2021</w:t>
      </w:r>
      <w:r w:rsidRPr="001229A8">
        <w:rPr>
          <w:rFonts w:ascii="Arial" w:hAnsi="Arial" w:cs="Arial"/>
          <w:sz w:val="24"/>
          <w:szCs w:val="24"/>
        </w:rPr>
        <w:t xml:space="preserve">. Nairobi: United Nations Environment Programme. Available at: </w:t>
      </w:r>
      <w:hyperlink r:id="rId34" w:tgtFrame="_new" w:history="1">
        <w:r w:rsidRPr="001229A8">
          <w:rPr>
            <w:rStyle w:val="Hyperlink"/>
            <w:rFonts w:ascii="Arial" w:hAnsi="Arial" w:cs="Arial"/>
            <w:sz w:val="24"/>
            <w:szCs w:val="24"/>
          </w:rPr>
          <w:t>https://www.unep.org/resources/report/unep-food-waste-index-report-2021</w:t>
        </w:r>
      </w:hyperlink>
      <w:r w:rsidRPr="001229A8">
        <w:rPr>
          <w:rFonts w:ascii="Arial" w:hAnsi="Arial" w:cs="Arial"/>
          <w:sz w:val="24"/>
          <w:szCs w:val="24"/>
        </w:rPr>
        <w:t xml:space="preserve"> (Accessed: </w:t>
      </w:r>
      <w:r w:rsidR="00F55DFE">
        <w:rPr>
          <w:rFonts w:ascii="Arial" w:hAnsi="Arial" w:cs="Arial"/>
          <w:sz w:val="24"/>
          <w:szCs w:val="24"/>
        </w:rPr>
        <w:t>2</w:t>
      </w:r>
      <w:r w:rsidRPr="001229A8">
        <w:rPr>
          <w:rFonts w:ascii="Arial" w:hAnsi="Arial" w:cs="Arial"/>
          <w:sz w:val="24"/>
          <w:szCs w:val="24"/>
        </w:rPr>
        <w:t xml:space="preserve"> February 2026).</w:t>
      </w:r>
    </w:p>
    <w:p w14:paraId="46935187" w14:textId="14CB9324" w:rsidR="0031534D" w:rsidRDefault="0031534D" w:rsidP="005254E4">
      <w:pPr>
        <w:pStyle w:val="ListParagraph"/>
        <w:numPr>
          <w:ilvl w:val="0"/>
          <w:numId w:val="12"/>
        </w:numPr>
        <w:spacing w:line="360" w:lineRule="auto"/>
        <w:rPr>
          <w:rFonts w:ascii="Arial" w:hAnsi="Arial" w:cs="Arial"/>
          <w:sz w:val="24"/>
          <w:szCs w:val="24"/>
        </w:rPr>
      </w:pPr>
      <w:r w:rsidRPr="0031534D">
        <w:rPr>
          <w:rFonts w:ascii="Arial" w:hAnsi="Arial" w:cs="Arial"/>
          <w:sz w:val="24"/>
          <w:szCs w:val="24"/>
        </w:rPr>
        <w:t xml:space="preserve">Wu, C.M.E. et al. (2022) ‘Reducing food waste in buffet restaurants: A corporate management approach’, </w:t>
      </w:r>
      <w:r w:rsidRPr="0031534D">
        <w:rPr>
          <w:rFonts w:ascii="Arial" w:hAnsi="Arial" w:cs="Arial"/>
          <w:i/>
          <w:iCs/>
          <w:sz w:val="24"/>
          <w:szCs w:val="24"/>
        </w:rPr>
        <w:t>Foods</w:t>
      </w:r>
      <w:r w:rsidRPr="0031534D">
        <w:rPr>
          <w:rFonts w:ascii="Arial" w:hAnsi="Arial" w:cs="Arial"/>
          <w:sz w:val="24"/>
          <w:szCs w:val="24"/>
        </w:rPr>
        <w:t xml:space="preserve">, 12(1), article 162. Available at: </w:t>
      </w:r>
      <w:hyperlink r:id="rId35" w:tgtFrame="_new" w:history="1">
        <w:r w:rsidRPr="0031534D">
          <w:rPr>
            <w:rStyle w:val="Hyperlink"/>
            <w:rFonts w:ascii="Arial" w:hAnsi="Arial" w:cs="Arial"/>
            <w:sz w:val="24"/>
            <w:szCs w:val="24"/>
          </w:rPr>
          <w:t>https://www.mdpi.com/2304-8158/12/1/162</w:t>
        </w:r>
      </w:hyperlink>
      <w:r w:rsidRPr="0031534D">
        <w:rPr>
          <w:rFonts w:ascii="Arial" w:hAnsi="Arial" w:cs="Arial"/>
          <w:sz w:val="24"/>
          <w:szCs w:val="24"/>
        </w:rPr>
        <w:t xml:space="preserve"> (Accessed: 5 February 2026).</w:t>
      </w:r>
    </w:p>
    <w:p w14:paraId="6D5FB632" w14:textId="7DA2F53E" w:rsidR="00E2522A" w:rsidRPr="00D331CB" w:rsidRDefault="00E2522A" w:rsidP="00D331CB"/>
    <w:sectPr w:rsidR="00E2522A" w:rsidRPr="00D331CB" w:rsidSect="00CB1EE0">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C9144" w14:textId="77777777" w:rsidR="002244D2" w:rsidRDefault="002244D2" w:rsidP="00987B68">
      <w:pPr>
        <w:spacing w:after="0" w:line="240" w:lineRule="auto"/>
      </w:pPr>
      <w:r>
        <w:separator/>
      </w:r>
    </w:p>
  </w:endnote>
  <w:endnote w:type="continuationSeparator" w:id="0">
    <w:p w14:paraId="2ED7DDDD" w14:textId="77777777" w:rsidR="002244D2" w:rsidRDefault="002244D2"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5A572" w14:textId="77777777" w:rsidR="002244D2" w:rsidRDefault="002244D2" w:rsidP="00987B68">
      <w:pPr>
        <w:spacing w:after="0" w:line="240" w:lineRule="auto"/>
      </w:pPr>
      <w:r>
        <w:separator/>
      </w:r>
    </w:p>
  </w:footnote>
  <w:footnote w:type="continuationSeparator" w:id="0">
    <w:p w14:paraId="54FEC4F1" w14:textId="77777777" w:rsidR="002244D2" w:rsidRDefault="002244D2"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F2F67"/>
    <w:multiLevelType w:val="hybridMultilevel"/>
    <w:tmpl w:val="A32A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984B23"/>
    <w:multiLevelType w:val="hybridMultilevel"/>
    <w:tmpl w:val="99B67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604D4"/>
    <w:multiLevelType w:val="hybridMultilevel"/>
    <w:tmpl w:val="C20CC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50887"/>
    <w:multiLevelType w:val="hybridMultilevel"/>
    <w:tmpl w:val="9ED6F4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0005D8"/>
    <w:multiLevelType w:val="hybridMultilevel"/>
    <w:tmpl w:val="9A005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6154160">
    <w:abstractNumId w:val="6"/>
  </w:num>
  <w:num w:numId="2" w16cid:durableId="1919944989">
    <w:abstractNumId w:val="11"/>
  </w:num>
  <w:num w:numId="3" w16cid:durableId="1159539038">
    <w:abstractNumId w:val="7"/>
  </w:num>
  <w:num w:numId="4" w16cid:durableId="1487743549">
    <w:abstractNumId w:val="5"/>
  </w:num>
  <w:num w:numId="5" w16cid:durableId="656572216">
    <w:abstractNumId w:val="1"/>
  </w:num>
  <w:num w:numId="6" w16cid:durableId="372342409">
    <w:abstractNumId w:val="2"/>
  </w:num>
  <w:num w:numId="7" w16cid:durableId="145169153">
    <w:abstractNumId w:val="3"/>
  </w:num>
  <w:num w:numId="8" w16cid:durableId="1290942460">
    <w:abstractNumId w:val="9"/>
  </w:num>
  <w:num w:numId="9" w16cid:durableId="1375160327">
    <w:abstractNumId w:val="8"/>
  </w:num>
  <w:num w:numId="10" w16cid:durableId="1518696512">
    <w:abstractNumId w:val="12"/>
  </w:num>
  <w:num w:numId="11" w16cid:durableId="538203832">
    <w:abstractNumId w:val="0"/>
  </w:num>
  <w:num w:numId="12" w16cid:durableId="68309870">
    <w:abstractNumId w:val="10"/>
  </w:num>
  <w:num w:numId="13" w16cid:durableId="1117992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7F29"/>
    <w:rsid w:val="000113A4"/>
    <w:rsid w:val="00015465"/>
    <w:rsid w:val="00024030"/>
    <w:rsid w:val="00024098"/>
    <w:rsid w:val="000336BB"/>
    <w:rsid w:val="00036FBE"/>
    <w:rsid w:val="00051ADE"/>
    <w:rsid w:val="00055A99"/>
    <w:rsid w:val="000717C5"/>
    <w:rsid w:val="000724AC"/>
    <w:rsid w:val="00073C37"/>
    <w:rsid w:val="00073E6E"/>
    <w:rsid w:val="00073EE2"/>
    <w:rsid w:val="00082629"/>
    <w:rsid w:val="00086764"/>
    <w:rsid w:val="000965EC"/>
    <w:rsid w:val="000A2C12"/>
    <w:rsid w:val="000A6557"/>
    <w:rsid w:val="000A69A6"/>
    <w:rsid w:val="000A6F98"/>
    <w:rsid w:val="000B139C"/>
    <w:rsid w:val="000B3785"/>
    <w:rsid w:val="000B38F1"/>
    <w:rsid w:val="000B4782"/>
    <w:rsid w:val="000C3BC8"/>
    <w:rsid w:val="000C5C69"/>
    <w:rsid w:val="000C5F3E"/>
    <w:rsid w:val="000D2C53"/>
    <w:rsid w:val="000E6BC0"/>
    <w:rsid w:val="000F5C4C"/>
    <w:rsid w:val="000F639A"/>
    <w:rsid w:val="00105906"/>
    <w:rsid w:val="001131DA"/>
    <w:rsid w:val="00115949"/>
    <w:rsid w:val="0011751A"/>
    <w:rsid w:val="001229A8"/>
    <w:rsid w:val="00123BAA"/>
    <w:rsid w:val="001249D6"/>
    <w:rsid w:val="00145308"/>
    <w:rsid w:val="001475E1"/>
    <w:rsid w:val="00150C62"/>
    <w:rsid w:val="001620C1"/>
    <w:rsid w:val="00163CBC"/>
    <w:rsid w:val="00170714"/>
    <w:rsid w:val="00175998"/>
    <w:rsid w:val="001772B2"/>
    <w:rsid w:val="001803E7"/>
    <w:rsid w:val="0018123F"/>
    <w:rsid w:val="00182B1E"/>
    <w:rsid w:val="00194233"/>
    <w:rsid w:val="00197A93"/>
    <w:rsid w:val="00197CC2"/>
    <w:rsid w:val="001B1A9E"/>
    <w:rsid w:val="001B2AE3"/>
    <w:rsid w:val="001B7005"/>
    <w:rsid w:val="001B7A5C"/>
    <w:rsid w:val="001C019A"/>
    <w:rsid w:val="001C0312"/>
    <w:rsid w:val="001C19F2"/>
    <w:rsid w:val="001C1C1E"/>
    <w:rsid w:val="001C236D"/>
    <w:rsid w:val="001C2BF3"/>
    <w:rsid w:val="001C3987"/>
    <w:rsid w:val="001C45EC"/>
    <w:rsid w:val="001D0C2A"/>
    <w:rsid w:val="001D5933"/>
    <w:rsid w:val="001D6200"/>
    <w:rsid w:val="001E21B4"/>
    <w:rsid w:val="001E4CF6"/>
    <w:rsid w:val="001F25A6"/>
    <w:rsid w:val="001F5103"/>
    <w:rsid w:val="001F6083"/>
    <w:rsid w:val="00201A70"/>
    <w:rsid w:val="002023C3"/>
    <w:rsid w:val="0020762A"/>
    <w:rsid w:val="002230C8"/>
    <w:rsid w:val="002244D2"/>
    <w:rsid w:val="00224B0C"/>
    <w:rsid w:val="0022619F"/>
    <w:rsid w:val="00226CC2"/>
    <w:rsid w:val="00231D56"/>
    <w:rsid w:val="00235C2F"/>
    <w:rsid w:val="00237F38"/>
    <w:rsid w:val="00240AD8"/>
    <w:rsid w:val="00242D9B"/>
    <w:rsid w:val="0025199C"/>
    <w:rsid w:val="00254EC9"/>
    <w:rsid w:val="002619F5"/>
    <w:rsid w:val="00262DBE"/>
    <w:rsid w:val="00263012"/>
    <w:rsid w:val="0027224A"/>
    <w:rsid w:val="00280122"/>
    <w:rsid w:val="002803AB"/>
    <w:rsid w:val="00286611"/>
    <w:rsid w:val="0029426F"/>
    <w:rsid w:val="002970FC"/>
    <w:rsid w:val="00297919"/>
    <w:rsid w:val="002A5E53"/>
    <w:rsid w:val="002B5F1C"/>
    <w:rsid w:val="002C19EC"/>
    <w:rsid w:val="002C1CD4"/>
    <w:rsid w:val="002E156A"/>
    <w:rsid w:val="002E2CC5"/>
    <w:rsid w:val="002F08CB"/>
    <w:rsid w:val="002F1BBA"/>
    <w:rsid w:val="002F2362"/>
    <w:rsid w:val="002F5DC0"/>
    <w:rsid w:val="003058CA"/>
    <w:rsid w:val="003124DE"/>
    <w:rsid w:val="003146AA"/>
    <w:rsid w:val="0031534D"/>
    <w:rsid w:val="00315809"/>
    <w:rsid w:val="00323F07"/>
    <w:rsid w:val="00325C76"/>
    <w:rsid w:val="00327A7D"/>
    <w:rsid w:val="00330073"/>
    <w:rsid w:val="003361F8"/>
    <w:rsid w:val="00337299"/>
    <w:rsid w:val="003430A2"/>
    <w:rsid w:val="003510B5"/>
    <w:rsid w:val="00357234"/>
    <w:rsid w:val="003631EE"/>
    <w:rsid w:val="00363405"/>
    <w:rsid w:val="00387A04"/>
    <w:rsid w:val="00397943"/>
    <w:rsid w:val="003B54AA"/>
    <w:rsid w:val="003C1271"/>
    <w:rsid w:val="003C2F0A"/>
    <w:rsid w:val="003D2327"/>
    <w:rsid w:val="003D7390"/>
    <w:rsid w:val="003E5E9E"/>
    <w:rsid w:val="003F031F"/>
    <w:rsid w:val="003F1CD0"/>
    <w:rsid w:val="00402356"/>
    <w:rsid w:val="00404BFB"/>
    <w:rsid w:val="004061C8"/>
    <w:rsid w:val="00421351"/>
    <w:rsid w:val="00426026"/>
    <w:rsid w:val="004317BD"/>
    <w:rsid w:val="00431DAA"/>
    <w:rsid w:val="0043562B"/>
    <w:rsid w:val="00436887"/>
    <w:rsid w:val="00440365"/>
    <w:rsid w:val="004403F7"/>
    <w:rsid w:val="00443741"/>
    <w:rsid w:val="00443F96"/>
    <w:rsid w:val="004468C4"/>
    <w:rsid w:val="0044766D"/>
    <w:rsid w:val="00452C9C"/>
    <w:rsid w:val="00462642"/>
    <w:rsid w:val="00463F14"/>
    <w:rsid w:val="00470E10"/>
    <w:rsid w:val="0047382D"/>
    <w:rsid w:val="00474E8A"/>
    <w:rsid w:val="00481A9B"/>
    <w:rsid w:val="0048370B"/>
    <w:rsid w:val="004843F5"/>
    <w:rsid w:val="00486AA1"/>
    <w:rsid w:val="00490B5D"/>
    <w:rsid w:val="00491E9E"/>
    <w:rsid w:val="00497A82"/>
    <w:rsid w:val="004A056A"/>
    <w:rsid w:val="004A17D5"/>
    <w:rsid w:val="004A2678"/>
    <w:rsid w:val="004A4703"/>
    <w:rsid w:val="004B4686"/>
    <w:rsid w:val="004C0B60"/>
    <w:rsid w:val="004D7B5F"/>
    <w:rsid w:val="004E43E6"/>
    <w:rsid w:val="004F5568"/>
    <w:rsid w:val="00501993"/>
    <w:rsid w:val="00501FB3"/>
    <w:rsid w:val="00502CF8"/>
    <w:rsid w:val="00503F07"/>
    <w:rsid w:val="005045F0"/>
    <w:rsid w:val="00504AD7"/>
    <w:rsid w:val="00506B73"/>
    <w:rsid w:val="0051639B"/>
    <w:rsid w:val="0051668E"/>
    <w:rsid w:val="005177B7"/>
    <w:rsid w:val="0052081A"/>
    <w:rsid w:val="005254E4"/>
    <w:rsid w:val="00551DC4"/>
    <w:rsid w:val="005558B6"/>
    <w:rsid w:val="00560A68"/>
    <w:rsid w:val="005672AC"/>
    <w:rsid w:val="005704AC"/>
    <w:rsid w:val="00581CF1"/>
    <w:rsid w:val="005851FC"/>
    <w:rsid w:val="0059255F"/>
    <w:rsid w:val="00595DFD"/>
    <w:rsid w:val="00597EA4"/>
    <w:rsid w:val="005A1545"/>
    <w:rsid w:val="005B0ED8"/>
    <w:rsid w:val="005B7A17"/>
    <w:rsid w:val="005C0B2A"/>
    <w:rsid w:val="005C5046"/>
    <w:rsid w:val="005D70CA"/>
    <w:rsid w:val="005E2093"/>
    <w:rsid w:val="005F297B"/>
    <w:rsid w:val="005F572F"/>
    <w:rsid w:val="005F5AD4"/>
    <w:rsid w:val="006008DB"/>
    <w:rsid w:val="00604545"/>
    <w:rsid w:val="006049EE"/>
    <w:rsid w:val="006059D0"/>
    <w:rsid w:val="006077B1"/>
    <w:rsid w:val="00610495"/>
    <w:rsid w:val="00610FDD"/>
    <w:rsid w:val="00623115"/>
    <w:rsid w:val="00623CCC"/>
    <w:rsid w:val="00624A8D"/>
    <w:rsid w:val="0062566F"/>
    <w:rsid w:val="00626E2B"/>
    <w:rsid w:val="0063403C"/>
    <w:rsid w:val="00634ED0"/>
    <w:rsid w:val="00651E85"/>
    <w:rsid w:val="00655F4A"/>
    <w:rsid w:val="00670715"/>
    <w:rsid w:val="00672761"/>
    <w:rsid w:val="00672E70"/>
    <w:rsid w:val="00680B46"/>
    <w:rsid w:val="00681B73"/>
    <w:rsid w:val="0068377A"/>
    <w:rsid w:val="00685990"/>
    <w:rsid w:val="006939F0"/>
    <w:rsid w:val="006948E5"/>
    <w:rsid w:val="00697527"/>
    <w:rsid w:val="006A19F5"/>
    <w:rsid w:val="006A1E9B"/>
    <w:rsid w:val="006A6B27"/>
    <w:rsid w:val="006B1328"/>
    <w:rsid w:val="006B1917"/>
    <w:rsid w:val="006B6AB5"/>
    <w:rsid w:val="006C143D"/>
    <w:rsid w:val="006D08F1"/>
    <w:rsid w:val="006D0FA0"/>
    <w:rsid w:val="006F353D"/>
    <w:rsid w:val="006F5CD3"/>
    <w:rsid w:val="006F769C"/>
    <w:rsid w:val="00711D0C"/>
    <w:rsid w:val="007150F4"/>
    <w:rsid w:val="007249C0"/>
    <w:rsid w:val="0072723C"/>
    <w:rsid w:val="007309EA"/>
    <w:rsid w:val="00731EA1"/>
    <w:rsid w:val="00740E5C"/>
    <w:rsid w:val="007422E0"/>
    <w:rsid w:val="00743039"/>
    <w:rsid w:val="0074554F"/>
    <w:rsid w:val="00753C90"/>
    <w:rsid w:val="00753DEB"/>
    <w:rsid w:val="00757F65"/>
    <w:rsid w:val="007678CD"/>
    <w:rsid w:val="00770284"/>
    <w:rsid w:val="00770AC1"/>
    <w:rsid w:val="00780255"/>
    <w:rsid w:val="00780A40"/>
    <w:rsid w:val="007846A9"/>
    <w:rsid w:val="007927F9"/>
    <w:rsid w:val="007A3F38"/>
    <w:rsid w:val="007C26B2"/>
    <w:rsid w:val="007C3D14"/>
    <w:rsid w:val="007C5B47"/>
    <w:rsid w:val="007D06AC"/>
    <w:rsid w:val="007E4E50"/>
    <w:rsid w:val="007F43CB"/>
    <w:rsid w:val="007F5799"/>
    <w:rsid w:val="00801CB9"/>
    <w:rsid w:val="008111FB"/>
    <w:rsid w:val="00812DEE"/>
    <w:rsid w:val="00827F3F"/>
    <w:rsid w:val="008324C1"/>
    <w:rsid w:val="00836B96"/>
    <w:rsid w:val="008379DD"/>
    <w:rsid w:val="008427CC"/>
    <w:rsid w:val="008438BC"/>
    <w:rsid w:val="00852FF8"/>
    <w:rsid w:val="008618EA"/>
    <w:rsid w:val="00863874"/>
    <w:rsid w:val="00890B87"/>
    <w:rsid w:val="008A10DC"/>
    <w:rsid w:val="008A68C7"/>
    <w:rsid w:val="008B007C"/>
    <w:rsid w:val="008B401B"/>
    <w:rsid w:val="008B5B07"/>
    <w:rsid w:val="008C4B31"/>
    <w:rsid w:val="008C5256"/>
    <w:rsid w:val="008C547C"/>
    <w:rsid w:val="008C57A2"/>
    <w:rsid w:val="008D2670"/>
    <w:rsid w:val="008E47F3"/>
    <w:rsid w:val="008E4E50"/>
    <w:rsid w:val="008E7E29"/>
    <w:rsid w:val="008F0426"/>
    <w:rsid w:val="008F0991"/>
    <w:rsid w:val="008F1805"/>
    <w:rsid w:val="008F3566"/>
    <w:rsid w:val="008F651F"/>
    <w:rsid w:val="00905AE9"/>
    <w:rsid w:val="00913263"/>
    <w:rsid w:val="00914E83"/>
    <w:rsid w:val="009315EF"/>
    <w:rsid w:val="00934290"/>
    <w:rsid w:val="00941001"/>
    <w:rsid w:val="00942C65"/>
    <w:rsid w:val="00943EDA"/>
    <w:rsid w:val="00945EB7"/>
    <w:rsid w:val="009479AE"/>
    <w:rsid w:val="00950CCD"/>
    <w:rsid w:val="009538EE"/>
    <w:rsid w:val="00954AEB"/>
    <w:rsid w:val="0096319C"/>
    <w:rsid w:val="00967E4F"/>
    <w:rsid w:val="00987B68"/>
    <w:rsid w:val="009A5603"/>
    <w:rsid w:val="009A7201"/>
    <w:rsid w:val="009B1A9D"/>
    <w:rsid w:val="009B22EA"/>
    <w:rsid w:val="009B28E1"/>
    <w:rsid w:val="009B6BC6"/>
    <w:rsid w:val="009C46F4"/>
    <w:rsid w:val="009C59F6"/>
    <w:rsid w:val="009D10A6"/>
    <w:rsid w:val="009E0B72"/>
    <w:rsid w:val="009E0D70"/>
    <w:rsid w:val="009E0D8F"/>
    <w:rsid w:val="009E291C"/>
    <w:rsid w:val="009F290D"/>
    <w:rsid w:val="009F2988"/>
    <w:rsid w:val="00A00976"/>
    <w:rsid w:val="00A02FFF"/>
    <w:rsid w:val="00A030E6"/>
    <w:rsid w:val="00A05618"/>
    <w:rsid w:val="00A11CEA"/>
    <w:rsid w:val="00A23695"/>
    <w:rsid w:val="00A30E9F"/>
    <w:rsid w:val="00A4074A"/>
    <w:rsid w:val="00A41833"/>
    <w:rsid w:val="00A4332F"/>
    <w:rsid w:val="00A44A05"/>
    <w:rsid w:val="00A605AE"/>
    <w:rsid w:val="00A62B8A"/>
    <w:rsid w:val="00A659DD"/>
    <w:rsid w:val="00A71CFC"/>
    <w:rsid w:val="00A82FD8"/>
    <w:rsid w:val="00A86195"/>
    <w:rsid w:val="00A87EB7"/>
    <w:rsid w:val="00A9193F"/>
    <w:rsid w:val="00A91A35"/>
    <w:rsid w:val="00A9385F"/>
    <w:rsid w:val="00AA3050"/>
    <w:rsid w:val="00AB14DD"/>
    <w:rsid w:val="00AC3870"/>
    <w:rsid w:val="00AC5779"/>
    <w:rsid w:val="00AD0966"/>
    <w:rsid w:val="00AD524A"/>
    <w:rsid w:val="00AD6E83"/>
    <w:rsid w:val="00AE10F6"/>
    <w:rsid w:val="00AE25C0"/>
    <w:rsid w:val="00AE2B43"/>
    <w:rsid w:val="00AF0E3A"/>
    <w:rsid w:val="00AF228B"/>
    <w:rsid w:val="00AF764D"/>
    <w:rsid w:val="00B0195F"/>
    <w:rsid w:val="00B11842"/>
    <w:rsid w:val="00B141B2"/>
    <w:rsid w:val="00B148C2"/>
    <w:rsid w:val="00B14EB6"/>
    <w:rsid w:val="00B15C89"/>
    <w:rsid w:val="00B17CA6"/>
    <w:rsid w:val="00B17D6E"/>
    <w:rsid w:val="00B301E7"/>
    <w:rsid w:val="00B320CE"/>
    <w:rsid w:val="00B33A30"/>
    <w:rsid w:val="00B36FD4"/>
    <w:rsid w:val="00B42D5B"/>
    <w:rsid w:val="00B43A26"/>
    <w:rsid w:val="00B45965"/>
    <w:rsid w:val="00B5294C"/>
    <w:rsid w:val="00B63D9F"/>
    <w:rsid w:val="00B6455C"/>
    <w:rsid w:val="00B65B67"/>
    <w:rsid w:val="00B72CB5"/>
    <w:rsid w:val="00B77F0C"/>
    <w:rsid w:val="00B8120F"/>
    <w:rsid w:val="00B821D6"/>
    <w:rsid w:val="00B83C41"/>
    <w:rsid w:val="00B85D84"/>
    <w:rsid w:val="00B869FC"/>
    <w:rsid w:val="00B91487"/>
    <w:rsid w:val="00B91D76"/>
    <w:rsid w:val="00B921BA"/>
    <w:rsid w:val="00B92718"/>
    <w:rsid w:val="00B96304"/>
    <w:rsid w:val="00BB0FEA"/>
    <w:rsid w:val="00BB1FEE"/>
    <w:rsid w:val="00BB3038"/>
    <w:rsid w:val="00BB3796"/>
    <w:rsid w:val="00BB3B6C"/>
    <w:rsid w:val="00BC117D"/>
    <w:rsid w:val="00BC288B"/>
    <w:rsid w:val="00BC3D85"/>
    <w:rsid w:val="00BC62DB"/>
    <w:rsid w:val="00BC7D66"/>
    <w:rsid w:val="00BD2FE0"/>
    <w:rsid w:val="00BD47BC"/>
    <w:rsid w:val="00BE260C"/>
    <w:rsid w:val="00BF0DE8"/>
    <w:rsid w:val="00BF444C"/>
    <w:rsid w:val="00BF5D99"/>
    <w:rsid w:val="00BF7D6F"/>
    <w:rsid w:val="00C02FA2"/>
    <w:rsid w:val="00C10148"/>
    <w:rsid w:val="00C149D5"/>
    <w:rsid w:val="00C15C25"/>
    <w:rsid w:val="00C22A00"/>
    <w:rsid w:val="00C26CF3"/>
    <w:rsid w:val="00C331E0"/>
    <w:rsid w:val="00C41326"/>
    <w:rsid w:val="00C4599B"/>
    <w:rsid w:val="00C46AAB"/>
    <w:rsid w:val="00C502E1"/>
    <w:rsid w:val="00C5302E"/>
    <w:rsid w:val="00C76183"/>
    <w:rsid w:val="00C8217C"/>
    <w:rsid w:val="00C87459"/>
    <w:rsid w:val="00C92D27"/>
    <w:rsid w:val="00CA6D16"/>
    <w:rsid w:val="00CB1EE0"/>
    <w:rsid w:val="00CB5000"/>
    <w:rsid w:val="00CB7BAB"/>
    <w:rsid w:val="00CE5176"/>
    <w:rsid w:val="00CF04F9"/>
    <w:rsid w:val="00CF1615"/>
    <w:rsid w:val="00D04688"/>
    <w:rsid w:val="00D2206F"/>
    <w:rsid w:val="00D31146"/>
    <w:rsid w:val="00D331CB"/>
    <w:rsid w:val="00D3381E"/>
    <w:rsid w:val="00D420F7"/>
    <w:rsid w:val="00D47DF6"/>
    <w:rsid w:val="00D53E27"/>
    <w:rsid w:val="00D6022F"/>
    <w:rsid w:val="00D60E69"/>
    <w:rsid w:val="00D6352D"/>
    <w:rsid w:val="00D63FF8"/>
    <w:rsid w:val="00D72A10"/>
    <w:rsid w:val="00D80883"/>
    <w:rsid w:val="00DA0FBA"/>
    <w:rsid w:val="00DB69C8"/>
    <w:rsid w:val="00DC770A"/>
    <w:rsid w:val="00DD7FAF"/>
    <w:rsid w:val="00DE1C5E"/>
    <w:rsid w:val="00DE3C05"/>
    <w:rsid w:val="00DE5959"/>
    <w:rsid w:val="00DE7517"/>
    <w:rsid w:val="00DF64BD"/>
    <w:rsid w:val="00DF7997"/>
    <w:rsid w:val="00E02582"/>
    <w:rsid w:val="00E03D32"/>
    <w:rsid w:val="00E04572"/>
    <w:rsid w:val="00E069C9"/>
    <w:rsid w:val="00E11A43"/>
    <w:rsid w:val="00E13420"/>
    <w:rsid w:val="00E1447C"/>
    <w:rsid w:val="00E200A4"/>
    <w:rsid w:val="00E20A81"/>
    <w:rsid w:val="00E2323C"/>
    <w:rsid w:val="00E2522A"/>
    <w:rsid w:val="00E26E57"/>
    <w:rsid w:val="00E27060"/>
    <w:rsid w:val="00E3534F"/>
    <w:rsid w:val="00E429C7"/>
    <w:rsid w:val="00E47263"/>
    <w:rsid w:val="00E51806"/>
    <w:rsid w:val="00E53E1E"/>
    <w:rsid w:val="00E54245"/>
    <w:rsid w:val="00E55CFF"/>
    <w:rsid w:val="00E67747"/>
    <w:rsid w:val="00E70A38"/>
    <w:rsid w:val="00E72920"/>
    <w:rsid w:val="00E74A1C"/>
    <w:rsid w:val="00E74A5B"/>
    <w:rsid w:val="00E75718"/>
    <w:rsid w:val="00E76736"/>
    <w:rsid w:val="00E817DC"/>
    <w:rsid w:val="00E81D3F"/>
    <w:rsid w:val="00E83F63"/>
    <w:rsid w:val="00E97DEB"/>
    <w:rsid w:val="00EA1B72"/>
    <w:rsid w:val="00EA4D9E"/>
    <w:rsid w:val="00EB13E7"/>
    <w:rsid w:val="00EB28E4"/>
    <w:rsid w:val="00EB355E"/>
    <w:rsid w:val="00EC294F"/>
    <w:rsid w:val="00EC39A2"/>
    <w:rsid w:val="00EC3AD4"/>
    <w:rsid w:val="00EC65A5"/>
    <w:rsid w:val="00EC6E09"/>
    <w:rsid w:val="00ED3894"/>
    <w:rsid w:val="00ED5F77"/>
    <w:rsid w:val="00EE5DA8"/>
    <w:rsid w:val="00EE6BB2"/>
    <w:rsid w:val="00EF0E84"/>
    <w:rsid w:val="00EF23F4"/>
    <w:rsid w:val="00F000DD"/>
    <w:rsid w:val="00F022A6"/>
    <w:rsid w:val="00F02C4A"/>
    <w:rsid w:val="00F071F8"/>
    <w:rsid w:val="00F13E3E"/>
    <w:rsid w:val="00F1683E"/>
    <w:rsid w:val="00F279DF"/>
    <w:rsid w:val="00F32010"/>
    <w:rsid w:val="00F36CF6"/>
    <w:rsid w:val="00F44D57"/>
    <w:rsid w:val="00F50731"/>
    <w:rsid w:val="00F55DFE"/>
    <w:rsid w:val="00F70437"/>
    <w:rsid w:val="00F727A4"/>
    <w:rsid w:val="00F74844"/>
    <w:rsid w:val="00F82262"/>
    <w:rsid w:val="00F85B2D"/>
    <w:rsid w:val="00F86DED"/>
    <w:rsid w:val="00F9429A"/>
    <w:rsid w:val="00F9748F"/>
    <w:rsid w:val="00FA2C96"/>
    <w:rsid w:val="00FA2FEC"/>
    <w:rsid w:val="00FA592A"/>
    <w:rsid w:val="00FA5A1F"/>
    <w:rsid w:val="00FB159C"/>
    <w:rsid w:val="00FE2313"/>
    <w:rsid w:val="00FE546A"/>
    <w:rsid w:val="00FE5EE6"/>
    <w:rsid w:val="00FF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31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Heading3Char">
    <w:name w:val="Heading 3 Char"/>
    <w:basedOn w:val="DefaultParagraphFont"/>
    <w:link w:val="Heading3"/>
    <w:uiPriority w:val="9"/>
    <w:semiHidden/>
    <w:rsid w:val="00D331C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ourman.2018.10.009" TargetMode="External"/><Relationship Id="rId18" Type="http://schemas.openxmlformats.org/officeDocument/2006/relationships/hyperlink" Target="https://eprints.glos.ac.uk/698/1/Jones%20%282016%29%20sustainability%20in%20the%20hospitality%20industry%20with%20cover%20sheet.pdf?utm_source=chatgpt.com" TargetMode="External"/><Relationship Id="rId26" Type="http://schemas.openxmlformats.org/officeDocument/2006/relationships/hyperlink" Target="https://www.oecd.org/content/dam/oecd/en/publications/reports/2019/02/global-material-resources-outlook-to-2060_g1g98d7d/9789264307452-en.pdf" TargetMode="External"/><Relationship Id="rId21" Type="http://schemas.openxmlformats.org/officeDocument/2006/relationships/hyperlink" Target="https://doi.org/10.3390/su151511491" TargetMode="External"/><Relationship Id="rId34" Type="http://schemas.openxmlformats.org/officeDocument/2006/relationships/hyperlink" Target="https://www.unep.org/resources/report/unep-food-waste-index-report-2021" TargetMode="External"/><Relationship Id="rId7" Type="http://schemas.openxmlformats.org/officeDocument/2006/relationships/footnotes" Target="footnotes.xml"/><Relationship Id="rId12" Type="http://schemas.openxmlformats.org/officeDocument/2006/relationships/hyperlink" Target="https://doi.org/10.1016/j.spc.2019.11.003" TargetMode="External"/><Relationship Id="rId17" Type="http://schemas.openxmlformats.org/officeDocument/2006/relationships/hyperlink" Target="https://doi.org/10.1016/j.foodqual.2024.105273" TargetMode="External"/><Relationship Id="rId25" Type="http://schemas.openxmlformats.org/officeDocument/2006/relationships/hyperlink" Target="https://www.mdpi.com/2071-1050/16/22/9990?utm_source=chatgpt.com" TargetMode="External"/><Relationship Id="rId33" Type="http://schemas.openxmlformats.org/officeDocument/2006/relationships/hyperlink" Target="https://www.mdpi.com/2071-1050/16/15/6631?utm_source=chatgpt.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09669582.2018.1560455" TargetMode="External"/><Relationship Id="rId20" Type="http://schemas.openxmlformats.org/officeDocument/2006/relationships/hyperlink" Target="https://www.mdpi.com/2071-1050/15/13/10213?utm_source=chatgpt.com" TargetMode="External"/><Relationship Id="rId29" Type="http://schemas.openxmlformats.org/officeDocument/2006/relationships/hyperlink" Target="https://dspace.unitus.it/bitstream/2067/47604/1/Manuscript_IJHM_accepted%20version.pdf?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ijhm.2025.104276" TargetMode="External"/><Relationship Id="rId24" Type="http://schemas.openxmlformats.org/officeDocument/2006/relationships/hyperlink" Target="https://doi.org/10.1016/j.wasman.2020.07.014" TargetMode="External"/><Relationship Id="rId32" Type="http://schemas.openxmlformats.org/officeDocument/2006/relationships/hyperlink" Target="https://doi.org/10.3390/su13010421"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16/j.tourman.2010.04.006" TargetMode="External"/><Relationship Id="rId23" Type="http://schemas.openxmlformats.org/officeDocument/2006/relationships/hyperlink" Target="https://www.ajhtl.com/uploads/7/1/6/3/7163688/article_13_14_1_127-134.pdf?utm_source=chatgpt.com" TargetMode="External"/><Relationship Id="rId28" Type="http://schemas.openxmlformats.org/officeDocument/2006/relationships/hyperlink" Target="https://doi.org/10.1016/j.jenvman.2014.07.038"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1016/j.econlet.2013.03.019" TargetMode="External"/><Relationship Id="rId31" Type="http://schemas.openxmlformats.org/officeDocument/2006/relationships/hyperlink" Target="https://doi.org/10.3390/jrfm1710047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ao.org/3/ca6030en/ca6030en.pdf" TargetMode="External"/><Relationship Id="rId22" Type="http://schemas.openxmlformats.org/officeDocument/2006/relationships/hyperlink" Target="https://www.mdpi.com/2071-1050/15/21/15459?utm_source=chatgpt.com" TargetMode="External"/><Relationship Id="rId27" Type="http://schemas.openxmlformats.org/officeDocument/2006/relationships/hyperlink" Target="https://doi.org/10.1016/j.jclepro.2014.04.020" TargetMode="External"/><Relationship Id="rId30" Type="http://schemas.openxmlformats.org/officeDocument/2006/relationships/hyperlink" Target="https://doi.org/10.1016/j.clrc.2025.100333" TargetMode="External"/><Relationship Id="rId35" Type="http://schemas.openxmlformats.org/officeDocument/2006/relationships/hyperlink" Target="https://www.mdpi.com/2304-8158/12/1/162?utm_source=chatgpt.com"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CEE5BB-3CA7-4AEB-AD45-4A5840E33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3358</TotalTime>
  <Pages>17</Pages>
  <Words>4864</Words>
  <Characters>27728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32527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411</cp:revision>
  <dcterms:created xsi:type="dcterms:W3CDTF">2023-05-29T23:11:00Z</dcterms:created>
  <dcterms:modified xsi:type="dcterms:W3CDTF">2026-02-09T19:36:00Z</dcterms:modified>
</cp:coreProperties>
</file>