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98BA" w14:textId="2FA2124E" w:rsidR="003609A9" w:rsidRDefault="003609A9">
      <w:r>
        <w:t xml:space="preserve"> </w:t>
      </w:r>
    </w:p>
    <w:sdt>
      <w:sdtPr>
        <w:id w:val="908275768"/>
        <w:docPartObj>
          <w:docPartGallery w:val="Cover Pages"/>
          <w:docPartUnique/>
        </w:docPartObj>
      </w:sdtPr>
      <w:sdtEndPr/>
      <w:sdtContent>
        <w:p w14:paraId="4B2DF0CA" w14:textId="2E7C65D0" w:rsidR="00667754" w:rsidRDefault="00667754">
          <w:r>
            <w:rPr>
              <w:noProof/>
            </w:rPr>
            <mc:AlternateContent>
              <mc:Choice Requires="wpg">
                <w:drawing>
                  <wp:anchor distT="0" distB="0" distL="114300" distR="114300" simplePos="0" relativeHeight="251662336" behindDoc="0" locked="0" layoutInCell="1" allowOverlap="1" wp14:anchorId="3C7B54FE" wp14:editId="31F57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4797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D7AF36" wp14:editId="50696F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D110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D7AF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D1107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16E0C7" wp14:editId="0E6C4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9E1CC" w14:textId="543D88A0" w:rsidR="00667754" w:rsidRDefault="00D1107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66E8">
                                      <w:rPr>
                                        <w:caps/>
                                        <w:color w:val="156082" w:themeColor="accent1"/>
                                        <w:sz w:val="64"/>
                                        <w:szCs w:val="64"/>
                                      </w:rPr>
                                      <w:t>contract administration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5C425445" w:rsidR="00667754" w:rsidRDefault="00667754">
                                    <w:pPr>
                                      <w:jc w:val="right"/>
                                      <w:rPr>
                                        <w:smallCaps/>
                                        <w:color w:val="404040" w:themeColor="text1" w:themeTint="BF"/>
                                        <w:sz w:val="36"/>
                                        <w:szCs w:val="36"/>
                                      </w:rPr>
                                    </w:pPr>
                                    <w:r>
                                      <w:rPr>
                                        <w:color w:val="404040" w:themeColor="text1" w:themeTint="BF"/>
                                        <w:sz w:val="36"/>
                                        <w:szCs w:val="36"/>
                                      </w:rPr>
                                      <w:t xml:space="preserve">Assignment </w:t>
                                    </w:r>
                                    <w:r w:rsidR="000E23BB">
                                      <w:rPr>
                                        <w:color w:val="404040" w:themeColor="text1" w:themeTint="BF"/>
                                        <w:sz w:val="36"/>
                                        <w:szCs w:val="36"/>
                                      </w:rPr>
                                      <w:t>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16E0C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F9E1CC" w14:textId="543D88A0" w:rsidR="00667754" w:rsidRDefault="00D1107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66E8">
                                <w:rPr>
                                  <w:caps/>
                                  <w:color w:val="156082" w:themeColor="accent1"/>
                                  <w:sz w:val="64"/>
                                  <w:szCs w:val="64"/>
                                </w:rPr>
                                <w:t>contract administration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5C425445" w:rsidR="00667754" w:rsidRDefault="00667754">
                              <w:pPr>
                                <w:jc w:val="right"/>
                                <w:rPr>
                                  <w:smallCaps/>
                                  <w:color w:val="404040" w:themeColor="text1" w:themeTint="BF"/>
                                  <w:sz w:val="36"/>
                                  <w:szCs w:val="36"/>
                                </w:rPr>
                              </w:pPr>
                              <w:r>
                                <w:rPr>
                                  <w:color w:val="404040" w:themeColor="text1" w:themeTint="BF"/>
                                  <w:sz w:val="36"/>
                                  <w:szCs w:val="36"/>
                                </w:rPr>
                                <w:t xml:space="preserve">Assignment </w:t>
                              </w:r>
                              <w:r w:rsidR="000E23BB">
                                <w:rPr>
                                  <w:color w:val="404040" w:themeColor="text1" w:themeTint="BF"/>
                                  <w:sz w:val="36"/>
                                  <w:szCs w:val="36"/>
                                </w:rPr>
                                <w:t>1</w:t>
                              </w:r>
                            </w:p>
                          </w:sdtContent>
                        </w:sdt>
                      </w:txbxContent>
                    </v:textbox>
                    <w10:wrap type="square" anchorx="page" anchory="page"/>
                  </v:shape>
                </w:pict>
              </mc:Fallback>
            </mc:AlternateContent>
          </w:r>
        </w:p>
        <w:p w14:paraId="74213A06" w14:textId="68EC9EBB" w:rsidR="00667754" w:rsidRDefault="00667754" w:rsidP="00BC1E8C">
          <w:r>
            <w:br w:type="page"/>
          </w:r>
        </w:p>
      </w:sdtContent>
    </w:sdt>
    <w:sdt>
      <w:sdtPr>
        <w:rPr>
          <w:rFonts w:asciiTheme="minorHAnsi" w:eastAsiaTheme="minorEastAsia" w:hAnsiTheme="minorHAnsi" w:cstheme="minorBidi"/>
          <w:caps w:val="0"/>
          <w:spacing w:val="0"/>
          <w:sz w:val="21"/>
          <w:szCs w:val="21"/>
        </w:rPr>
        <w:id w:val="1253089719"/>
        <w:docPartObj>
          <w:docPartGallery w:val="Table of Contents"/>
          <w:docPartUnique/>
        </w:docPartObj>
      </w:sdtPr>
      <w:sdtEndPr>
        <w:rPr>
          <w:b/>
          <w:bCs/>
        </w:rPr>
      </w:sdtEndPr>
      <w:sdtContent>
        <w:p w14:paraId="55EE0ED6" w14:textId="5ECE246E" w:rsidR="00F843AE" w:rsidRDefault="00F843AE">
          <w:pPr>
            <w:pStyle w:val="TOCHeading"/>
          </w:pPr>
          <w:r>
            <w:t>Contents</w:t>
          </w:r>
        </w:p>
        <w:p w14:paraId="5DF2FD92" w14:textId="0BDAD3C9" w:rsidR="00A3708C" w:rsidRDefault="00F843AE">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236043838" w:history="1">
            <w:r w:rsidR="00A3708C" w:rsidRPr="0013484F">
              <w:rPr>
                <w:rStyle w:val="Hyperlink"/>
                <w:noProof/>
              </w:rPr>
              <w:t>Introduction</w:t>
            </w:r>
            <w:r w:rsidR="00A3708C">
              <w:rPr>
                <w:noProof/>
                <w:webHidden/>
              </w:rPr>
              <w:tab/>
            </w:r>
            <w:r w:rsidR="00A3708C">
              <w:rPr>
                <w:noProof/>
                <w:webHidden/>
              </w:rPr>
              <w:fldChar w:fldCharType="begin"/>
            </w:r>
            <w:r w:rsidR="00A3708C">
              <w:rPr>
                <w:noProof/>
                <w:webHidden/>
              </w:rPr>
              <w:instrText xml:space="preserve"> PAGEREF _Toc236043838 \h </w:instrText>
            </w:r>
            <w:r w:rsidR="00A3708C">
              <w:rPr>
                <w:noProof/>
                <w:webHidden/>
              </w:rPr>
            </w:r>
            <w:r w:rsidR="00A3708C">
              <w:rPr>
                <w:noProof/>
                <w:webHidden/>
              </w:rPr>
              <w:fldChar w:fldCharType="separate"/>
            </w:r>
            <w:r w:rsidR="00A3708C">
              <w:rPr>
                <w:noProof/>
                <w:webHidden/>
              </w:rPr>
              <w:t>1</w:t>
            </w:r>
            <w:r w:rsidR="00A3708C">
              <w:rPr>
                <w:noProof/>
                <w:webHidden/>
              </w:rPr>
              <w:fldChar w:fldCharType="end"/>
            </w:r>
          </w:hyperlink>
        </w:p>
        <w:p w14:paraId="4DF6BDA7" w14:textId="1CF55FE2" w:rsidR="00A3708C" w:rsidRDefault="00A3708C">
          <w:pPr>
            <w:pStyle w:val="TOC1"/>
            <w:tabs>
              <w:tab w:val="right" w:leader="dot" w:pos="10456"/>
            </w:tabs>
            <w:rPr>
              <w:noProof/>
              <w:kern w:val="2"/>
              <w:sz w:val="24"/>
              <w:szCs w:val="24"/>
              <w:lang w:eastAsia="en-GB"/>
              <w14:ligatures w14:val="standardContextual"/>
            </w:rPr>
          </w:pPr>
          <w:hyperlink w:anchor="_Toc236043839" w:history="1">
            <w:r w:rsidRPr="0013484F">
              <w:rPr>
                <w:rStyle w:val="Hyperlink"/>
                <w:noProof/>
              </w:rPr>
              <w:t>Clause 3.10 – Contract Instructions</w:t>
            </w:r>
            <w:r>
              <w:rPr>
                <w:noProof/>
                <w:webHidden/>
              </w:rPr>
              <w:tab/>
            </w:r>
            <w:r>
              <w:rPr>
                <w:noProof/>
                <w:webHidden/>
              </w:rPr>
              <w:fldChar w:fldCharType="begin"/>
            </w:r>
            <w:r>
              <w:rPr>
                <w:noProof/>
                <w:webHidden/>
              </w:rPr>
              <w:instrText xml:space="preserve"> PAGEREF _Toc236043839 \h </w:instrText>
            </w:r>
            <w:r>
              <w:rPr>
                <w:noProof/>
                <w:webHidden/>
              </w:rPr>
            </w:r>
            <w:r>
              <w:rPr>
                <w:noProof/>
                <w:webHidden/>
              </w:rPr>
              <w:fldChar w:fldCharType="separate"/>
            </w:r>
            <w:r>
              <w:rPr>
                <w:noProof/>
                <w:webHidden/>
              </w:rPr>
              <w:t>1</w:t>
            </w:r>
            <w:r>
              <w:rPr>
                <w:noProof/>
                <w:webHidden/>
              </w:rPr>
              <w:fldChar w:fldCharType="end"/>
            </w:r>
          </w:hyperlink>
        </w:p>
        <w:p w14:paraId="0DD693ED" w14:textId="2A557851" w:rsidR="00A3708C" w:rsidRDefault="00A3708C">
          <w:pPr>
            <w:pStyle w:val="TOC1"/>
            <w:tabs>
              <w:tab w:val="right" w:leader="dot" w:pos="10456"/>
            </w:tabs>
            <w:rPr>
              <w:noProof/>
              <w:kern w:val="2"/>
              <w:sz w:val="24"/>
              <w:szCs w:val="24"/>
              <w:lang w:eastAsia="en-GB"/>
              <w14:ligatures w14:val="standardContextual"/>
            </w:rPr>
          </w:pPr>
          <w:hyperlink w:anchor="_Toc236043840" w:history="1">
            <w:r w:rsidRPr="0013484F">
              <w:rPr>
                <w:rStyle w:val="Hyperlink"/>
                <w:noProof/>
              </w:rPr>
              <w:t>Clauses 5.1–5.3 – Variations</w:t>
            </w:r>
            <w:r>
              <w:rPr>
                <w:noProof/>
                <w:webHidden/>
              </w:rPr>
              <w:tab/>
            </w:r>
            <w:r>
              <w:rPr>
                <w:noProof/>
                <w:webHidden/>
              </w:rPr>
              <w:fldChar w:fldCharType="begin"/>
            </w:r>
            <w:r>
              <w:rPr>
                <w:noProof/>
                <w:webHidden/>
              </w:rPr>
              <w:instrText xml:space="preserve"> PAGEREF _Toc236043840 \h </w:instrText>
            </w:r>
            <w:r>
              <w:rPr>
                <w:noProof/>
                <w:webHidden/>
              </w:rPr>
            </w:r>
            <w:r>
              <w:rPr>
                <w:noProof/>
                <w:webHidden/>
              </w:rPr>
              <w:fldChar w:fldCharType="separate"/>
            </w:r>
            <w:r>
              <w:rPr>
                <w:noProof/>
                <w:webHidden/>
              </w:rPr>
              <w:t>1</w:t>
            </w:r>
            <w:r>
              <w:rPr>
                <w:noProof/>
                <w:webHidden/>
              </w:rPr>
              <w:fldChar w:fldCharType="end"/>
            </w:r>
          </w:hyperlink>
        </w:p>
        <w:p w14:paraId="7BF59FEB" w14:textId="05FC33EF" w:rsidR="00A3708C" w:rsidRDefault="00A3708C">
          <w:pPr>
            <w:pStyle w:val="TOC1"/>
            <w:tabs>
              <w:tab w:val="right" w:leader="dot" w:pos="10456"/>
            </w:tabs>
            <w:rPr>
              <w:noProof/>
              <w:kern w:val="2"/>
              <w:sz w:val="24"/>
              <w:szCs w:val="24"/>
              <w:lang w:eastAsia="en-GB"/>
              <w14:ligatures w14:val="standardContextual"/>
            </w:rPr>
          </w:pPr>
          <w:hyperlink w:anchor="_Toc236043841" w:history="1">
            <w:r w:rsidRPr="0013484F">
              <w:rPr>
                <w:rStyle w:val="Hyperlink"/>
                <w:noProof/>
              </w:rPr>
              <w:t>Clause 4.20 – Valuation of Variations</w:t>
            </w:r>
            <w:r>
              <w:rPr>
                <w:noProof/>
                <w:webHidden/>
              </w:rPr>
              <w:tab/>
            </w:r>
            <w:r>
              <w:rPr>
                <w:noProof/>
                <w:webHidden/>
              </w:rPr>
              <w:fldChar w:fldCharType="begin"/>
            </w:r>
            <w:r>
              <w:rPr>
                <w:noProof/>
                <w:webHidden/>
              </w:rPr>
              <w:instrText xml:space="preserve"> PAGEREF _Toc236043841 \h </w:instrText>
            </w:r>
            <w:r>
              <w:rPr>
                <w:noProof/>
                <w:webHidden/>
              </w:rPr>
            </w:r>
            <w:r>
              <w:rPr>
                <w:noProof/>
                <w:webHidden/>
              </w:rPr>
              <w:fldChar w:fldCharType="separate"/>
            </w:r>
            <w:r>
              <w:rPr>
                <w:noProof/>
                <w:webHidden/>
              </w:rPr>
              <w:t>2</w:t>
            </w:r>
            <w:r>
              <w:rPr>
                <w:noProof/>
                <w:webHidden/>
              </w:rPr>
              <w:fldChar w:fldCharType="end"/>
            </w:r>
          </w:hyperlink>
        </w:p>
        <w:p w14:paraId="1904FCC0" w14:textId="1F7A2BFA" w:rsidR="00A3708C" w:rsidRDefault="00A3708C">
          <w:pPr>
            <w:pStyle w:val="TOC1"/>
            <w:tabs>
              <w:tab w:val="right" w:leader="dot" w:pos="10456"/>
            </w:tabs>
            <w:rPr>
              <w:noProof/>
              <w:kern w:val="2"/>
              <w:sz w:val="24"/>
              <w:szCs w:val="24"/>
              <w:lang w:eastAsia="en-GB"/>
              <w14:ligatures w14:val="standardContextual"/>
            </w:rPr>
          </w:pPr>
          <w:hyperlink w:anchor="_Toc236043842" w:history="1">
            <w:r w:rsidRPr="0013484F">
              <w:rPr>
                <w:rStyle w:val="Hyperlink"/>
                <w:noProof/>
              </w:rPr>
              <w:t>The Role of the Contract Administrator</w:t>
            </w:r>
            <w:r>
              <w:rPr>
                <w:noProof/>
                <w:webHidden/>
              </w:rPr>
              <w:tab/>
            </w:r>
            <w:r>
              <w:rPr>
                <w:noProof/>
                <w:webHidden/>
              </w:rPr>
              <w:fldChar w:fldCharType="begin"/>
            </w:r>
            <w:r>
              <w:rPr>
                <w:noProof/>
                <w:webHidden/>
              </w:rPr>
              <w:instrText xml:space="preserve"> PAGEREF _Toc236043842 \h </w:instrText>
            </w:r>
            <w:r>
              <w:rPr>
                <w:noProof/>
                <w:webHidden/>
              </w:rPr>
            </w:r>
            <w:r>
              <w:rPr>
                <w:noProof/>
                <w:webHidden/>
              </w:rPr>
              <w:fldChar w:fldCharType="separate"/>
            </w:r>
            <w:r>
              <w:rPr>
                <w:noProof/>
                <w:webHidden/>
              </w:rPr>
              <w:t>2</w:t>
            </w:r>
            <w:r>
              <w:rPr>
                <w:noProof/>
                <w:webHidden/>
              </w:rPr>
              <w:fldChar w:fldCharType="end"/>
            </w:r>
          </w:hyperlink>
        </w:p>
        <w:p w14:paraId="6F610752" w14:textId="6E6BA0EE" w:rsidR="00A3708C" w:rsidRDefault="00A3708C">
          <w:pPr>
            <w:pStyle w:val="TOC1"/>
            <w:tabs>
              <w:tab w:val="right" w:leader="dot" w:pos="10456"/>
            </w:tabs>
            <w:rPr>
              <w:noProof/>
              <w:kern w:val="2"/>
              <w:sz w:val="24"/>
              <w:szCs w:val="24"/>
              <w:lang w:eastAsia="en-GB"/>
              <w14:ligatures w14:val="standardContextual"/>
            </w:rPr>
          </w:pPr>
          <w:hyperlink w:anchor="_Toc236043843" w:history="1">
            <w:r w:rsidRPr="0013484F">
              <w:rPr>
                <w:rStyle w:val="Hyperlink"/>
                <w:noProof/>
              </w:rPr>
              <w:t>How the Contractor Should Respond</w:t>
            </w:r>
            <w:r>
              <w:rPr>
                <w:noProof/>
                <w:webHidden/>
              </w:rPr>
              <w:tab/>
            </w:r>
            <w:r>
              <w:rPr>
                <w:noProof/>
                <w:webHidden/>
              </w:rPr>
              <w:fldChar w:fldCharType="begin"/>
            </w:r>
            <w:r>
              <w:rPr>
                <w:noProof/>
                <w:webHidden/>
              </w:rPr>
              <w:instrText xml:space="preserve"> PAGEREF _Toc236043843 \h </w:instrText>
            </w:r>
            <w:r>
              <w:rPr>
                <w:noProof/>
                <w:webHidden/>
              </w:rPr>
            </w:r>
            <w:r>
              <w:rPr>
                <w:noProof/>
                <w:webHidden/>
              </w:rPr>
              <w:fldChar w:fldCharType="separate"/>
            </w:r>
            <w:r>
              <w:rPr>
                <w:noProof/>
                <w:webHidden/>
              </w:rPr>
              <w:t>2</w:t>
            </w:r>
            <w:r>
              <w:rPr>
                <w:noProof/>
                <w:webHidden/>
              </w:rPr>
              <w:fldChar w:fldCharType="end"/>
            </w:r>
          </w:hyperlink>
        </w:p>
        <w:p w14:paraId="7862D01E" w14:textId="3C4EF1E7" w:rsidR="00A3708C" w:rsidRDefault="00A3708C">
          <w:pPr>
            <w:pStyle w:val="TOC1"/>
            <w:tabs>
              <w:tab w:val="right" w:leader="dot" w:pos="10456"/>
            </w:tabs>
            <w:rPr>
              <w:noProof/>
              <w:kern w:val="2"/>
              <w:sz w:val="24"/>
              <w:szCs w:val="24"/>
              <w:lang w:eastAsia="en-GB"/>
              <w14:ligatures w14:val="standardContextual"/>
            </w:rPr>
          </w:pPr>
          <w:hyperlink w:anchor="_Toc236043844" w:history="1">
            <w:r w:rsidRPr="0013484F">
              <w:rPr>
                <w:rStyle w:val="Hyperlink"/>
                <w:noProof/>
              </w:rPr>
              <w:t>Commercial Control and Reducing Disputes</w:t>
            </w:r>
            <w:r>
              <w:rPr>
                <w:noProof/>
                <w:webHidden/>
              </w:rPr>
              <w:tab/>
            </w:r>
            <w:r>
              <w:rPr>
                <w:noProof/>
                <w:webHidden/>
              </w:rPr>
              <w:fldChar w:fldCharType="begin"/>
            </w:r>
            <w:r>
              <w:rPr>
                <w:noProof/>
                <w:webHidden/>
              </w:rPr>
              <w:instrText xml:space="preserve"> PAGEREF _Toc236043844 \h </w:instrText>
            </w:r>
            <w:r>
              <w:rPr>
                <w:noProof/>
                <w:webHidden/>
              </w:rPr>
            </w:r>
            <w:r>
              <w:rPr>
                <w:noProof/>
                <w:webHidden/>
              </w:rPr>
              <w:fldChar w:fldCharType="separate"/>
            </w:r>
            <w:r>
              <w:rPr>
                <w:noProof/>
                <w:webHidden/>
              </w:rPr>
              <w:t>2</w:t>
            </w:r>
            <w:r>
              <w:rPr>
                <w:noProof/>
                <w:webHidden/>
              </w:rPr>
              <w:fldChar w:fldCharType="end"/>
            </w:r>
          </w:hyperlink>
        </w:p>
        <w:p w14:paraId="01D70E81" w14:textId="76F4C3EA" w:rsidR="00A3708C" w:rsidRDefault="00A3708C">
          <w:pPr>
            <w:pStyle w:val="TOC1"/>
            <w:tabs>
              <w:tab w:val="right" w:leader="dot" w:pos="10456"/>
            </w:tabs>
            <w:rPr>
              <w:noProof/>
              <w:kern w:val="2"/>
              <w:sz w:val="24"/>
              <w:szCs w:val="24"/>
              <w:lang w:eastAsia="en-GB"/>
              <w14:ligatures w14:val="standardContextual"/>
            </w:rPr>
          </w:pPr>
          <w:hyperlink w:anchor="_Toc236043845" w:history="1">
            <w:r w:rsidRPr="0013484F">
              <w:rPr>
                <w:rStyle w:val="Hyperlink"/>
                <w:noProof/>
              </w:rPr>
              <w:t>Conclusion</w:t>
            </w:r>
            <w:r>
              <w:rPr>
                <w:noProof/>
                <w:webHidden/>
              </w:rPr>
              <w:tab/>
            </w:r>
            <w:r>
              <w:rPr>
                <w:noProof/>
                <w:webHidden/>
              </w:rPr>
              <w:fldChar w:fldCharType="begin"/>
            </w:r>
            <w:r>
              <w:rPr>
                <w:noProof/>
                <w:webHidden/>
              </w:rPr>
              <w:instrText xml:space="preserve"> PAGEREF _Toc236043845 \h </w:instrText>
            </w:r>
            <w:r>
              <w:rPr>
                <w:noProof/>
                <w:webHidden/>
              </w:rPr>
            </w:r>
            <w:r>
              <w:rPr>
                <w:noProof/>
                <w:webHidden/>
              </w:rPr>
              <w:fldChar w:fldCharType="separate"/>
            </w:r>
            <w:r>
              <w:rPr>
                <w:noProof/>
                <w:webHidden/>
              </w:rPr>
              <w:t>2</w:t>
            </w:r>
            <w:r>
              <w:rPr>
                <w:noProof/>
                <w:webHidden/>
              </w:rPr>
              <w:fldChar w:fldCharType="end"/>
            </w:r>
          </w:hyperlink>
        </w:p>
        <w:p w14:paraId="32542B3A" w14:textId="33D96117" w:rsidR="00A3708C" w:rsidRDefault="00A3708C">
          <w:pPr>
            <w:pStyle w:val="TOC1"/>
            <w:tabs>
              <w:tab w:val="right" w:leader="dot" w:pos="10456"/>
            </w:tabs>
            <w:rPr>
              <w:noProof/>
              <w:kern w:val="2"/>
              <w:sz w:val="24"/>
              <w:szCs w:val="24"/>
              <w:lang w:eastAsia="en-GB"/>
              <w14:ligatures w14:val="standardContextual"/>
            </w:rPr>
          </w:pPr>
          <w:hyperlink w:anchor="_Toc236043846" w:history="1">
            <w:r w:rsidRPr="0013484F">
              <w:rPr>
                <w:rStyle w:val="Hyperlink"/>
                <w:noProof/>
              </w:rPr>
              <w:t>Reference list</w:t>
            </w:r>
            <w:r>
              <w:rPr>
                <w:noProof/>
                <w:webHidden/>
              </w:rPr>
              <w:tab/>
            </w:r>
            <w:r>
              <w:rPr>
                <w:noProof/>
                <w:webHidden/>
              </w:rPr>
              <w:fldChar w:fldCharType="begin"/>
            </w:r>
            <w:r>
              <w:rPr>
                <w:noProof/>
                <w:webHidden/>
              </w:rPr>
              <w:instrText xml:space="preserve"> PAGEREF _Toc236043846 \h </w:instrText>
            </w:r>
            <w:r>
              <w:rPr>
                <w:noProof/>
                <w:webHidden/>
              </w:rPr>
            </w:r>
            <w:r>
              <w:rPr>
                <w:noProof/>
                <w:webHidden/>
              </w:rPr>
              <w:fldChar w:fldCharType="separate"/>
            </w:r>
            <w:r>
              <w:rPr>
                <w:noProof/>
                <w:webHidden/>
              </w:rPr>
              <w:t>3</w:t>
            </w:r>
            <w:r>
              <w:rPr>
                <w:noProof/>
                <w:webHidden/>
              </w:rPr>
              <w:fldChar w:fldCharType="end"/>
            </w:r>
          </w:hyperlink>
        </w:p>
        <w:p w14:paraId="536672A9" w14:textId="620B2B09" w:rsidR="00191FF0" w:rsidRDefault="00F843AE" w:rsidP="009C16CF">
          <w:pPr>
            <w:rPr>
              <w:b/>
              <w:bCs/>
            </w:rPr>
          </w:pPr>
          <w:r>
            <w:rPr>
              <w:b/>
              <w:bCs/>
            </w:rPr>
            <w:fldChar w:fldCharType="end"/>
          </w:r>
        </w:p>
        <w:p w14:paraId="57D5F3AE" w14:textId="38250FEF" w:rsidR="0052322E" w:rsidRPr="00191FF0" w:rsidRDefault="00D1107C" w:rsidP="009C16CF"/>
      </w:sdtContent>
    </w:sdt>
    <w:p w14:paraId="2B62B670" w14:textId="6BD15B14" w:rsidR="00667754" w:rsidRPr="00F403F0" w:rsidRDefault="00A672B9" w:rsidP="00BD77BC">
      <w:pPr>
        <w:pStyle w:val="Heading1"/>
      </w:pPr>
      <w:bookmarkStart w:id="0" w:name="_Toc236043838"/>
      <w:r w:rsidRPr="00F403F0">
        <w:t>Introduction</w:t>
      </w:r>
      <w:bookmarkEnd w:id="0"/>
    </w:p>
    <w:p w14:paraId="7FBE3151" w14:textId="77777777" w:rsidR="00F65B36" w:rsidRPr="00851683" w:rsidRDefault="00F65B36" w:rsidP="00F65B36">
      <w:pPr>
        <w:spacing w:line="259" w:lineRule="auto"/>
      </w:pPr>
      <w:r w:rsidRPr="00851683">
        <w:t>Construction projects rarely stay exactly as they were designed at tender stage. Changes often happen because of client requests, design development or unforeseen issues once work starts on site. The JCT Standard Building Contract with Quantities 2016 (SBC/Q 2016) includes procedures for managing these changes through contract instructions and variations. Following these procedures correctly helps ensure contractors are paid for additional work while protecting the employer from unnecessary costs and disputes.</w:t>
      </w:r>
    </w:p>
    <w:p w14:paraId="3E76E1A5" w14:textId="77777777" w:rsidR="00F65B36" w:rsidRPr="00851683" w:rsidRDefault="00F65B36" w:rsidP="00F65B36">
      <w:pPr>
        <w:spacing w:line="259" w:lineRule="auto"/>
      </w:pPr>
      <w:r w:rsidRPr="00851683">
        <w:t>As an apprentice Quantity Surveyor working for a small to medium-sized contractor in South Wales, I have seen how important contract administration is, particularly on refurbishment projects where variations are common. In my experience, projects that have been rushed or not fully designed before starting usually generate the most variations. This report discusses Clauses 3.10, 5.1–5.3 and 4.20 of the JCT SBC/Q 2016, the role of the Contract Administrator and how contractors should respond to variation instructions.</w:t>
      </w:r>
    </w:p>
    <w:p w14:paraId="71BB3C19" w14:textId="77777777" w:rsidR="00F65B36" w:rsidRPr="00851683" w:rsidRDefault="00F65B36" w:rsidP="00F65B36">
      <w:pPr>
        <w:pStyle w:val="Heading1"/>
      </w:pPr>
      <w:bookmarkStart w:id="1" w:name="_Toc236043839"/>
      <w:r w:rsidRPr="00851683">
        <w:t>Clause 3.10 – Contract Instructions</w:t>
      </w:r>
      <w:bookmarkEnd w:id="1"/>
    </w:p>
    <w:p w14:paraId="36FD7E06" w14:textId="77777777" w:rsidR="00F65B36" w:rsidRPr="00851683" w:rsidRDefault="00F65B36" w:rsidP="00F65B36">
      <w:pPr>
        <w:spacing w:line="259" w:lineRule="auto"/>
      </w:pPr>
      <w:r w:rsidRPr="00851683">
        <w:t>Clause 3.10 allows the Contract Administrator (CA) to issue instructions needed for the proper completion of the works. These may include changes to drawings, specifications or additional work that becomes necessary during construction.</w:t>
      </w:r>
    </w:p>
    <w:p w14:paraId="35D8783C" w14:textId="77777777" w:rsidR="00F65B36" w:rsidRPr="00851683" w:rsidRDefault="00F65B36" w:rsidP="00F65B36">
      <w:pPr>
        <w:spacing w:line="259" w:lineRule="auto"/>
      </w:pPr>
      <w:r w:rsidRPr="00851683">
        <w:t>This clause is important because it clearly identifies who has the authority to issue instructions. Contractors should not carry out additional work based on requests from clients, school staff or consultants unless those requests have been confirmed by the Contract Administrator.</w:t>
      </w:r>
    </w:p>
    <w:p w14:paraId="4C895749" w14:textId="77777777" w:rsidR="00F65B36" w:rsidRPr="00851683" w:rsidRDefault="00F65B36" w:rsidP="00F65B36">
      <w:pPr>
        <w:spacing w:line="259" w:lineRule="auto"/>
      </w:pPr>
      <w:r w:rsidRPr="00851683">
        <w:t>For example, if a school caretaker asks for extra decorating work during a refurbishment, the contractor should explain that the request must first be approved by the Contract Administrator. Completing the work without a formal instruction could result in the contractor not being paid. This process protects both parties by providing a clear record of the instruction.</w:t>
      </w:r>
    </w:p>
    <w:p w14:paraId="4BE65BEB" w14:textId="77777777" w:rsidR="00F65B36" w:rsidRPr="00851683" w:rsidRDefault="00F65B36" w:rsidP="00F65B36">
      <w:pPr>
        <w:pStyle w:val="Heading1"/>
      </w:pPr>
      <w:bookmarkStart w:id="2" w:name="_Toc236043840"/>
      <w:r w:rsidRPr="00851683">
        <w:t>Clauses 5.1–5.3 – Variations</w:t>
      </w:r>
      <w:bookmarkEnd w:id="2"/>
    </w:p>
    <w:p w14:paraId="5F611C63" w14:textId="77777777" w:rsidR="00F65B36" w:rsidRPr="00851683" w:rsidRDefault="00F65B36" w:rsidP="00F65B36">
      <w:pPr>
        <w:spacing w:line="259" w:lineRule="auto"/>
      </w:pPr>
      <w:r w:rsidRPr="00851683">
        <w:t>Clauses 5.1 to 5.3 explain what a variation is and how it should be managed. A variation includes changes to the original contract works such as additional work, omissions, different materials or alterations to the sequence of work.</w:t>
      </w:r>
    </w:p>
    <w:p w14:paraId="2B8AEFE3" w14:textId="77777777" w:rsidR="00F65B36" w:rsidRPr="00851683" w:rsidRDefault="00F65B36" w:rsidP="00F65B36">
      <w:pPr>
        <w:spacing w:line="259" w:lineRule="auto"/>
      </w:pPr>
      <w:r w:rsidRPr="00851683">
        <w:lastRenderedPageBreak/>
        <w:t>Variation instructions should normally be issued in writing. If an instruction is given verbally, it should be confirmed in writing as soon as possible. From the contractor's perspective, written confirmation is important because it provides evidence if payment is disputed later.</w:t>
      </w:r>
    </w:p>
    <w:p w14:paraId="0C219CDA" w14:textId="77777777" w:rsidR="00F65B36" w:rsidRPr="00851683" w:rsidRDefault="00F65B36" w:rsidP="00F65B36">
      <w:pPr>
        <w:spacing w:line="259" w:lineRule="auto"/>
      </w:pPr>
      <w:r w:rsidRPr="00851683">
        <w:t>On refurbishment projects in Wales, variations are often caused by hidden defects that only become visible once existing finishes have been removed. Damaged timbers, asbestos or defective drainage are common examples that require additional work outside the original scope.</w:t>
      </w:r>
    </w:p>
    <w:p w14:paraId="008B1251" w14:textId="77777777" w:rsidR="00F65B36" w:rsidRPr="00851683" w:rsidRDefault="00F65B36" w:rsidP="00F65B36">
      <w:pPr>
        <w:pStyle w:val="Heading1"/>
      </w:pPr>
      <w:bookmarkStart w:id="3" w:name="_Toc236043841"/>
      <w:r w:rsidRPr="00851683">
        <w:t>Clause 4.20 – Valuation of Variations</w:t>
      </w:r>
      <w:bookmarkEnd w:id="3"/>
    </w:p>
    <w:p w14:paraId="724A6CF6" w14:textId="77777777" w:rsidR="00F65B36" w:rsidRPr="00851683" w:rsidRDefault="00F65B36" w:rsidP="00F65B36">
      <w:pPr>
        <w:spacing w:line="259" w:lineRule="auto"/>
      </w:pPr>
      <w:r w:rsidRPr="00851683">
        <w:t>Clause 4.20 explains how variations should be valued. Existing rates within the Bills of Quantities should be used where they remain suitable. If the work is significantly different, new fair rates should be agreed based on labour, materials, plant and site conditions.</w:t>
      </w:r>
    </w:p>
    <w:p w14:paraId="2C431AC5" w14:textId="77777777" w:rsidR="00F65B36" w:rsidRPr="00851683" w:rsidRDefault="00F65B36" w:rsidP="00F65B36">
      <w:pPr>
        <w:spacing w:line="259" w:lineRule="auto"/>
      </w:pPr>
      <w:r w:rsidRPr="00851683">
        <w:t>As a Quantity Surveyor working for Neath Construction, keeping accurate records is essential. Labour hours, supplier invoices, plant costs and photographs all help support the valuation. Without good records, recovering additional costs becomes much more difficult.</w:t>
      </w:r>
    </w:p>
    <w:p w14:paraId="2566D142" w14:textId="77777777" w:rsidR="00F65B36" w:rsidRPr="00851683" w:rsidRDefault="00F65B36" w:rsidP="00F65B36">
      <w:pPr>
        <w:pStyle w:val="Heading1"/>
      </w:pPr>
      <w:bookmarkStart w:id="4" w:name="_Toc236043842"/>
      <w:r w:rsidRPr="00851683">
        <w:t>The Role of the Contract Administrator</w:t>
      </w:r>
      <w:bookmarkEnd w:id="4"/>
    </w:p>
    <w:p w14:paraId="747694B5" w14:textId="77777777" w:rsidR="00F65B36" w:rsidRPr="00851683" w:rsidRDefault="00F65B36" w:rsidP="00F65B36">
      <w:pPr>
        <w:spacing w:line="259" w:lineRule="auto"/>
      </w:pPr>
      <w:r w:rsidRPr="00851683">
        <w:t>The Contract Administrator is responsible for issuing instructions, deciding whether work is a variation, valuing variations and assessing any extension of time. Although appointed by the employer, they are expected to act fairly when carrying out these duties.</w:t>
      </w:r>
    </w:p>
    <w:p w14:paraId="0433EBC1" w14:textId="77777777" w:rsidR="00F65B36" w:rsidRPr="00851683" w:rsidRDefault="00F65B36" w:rsidP="00F65B36">
      <w:pPr>
        <w:spacing w:line="259" w:lineRule="auto"/>
      </w:pPr>
      <w:r w:rsidRPr="00851683">
        <w:t>Clear communication is essential. Delays in issuing instructions or agreeing valuations can affect the contractor's cash flow and delay progress. From my experience, subcontractors are often reluctant to continue additional work until they know it has been formally instructed and will be paid for.</w:t>
      </w:r>
    </w:p>
    <w:p w14:paraId="56E7F24D" w14:textId="77777777" w:rsidR="00F65B36" w:rsidRPr="00851683" w:rsidRDefault="00F65B36" w:rsidP="00F65B36">
      <w:pPr>
        <w:pStyle w:val="Heading1"/>
      </w:pPr>
      <w:bookmarkStart w:id="5" w:name="_Toc236043843"/>
      <w:r w:rsidRPr="00851683">
        <w:t>How the Contractor Should Respond</w:t>
      </w:r>
      <w:bookmarkEnd w:id="5"/>
    </w:p>
    <w:p w14:paraId="1B474DBD" w14:textId="77777777" w:rsidR="00F65B36" w:rsidRPr="00851683" w:rsidRDefault="00F65B36" w:rsidP="00F65B36">
      <w:pPr>
        <w:spacing w:line="259" w:lineRule="auto"/>
      </w:pPr>
      <w:r w:rsidRPr="00851683">
        <w:t>When a variation instruction is received, the contractor should first check that it has come from the Contract Administrator. If it has only been given verbally, written confirmation should be requested before carrying out the work where possible.</w:t>
      </w:r>
    </w:p>
    <w:p w14:paraId="197E165E" w14:textId="77777777" w:rsidR="00F65B36" w:rsidRPr="00851683" w:rsidRDefault="00F65B36" w:rsidP="00F65B36">
      <w:pPr>
        <w:spacing w:line="259" w:lineRule="auto"/>
      </w:pPr>
      <w:r w:rsidRPr="00851683">
        <w:t>The contractor should then assess the effect on labour, materials, plant, programme and cost. If completion is likely to be delayed, the Contract Administrator should be notified promptly so an extension of time can be considered.</w:t>
      </w:r>
    </w:p>
    <w:p w14:paraId="152CCB4C" w14:textId="77777777" w:rsidR="00F65B36" w:rsidRPr="00851683" w:rsidRDefault="00F65B36" w:rsidP="00F65B36">
      <w:pPr>
        <w:spacing w:line="259" w:lineRule="auto"/>
      </w:pPr>
      <w:r w:rsidRPr="00851683">
        <w:t>Detailed records should be kept throughout the work, including site diaries, photographs, labour allocations and supplier invoices. These records provide valuable evidence when agreeing the value of the variation or resolving disagreements.</w:t>
      </w:r>
    </w:p>
    <w:p w14:paraId="727FF075" w14:textId="77777777" w:rsidR="00F65B36" w:rsidRPr="00851683" w:rsidRDefault="00F65B36" w:rsidP="00F65B36">
      <w:pPr>
        <w:pStyle w:val="Heading1"/>
      </w:pPr>
      <w:bookmarkStart w:id="6" w:name="_Toc236043844"/>
      <w:r w:rsidRPr="00851683">
        <w:t>Commercial Control and Reducing Disputes</w:t>
      </w:r>
      <w:bookmarkEnd w:id="6"/>
    </w:p>
    <w:p w14:paraId="3138AE24" w14:textId="77777777" w:rsidR="00F65B36" w:rsidRPr="00851683" w:rsidRDefault="00F65B36" w:rsidP="00F65B36">
      <w:pPr>
        <w:spacing w:line="259" w:lineRule="auto"/>
      </w:pPr>
      <w:r w:rsidRPr="00851683">
        <w:t>Good contract administration improves commercial control by ensuring variations are identified, recorded and valued correctly. This reduces the risk of additional work being missed during interim valuations or the final account.</w:t>
      </w:r>
    </w:p>
    <w:p w14:paraId="667D7BCF" w14:textId="77777777" w:rsidR="00F65B36" w:rsidRPr="00851683" w:rsidRDefault="00F65B36" w:rsidP="00F65B36">
      <w:pPr>
        <w:spacing w:line="259" w:lineRule="auto"/>
      </w:pPr>
      <w:r w:rsidRPr="00851683">
        <w:t>It also helps reduce disputes. Many disagreements occur because work has been carried out without written instructions or because there is little evidence to support additional costs. Following the JCT procedures creates a clear audit trail and protects both the employer and contractor.</w:t>
      </w:r>
    </w:p>
    <w:p w14:paraId="7703A124" w14:textId="77777777" w:rsidR="00F65B36" w:rsidRPr="00851683" w:rsidRDefault="00F65B36" w:rsidP="00F65B36">
      <w:pPr>
        <w:spacing w:line="259" w:lineRule="auto"/>
      </w:pPr>
      <w:r w:rsidRPr="00851683">
        <w:t>This is particularly important on local authority and school projects across South Wales, where refurbishment works often uncover unforeseen issues that require changes to the original scope.</w:t>
      </w:r>
    </w:p>
    <w:p w14:paraId="6149E653" w14:textId="77777777" w:rsidR="00F65B36" w:rsidRPr="00851683" w:rsidRDefault="00F65B36" w:rsidP="00F65B36">
      <w:pPr>
        <w:pStyle w:val="Heading1"/>
      </w:pPr>
      <w:bookmarkStart w:id="7" w:name="_Toc236043845"/>
      <w:r w:rsidRPr="00851683">
        <w:t>Conclusion</w:t>
      </w:r>
      <w:bookmarkEnd w:id="7"/>
    </w:p>
    <w:p w14:paraId="6B15EEEB" w14:textId="77777777" w:rsidR="00F65B36" w:rsidRPr="00851683" w:rsidRDefault="00F65B36" w:rsidP="00F65B36">
      <w:pPr>
        <w:spacing w:line="259" w:lineRule="auto"/>
      </w:pPr>
      <w:r w:rsidRPr="00851683">
        <w:t>The JCT SBC/Q 2016 provides a clear process for managing instructions and variations through Clauses 3.10, 5.1–5.3 and 4.20. These clauses help ensure changes are instructed correctly, valued fairly and properly recorded.</w:t>
      </w:r>
    </w:p>
    <w:p w14:paraId="437B955F" w14:textId="77777777" w:rsidR="00F65B36" w:rsidRPr="00851683" w:rsidRDefault="00F65B36" w:rsidP="00F65B36">
      <w:pPr>
        <w:spacing w:line="259" w:lineRule="auto"/>
      </w:pPr>
      <w:r w:rsidRPr="00851683">
        <w:lastRenderedPageBreak/>
        <w:t>The Contract Administrator has a key role in issuing instructions and valuing variations, while the contractor must keep accurate records and follow the correct contractual procedures.</w:t>
      </w:r>
    </w:p>
    <w:p w14:paraId="771E3BD8" w14:textId="77777777" w:rsidR="00F65B36" w:rsidRPr="00851683" w:rsidRDefault="00F65B36" w:rsidP="00F65B36">
      <w:pPr>
        <w:spacing w:line="259" w:lineRule="auto"/>
      </w:pPr>
      <w:r w:rsidRPr="00851683">
        <w:t>From a contractor's perspective, good management of variations is not only about complying with the contract but also about protecting profit, maintaining cash flow and reducing disputes. On the type of regional projects commonly undertaken by contractors in South Wales, effective contract administration is essential for successful project delivery.</w:t>
      </w:r>
    </w:p>
    <w:p w14:paraId="24039396" w14:textId="77777777" w:rsidR="00A911F0" w:rsidRDefault="00A911F0" w:rsidP="003316DB"/>
    <w:p w14:paraId="1EB8459D" w14:textId="05990BF3" w:rsidR="003316DB" w:rsidRDefault="00A3708C" w:rsidP="006768A2">
      <w:pPr>
        <w:pStyle w:val="Heading1"/>
      </w:pPr>
      <w:bookmarkStart w:id="8" w:name="_Toc236043846"/>
      <w:r>
        <w:t>Reference list</w:t>
      </w:r>
      <w:bookmarkEnd w:id="8"/>
    </w:p>
    <w:p w14:paraId="3E1BFF13" w14:textId="36B4CE50" w:rsidR="00990E72" w:rsidRPr="00990E72" w:rsidRDefault="00990E72" w:rsidP="00990E72">
      <w:r w:rsidRPr="00990E72">
        <w:t xml:space="preserve">Joint Contracts Tribunal (2016) </w:t>
      </w:r>
      <w:r w:rsidRPr="00990E72">
        <w:rPr>
          <w:i/>
          <w:iCs/>
        </w:rPr>
        <w:t>JCT Standard Building Contract with Quantities 2016 (SBC/Q).</w:t>
      </w:r>
      <w:r w:rsidRPr="00990E72">
        <w:t xml:space="preserve"> London: Sweet &amp; Maxwell. </w:t>
      </w:r>
    </w:p>
    <w:p w14:paraId="53154C26" w14:textId="5A0636C7" w:rsidR="00990E72" w:rsidRPr="00990E72" w:rsidRDefault="00990E72" w:rsidP="00990E72">
      <w:r w:rsidRPr="00990E72">
        <w:t xml:space="preserve">Chappell, D. (2020) </w:t>
      </w:r>
      <w:r w:rsidRPr="00990E72">
        <w:rPr>
          <w:i/>
          <w:iCs/>
        </w:rPr>
        <w:t>Understanding JCT Standard Building Contracts.</w:t>
      </w:r>
      <w:r w:rsidRPr="00990E72">
        <w:t xml:space="preserve"> 11th ed. Abingdon: Routledge. </w:t>
      </w:r>
    </w:p>
    <w:p w14:paraId="73173C3F" w14:textId="267E6250" w:rsidR="00990E72" w:rsidRPr="00990E72" w:rsidRDefault="00990E72" w:rsidP="00990E72">
      <w:r w:rsidRPr="00990E72">
        <w:t xml:space="preserve">Hughes, W., Champion, R. and Murdoch, J. (2015) </w:t>
      </w:r>
      <w:r w:rsidRPr="00990E72">
        <w:rPr>
          <w:i/>
          <w:iCs/>
        </w:rPr>
        <w:t>Construction Contracts: Law and Management.</w:t>
      </w:r>
      <w:r w:rsidRPr="00990E72">
        <w:t xml:space="preserve"> 5th ed. Abingdon: Routledge. </w:t>
      </w:r>
    </w:p>
    <w:p w14:paraId="5D6F330C" w14:textId="71EE2F71" w:rsidR="00990E72" w:rsidRPr="00990E72" w:rsidRDefault="00990E72" w:rsidP="00990E72">
      <w:r w:rsidRPr="00990E72">
        <w:t xml:space="preserve">Lupton, S. (2022) </w:t>
      </w:r>
      <w:r w:rsidRPr="00990E72">
        <w:rPr>
          <w:i/>
          <w:iCs/>
        </w:rPr>
        <w:t>Which Contract?</w:t>
      </w:r>
      <w:r w:rsidRPr="00990E72">
        <w:t xml:space="preserve"> 7th ed. London: RIBA Publishing. </w:t>
      </w:r>
    </w:p>
    <w:p w14:paraId="0E063E6F" w14:textId="00646061" w:rsidR="00990E72" w:rsidRPr="00990E72" w:rsidRDefault="00990E72" w:rsidP="00990E72">
      <w:r w:rsidRPr="00990E72">
        <w:t xml:space="preserve">Lupton, S. (2021) </w:t>
      </w:r>
      <w:r w:rsidRPr="00990E72">
        <w:rPr>
          <w:i/>
          <w:iCs/>
        </w:rPr>
        <w:t>Guide to JCT Standard Building Contract 2016.</w:t>
      </w:r>
      <w:r w:rsidRPr="00990E72">
        <w:t xml:space="preserve"> London: RIBA Publishing. </w:t>
      </w:r>
    </w:p>
    <w:p w14:paraId="2095F175" w14:textId="55B528DB" w:rsidR="00990E72" w:rsidRPr="00990E72" w:rsidRDefault="00990E72" w:rsidP="00990E72">
      <w:r w:rsidRPr="00990E72">
        <w:t xml:space="preserve">RICS (2021) </w:t>
      </w:r>
      <w:r w:rsidRPr="00990E72">
        <w:rPr>
          <w:i/>
          <w:iCs/>
        </w:rPr>
        <w:t>NRM2: Detailed Measurement for Building Works.</w:t>
      </w:r>
      <w:r w:rsidRPr="00990E72">
        <w:t xml:space="preserve"> 2nd ed. London: Royal Institution of Chartered Surveyors. </w:t>
      </w:r>
    </w:p>
    <w:p w14:paraId="335CD3C5" w14:textId="7EA1E86C" w:rsidR="00990E72" w:rsidRPr="00990E72" w:rsidRDefault="00990E72" w:rsidP="00990E72">
      <w:r w:rsidRPr="00990E72">
        <w:t xml:space="preserve">RICS (2024) </w:t>
      </w:r>
      <w:r w:rsidRPr="00990E72">
        <w:rPr>
          <w:i/>
          <w:iCs/>
        </w:rPr>
        <w:t>Appropriate Contract Selection.</w:t>
      </w:r>
      <w:r w:rsidRPr="00990E72">
        <w:t xml:space="preserve"> Royal Institution of Chartered Surveyors. </w:t>
      </w:r>
    </w:p>
    <w:p w14:paraId="0B35043C" w14:textId="64615F28" w:rsidR="00990E72" w:rsidRPr="00990E72" w:rsidRDefault="00990E72" w:rsidP="00990E72">
      <w:r w:rsidRPr="00990E72">
        <w:t xml:space="preserve">Cooke, B. and Williams, P. (2019) </w:t>
      </w:r>
      <w:r w:rsidRPr="00990E72">
        <w:rPr>
          <w:i/>
          <w:iCs/>
        </w:rPr>
        <w:t>Construction Planning, Programming and Control.</w:t>
      </w:r>
      <w:r w:rsidRPr="00990E72">
        <w:t xml:space="preserve"> 4th ed. Chichester: Wiley-Blackwell. </w:t>
      </w:r>
    </w:p>
    <w:p w14:paraId="0BF03935" w14:textId="1A0A2972" w:rsidR="00990E72" w:rsidRPr="00990E72" w:rsidRDefault="00990E72" w:rsidP="00990E72">
      <w:proofErr w:type="spellStart"/>
      <w:r w:rsidRPr="00990E72">
        <w:t>Uff</w:t>
      </w:r>
      <w:proofErr w:type="spellEnd"/>
      <w:r w:rsidRPr="00990E72">
        <w:t xml:space="preserve">, J. and Clayton, M. (2018) </w:t>
      </w:r>
      <w:r w:rsidRPr="00990E72">
        <w:rPr>
          <w:i/>
          <w:iCs/>
        </w:rPr>
        <w:t>Construction Law.</w:t>
      </w:r>
      <w:r w:rsidRPr="00990E72">
        <w:t xml:space="preserve"> 13th ed. London: Sweet &amp; Maxwell. </w:t>
      </w:r>
    </w:p>
    <w:p w14:paraId="767F6B7A" w14:textId="71269F4A" w:rsidR="00BC2F54" w:rsidRDefault="00990E72" w:rsidP="00990E72">
      <w:r w:rsidRPr="00990E72">
        <w:t xml:space="preserve">Cartlidge, D. (2017) </w:t>
      </w:r>
      <w:r w:rsidRPr="00990E72">
        <w:rPr>
          <w:i/>
          <w:iCs/>
        </w:rPr>
        <w:t>Quantity Surveyor's Pocket Book.</w:t>
      </w:r>
      <w:r w:rsidRPr="00990E72">
        <w:t xml:space="preserve"> 3rd ed. Abingdon: Routledge.</w:t>
      </w:r>
    </w:p>
    <w:p w14:paraId="0971E5DD" w14:textId="77777777" w:rsidR="00BC2F54" w:rsidRDefault="00BC2F54" w:rsidP="007E6B68">
      <w:pPr>
        <w:ind w:firstLine="720"/>
      </w:pPr>
    </w:p>
    <w:p w14:paraId="24249B13" w14:textId="77777777" w:rsidR="00BC2F54" w:rsidRDefault="00BC2F54" w:rsidP="007E6B68">
      <w:pPr>
        <w:ind w:firstLine="720"/>
      </w:pPr>
    </w:p>
    <w:p w14:paraId="4B906015" w14:textId="77777777" w:rsidR="00BC2F54" w:rsidRDefault="00BC2F54" w:rsidP="007E6B68">
      <w:pPr>
        <w:ind w:firstLine="720"/>
      </w:pPr>
    </w:p>
    <w:p w14:paraId="5A011BE7" w14:textId="77777777" w:rsidR="00BC2F54" w:rsidRDefault="00BC2F54" w:rsidP="007E6B68">
      <w:pPr>
        <w:ind w:firstLine="720"/>
      </w:pPr>
    </w:p>
    <w:p w14:paraId="2BA526B2" w14:textId="77777777" w:rsidR="00BC2F54" w:rsidRDefault="00BC2F54" w:rsidP="007E6B68">
      <w:pPr>
        <w:ind w:firstLine="720"/>
      </w:pPr>
    </w:p>
    <w:p w14:paraId="61833142" w14:textId="77777777" w:rsidR="00BC2F54" w:rsidRDefault="00BC2F54" w:rsidP="007E6B68">
      <w:pPr>
        <w:ind w:firstLine="720"/>
      </w:pPr>
    </w:p>
    <w:p w14:paraId="4FFE1F51" w14:textId="77777777" w:rsidR="00BC2F54" w:rsidRDefault="00BC2F54" w:rsidP="007E6B68">
      <w:pPr>
        <w:ind w:firstLine="720"/>
      </w:pPr>
    </w:p>
    <w:p w14:paraId="363C012A" w14:textId="77777777" w:rsidR="00BC2F54" w:rsidRDefault="00BC2F54" w:rsidP="007E6B68">
      <w:pPr>
        <w:ind w:firstLine="720"/>
      </w:pPr>
    </w:p>
    <w:p w14:paraId="6ACF9A12" w14:textId="481BC545" w:rsidR="00BC2F54" w:rsidRPr="00BC2F54" w:rsidRDefault="00BC2F54" w:rsidP="00BC2F54">
      <w:pPr>
        <w:ind w:firstLine="720"/>
        <w:rPr>
          <w:b/>
          <w:bCs/>
          <w:u w:val="single"/>
        </w:rPr>
      </w:pPr>
    </w:p>
    <w:sectPr w:rsidR="00BC2F54" w:rsidRPr="00BC2F54" w:rsidSect="00F4584A">
      <w:headerReference w:type="default" r:id="rId11"/>
      <w:footerReference w:type="default" r:id="rId12"/>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185C9" w14:textId="77777777" w:rsidR="00D1107C" w:rsidRDefault="00D1107C" w:rsidP="00667754">
      <w:pPr>
        <w:spacing w:after="0" w:line="240" w:lineRule="auto"/>
      </w:pPr>
      <w:r>
        <w:separator/>
      </w:r>
    </w:p>
  </w:endnote>
  <w:endnote w:type="continuationSeparator" w:id="0">
    <w:p w14:paraId="76867A0B" w14:textId="77777777" w:rsidR="00D1107C" w:rsidRDefault="00D1107C" w:rsidP="006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379012"/>
      <w:docPartObj>
        <w:docPartGallery w:val="Page Numbers (Bottom of Page)"/>
        <w:docPartUnique/>
      </w:docPartObj>
    </w:sdtPr>
    <w:sdtEndPr/>
    <w:sdtContent>
      <w:p w14:paraId="41CF3C52" w14:textId="277C8968" w:rsidR="00222ACE" w:rsidRDefault="00222ACE">
        <w:pPr>
          <w:pStyle w:val="Footer"/>
          <w:jc w:val="center"/>
        </w:pPr>
        <w:r>
          <w:fldChar w:fldCharType="begin"/>
        </w:r>
        <w:r>
          <w:instrText>PAGE   \* MERGEFORMAT</w:instrText>
        </w:r>
        <w:r>
          <w:fldChar w:fldCharType="separate"/>
        </w:r>
        <w:r>
          <w:t>2</w:t>
        </w:r>
        <w:r>
          <w:fldChar w:fldCharType="end"/>
        </w:r>
      </w:p>
    </w:sdtContent>
  </w:sdt>
  <w:p w14:paraId="6CB66431" w14:textId="77777777" w:rsidR="00222ACE" w:rsidRDefault="0022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675FD" w14:textId="77777777" w:rsidR="00D1107C" w:rsidRDefault="00D1107C" w:rsidP="00667754">
      <w:pPr>
        <w:spacing w:after="0" w:line="240" w:lineRule="auto"/>
      </w:pPr>
      <w:r>
        <w:separator/>
      </w:r>
    </w:p>
  </w:footnote>
  <w:footnote w:type="continuationSeparator" w:id="0">
    <w:p w14:paraId="3F88529C" w14:textId="77777777" w:rsidR="00D1107C" w:rsidRDefault="00D1107C" w:rsidP="0066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36F8A" w14:textId="4191436B" w:rsidR="00667754" w:rsidRDefault="00667754">
    <w:pPr>
      <w:pStyle w:val="Header"/>
    </w:pPr>
    <w:r>
      <w:br/>
      <w:t>Luke Morgan</w:t>
    </w:r>
    <w:r>
      <w:ptab w:relativeTo="margin" w:alignment="center" w:leader="none"/>
    </w:r>
    <w:r>
      <w:t>Assignment 1</w:t>
    </w:r>
    <w:r>
      <w:ptab w:relativeTo="margin" w:alignment="right" w:leader="none"/>
    </w:r>
    <w:r>
      <w:t>Construction Materials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B7265"/>
    <w:multiLevelType w:val="multilevel"/>
    <w:tmpl w:val="A924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76EA0"/>
    <w:multiLevelType w:val="multilevel"/>
    <w:tmpl w:val="8CBA6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05C4D"/>
    <w:multiLevelType w:val="multilevel"/>
    <w:tmpl w:val="95988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47120"/>
    <w:multiLevelType w:val="hybridMultilevel"/>
    <w:tmpl w:val="2E7A4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50C50"/>
    <w:multiLevelType w:val="multilevel"/>
    <w:tmpl w:val="0A466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99434C"/>
    <w:multiLevelType w:val="hybridMultilevel"/>
    <w:tmpl w:val="16C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DE133F"/>
    <w:multiLevelType w:val="multilevel"/>
    <w:tmpl w:val="3A52D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71541A"/>
    <w:multiLevelType w:val="multilevel"/>
    <w:tmpl w:val="54F49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095CBF"/>
    <w:multiLevelType w:val="multilevel"/>
    <w:tmpl w:val="94E6D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987C04"/>
    <w:multiLevelType w:val="multilevel"/>
    <w:tmpl w:val="CC546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D456B7"/>
    <w:multiLevelType w:val="hybridMultilevel"/>
    <w:tmpl w:val="C186D0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D86DF5"/>
    <w:multiLevelType w:val="multilevel"/>
    <w:tmpl w:val="3FAE8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B331FB"/>
    <w:multiLevelType w:val="multilevel"/>
    <w:tmpl w:val="6B4CC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281185"/>
    <w:multiLevelType w:val="multilevel"/>
    <w:tmpl w:val="B4442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4B5438"/>
    <w:multiLevelType w:val="hybridMultilevel"/>
    <w:tmpl w:val="7F9A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2240B5"/>
    <w:multiLevelType w:val="multilevel"/>
    <w:tmpl w:val="3ED29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1D4FEE"/>
    <w:multiLevelType w:val="multilevel"/>
    <w:tmpl w:val="4CBA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2E3A9A"/>
    <w:multiLevelType w:val="multilevel"/>
    <w:tmpl w:val="B3CAE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1B5527"/>
    <w:multiLevelType w:val="multilevel"/>
    <w:tmpl w:val="08F0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F6666E"/>
    <w:multiLevelType w:val="multilevel"/>
    <w:tmpl w:val="CA06F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FA28DD"/>
    <w:multiLevelType w:val="multilevel"/>
    <w:tmpl w:val="A4C4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9401B9"/>
    <w:multiLevelType w:val="multilevel"/>
    <w:tmpl w:val="ABCA1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76648D"/>
    <w:multiLevelType w:val="multilevel"/>
    <w:tmpl w:val="79842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D0D78CD"/>
    <w:multiLevelType w:val="hybridMultilevel"/>
    <w:tmpl w:val="2690C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9507AC"/>
    <w:multiLevelType w:val="multilevel"/>
    <w:tmpl w:val="F43C6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6F1E05"/>
    <w:multiLevelType w:val="hybridMultilevel"/>
    <w:tmpl w:val="98A2272C"/>
    <w:lvl w:ilvl="0" w:tplc="1C624B00">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FFD154F"/>
    <w:multiLevelType w:val="hybridMultilevel"/>
    <w:tmpl w:val="5FF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9C473E"/>
    <w:multiLevelType w:val="multilevel"/>
    <w:tmpl w:val="C2ACB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A8703B"/>
    <w:multiLevelType w:val="multilevel"/>
    <w:tmpl w:val="91C0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7512857">
    <w:abstractNumId w:val="26"/>
  </w:num>
  <w:num w:numId="2" w16cid:durableId="1182671860">
    <w:abstractNumId w:val="5"/>
  </w:num>
  <w:num w:numId="3" w16cid:durableId="1608149411">
    <w:abstractNumId w:val="2"/>
  </w:num>
  <w:num w:numId="4" w16cid:durableId="1403328320">
    <w:abstractNumId w:val="12"/>
  </w:num>
  <w:num w:numId="5" w16cid:durableId="655496119">
    <w:abstractNumId w:val="11"/>
  </w:num>
  <w:num w:numId="6" w16cid:durableId="1136528306">
    <w:abstractNumId w:val="7"/>
  </w:num>
  <w:num w:numId="7" w16cid:durableId="564880020">
    <w:abstractNumId w:val="3"/>
  </w:num>
  <w:num w:numId="8" w16cid:durableId="669330232">
    <w:abstractNumId w:val="14"/>
  </w:num>
  <w:num w:numId="9" w16cid:durableId="946699117">
    <w:abstractNumId w:val="23"/>
  </w:num>
  <w:num w:numId="10" w16cid:durableId="1398094498">
    <w:abstractNumId w:val="13"/>
  </w:num>
  <w:num w:numId="11" w16cid:durableId="1992902163">
    <w:abstractNumId w:val="24"/>
  </w:num>
  <w:num w:numId="12" w16cid:durableId="525869540">
    <w:abstractNumId w:val="6"/>
  </w:num>
  <w:num w:numId="13" w16cid:durableId="1629161440">
    <w:abstractNumId w:val="28"/>
  </w:num>
  <w:num w:numId="14" w16cid:durableId="655382939">
    <w:abstractNumId w:val="18"/>
  </w:num>
  <w:num w:numId="15" w16cid:durableId="136382799">
    <w:abstractNumId w:val="17"/>
  </w:num>
  <w:num w:numId="16" w16cid:durableId="1110928992">
    <w:abstractNumId w:val="4"/>
  </w:num>
  <w:num w:numId="17" w16cid:durableId="1817062885">
    <w:abstractNumId w:val="0"/>
  </w:num>
  <w:num w:numId="18" w16cid:durableId="1480997097">
    <w:abstractNumId w:val="21"/>
  </w:num>
  <w:num w:numId="19" w16cid:durableId="1294091169">
    <w:abstractNumId w:val="27"/>
  </w:num>
  <w:num w:numId="20" w16cid:durableId="818155774">
    <w:abstractNumId w:val="15"/>
  </w:num>
  <w:num w:numId="21" w16cid:durableId="1928267758">
    <w:abstractNumId w:val="16"/>
  </w:num>
  <w:num w:numId="22" w16cid:durableId="1822846902">
    <w:abstractNumId w:val="9"/>
  </w:num>
  <w:num w:numId="23" w16cid:durableId="1368722007">
    <w:abstractNumId w:val="20"/>
  </w:num>
  <w:num w:numId="24" w16cid:durableId="343826563">
    <w:abstractNumId w:val="1"/>
  </w:num>
  <w:num w:numId="25" w16cid:durableId="1605306423">
    <w:abstractNumId w:val="19"/>
  </w:num>
  <w:num w:numId="26" w16cid:durableId="1077365077">
    <w:abstractNumId w:val="22"/>
  </w:num>
  <w:num w:numId="27" w16cid:durableId="445271237">
    <w:abstractNumId w:val="8"/>
  </w:num>
  <w:num w:numId="28" w16cid:durableId="248973900">
    <w:abstractNumId w:val="10"/>
  </w:num>
  <w:num w:numId="29" w16cid:durableId="83880820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54"/>
    <w:rsid w:val="00012BD1"/>
    <w:rsid w:val="00022BC1"/>
    <w:rsid w:val="0002693A"/>
    <w:rsid w:val="000356A0"/>
    <w:rsid w:val="00045065"/>
    <w:rsid w:val="00063192"/>
    <w:rsid w:val="00066773"/>
    <w:rsid w:val="00073AD5"/>
    <w:rsid w:val="000758D3"/>
    <w:rsid w:val="00090E04"/>
    <w:rsid w:val="00094225"/>
    <w:rsid w:val="00094A05"/>
    <w:rsid w:val="0009646D"/>
    <w:rsid w:val="000966E8"/>
    <w:rsid w:val="000A2634"/>
    <w:rsid w:val="000A35C3"/>
    <w:rsid w:val="000B2A45"/>
    <w:rsid w:val="000C1F0E"/>
    <w:rsid w:val="000C4DDE"/>
    <w:rsid w:val="000D62F9"/>
    <w:rsid w:val="000D71BF"/>
    <w:rsid w:val="000E23BB"/>
    <w:rsid w:val="000F2D32"/>
    <w:rsid w:val="0010422F"/>
    <w:rsid w:val="001339E3"/>
    <w:rsid w:val="0014154D"/>
    <w:rsid w:val="001539B3"/>
    <w:rsid w:val="00172A31"/>
    <w:rsid w:val="00174F5C"/>
    <w:rsid w:val="001848D9"/>
    <w:rsid w:val="001867BC"/>
    <w:rsid w:val="00190278"/>
    <w:rsid w:val="00191FF0"/>
    <w:rsid w:val="00193C48"/>
    <w:rsid w:val="001B635D"/>
    <w:rsid w:val="001C2208"/>
    <w:rsid w:val="001E2DE4"/>
    <w:rsid w:val="001F6531"/>
    <w:rsid w:val="002004DB"/>
    <w:rsid w:val="00205CD2"/>
    <w:rsid w:val="0021205D"/>
    <w:rsid w:val="002141E9"/>
    <w:rsid w:val="002150FA"/>
    <w:rsid w:val="00217E81"/>
    <w:rsid w:val="00222ACE"/>
    <w:rsid w:val="002254C0"/>
    <w:rsid w:val="00226F23"/>
    <w:rsid w:val="0022786D"/>
    <w:rsid w:val="00251F74"/>
    <w:rsid w:val="0025225F"/>
    <w:rsid w:val="002552B5"/>
    <w:rsid w:val="00256688"/>
    <w:rsid w:val="00265A4F"/>
    <w:rsid w:val="0027052A"/>
    <w:rsid w:val="00280E15"/>
    <w:rsid w:val="0028140E"/>
    <w:rsid w:val="00286975"/>
    <w:rsid w:val="00296E08"/>
    <w:rsid w:val="002B0477"/>
    <w:rsid w:val="002B07B7"/>
    <w:rsid w:val="002B50E6"/>
    <w:rsid w:val="002B568A"/>
    <w:rsid w:val="002C12E6"/>
    <w:rsid w:val="002C44D5"/>
    <w:rsid w:val="002E3B60"/>
    <w:rsid w:val="002E746F"/>
    <w:rsid w:val="002F2745"/>
    <w:rsid w:val="002F4777"/>
    <w:rsid w:val="002F5380"/>
    <w:rsid w:val="002F67E6"/>
    <w:rsid w:val="00301B72"/>
    <w:rsid w:val="00304250"/>
    <w:rsid w:val="0031241E"/>
    <w:rsid w:val="00322417"/>
    <w:rsid w:val="00323FBC"/>
    <w:rsid w:val="003316DB"/>
    <w:rsid w:val="0035318B"/>
    <w:rsid w:val="003609A9"/>
    <w:rsid w:val="00363C3C"/>
    <w:rsid w:val="003778EB"/>
    <w:rsid w:val="003815F5"/>
    <w:rsid w:val="003C1959"/>
    <w:rsid w:val="003C2991"/>
    <w:rsid w:val="003D0221"/>
    <w:rsid w:val="003E0F14"/>
    <w:rsid w:val="003E44A1"/>
    <w:rsid w:val="00411D3E"/>
    <w:rsid w:val="0041793D"/>
    <w:rsid w:val="00434166"/>
    <w:rsid w:val="004352BC"/>
    <w:rsid w:val="004457AB"/>
    <w:rsid w:val="0044646D"/>
    <w:rsid w:val="004471F4"/>
    <w:rsid w:val="00456B59"/>
    <w:rsid w:val="004652EA"/>
    <w:rsid w:val="00466B9D"/>
    <w:rsid w:val="00487078"/>
    <w:rsid w:val="0049142F"/>
    <w:rsid w:val="00495508"/>
    <w:rsid w:val="00496387"/>
    <w:rsid w:val="004B6865"/>
    <w:rsid w:val="004E4D99"/>
    <w:rsid w:val="004E5496"/>
    <w:rsid w:val="004F305E"/>
    <w:rsid w:val="004F3383"/>
    <w:rsid w:val="0052322E"/>
    <w:rsid w:val="00536ED2"/>
    <w:rsid w:val="00546BB2"/>
    <w:rsid w:val="00547EDA"/>
    <w:rsid w:val="005677C3"/>
    <w:rsid w:val="00570AC0"/>
    <w:rsid w:val="00593D3F"/>
    <w:rsid w:val="005D114E"/>
    <w:rsid w:val="005E100F"/>
    <w:rsid w:val="005E7880"/>
    <w:rsid w:val="005F1AC9"/>
    <w:rsid w:val="0061141D"/>
    <w:rsid w:val="00614F21"/>
    <w:rsid w:val="00627030"/>
    <w:rsid w:val="00627C01"/>
    <w:rsid w:val="006410E6"/>
    <w:rsid w:val="006413B2"/>
    <w:rsid w:val="00667754"/>
    <w:rsid w:val="006768A2"/>
    <w:rsid w:val="00690634"/>
    <w:rsid w:val="0069709E"/>
    <w:rsid w:val="006B440F"/>
    <w:rsid w:val="006B4F66"/>
    <w:rsid w:val="006B76C6"/>
    <w:rsid w:val="006D1354"/>
    <w:rsid w:val="006D5D0F"/>
    <w:rsid w:val="006E335C"/>
    <w:rsid w:val="006E5425"/>
    <w:rsid w:val="006E66E6"/>
    <w:rsid w:val="006E67F5"/>
    <w:rsid w:val="00710028"/>
    <w:rsid w:val="0071021C"/>
    <w:rsid w:val="00712A3F"/>
    <w:rsid w:val="007138B2"/>
    <w:rsid w:val="00714872"/>
    <w:rsid w:val="00751AC3"/>
    <w:rsid w:val="00753067"/>
    <w:rsid w:val="00776FF4"/>
    <w:rsid w:val="00777944"/>
    <w:rsid w:val="007830AC"/>
    <w:rsid w:val="007838C9"/>
    <w:rsid w:val="0079138E"/>
    <w:rsid w:val="007A4BD6"/>
    <w:rsid w:val="007C0E76"/>
    <w:rsid w:val="007C167E"/>
    <w:rsid w:val="007D29D9"/>
    <w:rsid w:val="007D3589"/>
    <w:rsid w:val="007E6B68"/>
    <w:rsid w:val="007F340D"/>
    <w:rsid w:val="007F4034"/>
    <w:rsid w:val="007F7EF3"/>
    <w:rsid w:val="00803E1E"/>
    <w:rsid w:val="0082074C"/>
    <w:rsid w:val="0082385E"/>
    <w:rsid w:val="008268A3"/>
    <w:rsid w:val="00855031"/>
    <w:rsid w:val="0087391A"/>
    <w:rsid w:val="00886C9F"/>
    <w:rsid w:val="008A0CAB"/>
    <w:rsid w:val="008B10AB"/>
    <w:rsid w:val="008B4864"/>
    <w:rsid w:val="008C6542"/>
    <w:rsid w:val="008C658A"/>
    <w:rsid w:val="008C7AB3"/>
    <w:rsid w:val="008D1388"/>
    <w:rsid w:val="008D51C5"/>
    <w:rsid w:val="008D5C7A"/>
    <w:rsid w:val="008E3ADC"/>
    <w:rsid w:val="008F570C"/>
    <w:rsid w:val="00900B2F"/>
    <w:rsid w:val="00902BFF"/>
    <w:rsid w:val="00907097"/>
    <w:rsid w:val="00913F5D"/>
    <w:rsid w:val="00930616"/>
    <w:rsid w:val="00932C3F"/>
    <w:rsid w:val="009376D3"/>
    <w:rsid w:val="0094059B"/>
    <w:rsid w:val="0095203A"/>
    <w:rsid w:val="009559CF"/>
    <w:rsid w:val="00955DB3"/>
    <w:rsid w:val="0095622B"/>
    <w:rsid w:val="00956B5C"/>
    <w:rsid w:val="00957936"/>
    <w:rsid w:val="009630AA"/>
    <w:rsid w:val="00963612"/>
    <w:rsid w:val="00980C8C"/>
    <w:rsid w:val="009828BF"/>
    <w:rsid w:val="009900DB"/>
    <w:rsid w:val="00990E72"/>
    <w:rsid w:val="009A3B03"/>
    <w:rsid w:val="009B2EC2"/>
    <w:rsid w:val="009C16CF"/>
    <w:rsid w:val="009E15A4"/>
    <w:rsid w:val="00A2425A"/>
    <w:rsid w:val="00A24F1A"/>
    <w:rsid w:val="00A3708C"/>
    <w:rsid w:val="00A4476A"/>
    <w:rsid w:val="00A57DA4"/>
    <w:rsid w:val="00A672B9"/>
    <w:rsid w:val="00A768C0"/>
    <w:rsid w:val="00A801AB"/>
    <w:rsid w:val="00A82809"/>
    <w:rsid w:val="00A911F0"/>
    <w:rsid w:val="00A91F63"/>
    <w:rsid w:val="00A923AE"/>
    <w:rsid w:val="00A93233"/>
    <w:rsid w:val="00A97524"/>
    <w:rsid w:val="00AB4D38"/>
    <w:rsid w:val="00AC4C7B"/>
    <w:rsid w:val="00AD7F6F"/>
    <w:rsid w:val="00AF2480"/>
    <w:rsid w:val="00AF30DC"/>
    <w:rsid w:val="00AF391B"/>
    <w:rsid w:val="00AF78DA"/>
    <w:rsid w:val="00B011EB"/>
    <w:rsid w:val="00B043BC"/>
    <w:rsid w:val="00B07F2F"/>
    <w:rsid w:val="00B13A15"/>
    <w:rsid w:val="00B13B57"/>
    <w:rsid w:val="00B25542"/>
    <w:rsid w:val="00B26CCF"/>
    <w:rsid w:val="00B42C6C"/>
    <w:rsid w:val="00B4378D"/>
    <w:rsid w:val="00B47D8A"/>
    <w:rsid w:val="00B52B53"/>
    <w:rsid w:val="00B53E79"/>
    <w:rsid w:val="00B671CA"/>
    <w:rsid w:val="00B86B7E"/>
    <w:rsid w:val="00B93408"/>
    <w:rsid w:val="00BC1E8C"/>
    <w:rsid w:val="00BC2F54"/>
    <w:rsid w:val="00BC6A20"/>
    <w:rsid w:val="00BD20D6"/>
    <w:rsid w:val="00BD3E41"/>
    <w:rsid w:val="00BD77BC"/>
    <w:rsid w:val="00BE0E20"/>
    <w:rsid w:val="00BF4DF7"/>
    <w:rsid w:val="00BF784F"/>
    <w:rsid w:val="00C156A5"/>
    <w:rsid w:val="00C41EC4"/>
    <w:rsid w:val="00C52A2D"/>
    <w:rsid w:val="00C57A09"/>
    <w:rsid w:val="00C6339E"/>
    <w:rsid w:val="00C63E6C"/>
    <w:rsid w:val="00C74B0C"/>
    <w:rsid w:val="00C80D30"/>
    <w:rsid w:val="00C85D21"/>
    <w:rsid w:val="00C9404E"/>
    <w:rsid w:val="00CA57B9"/>
    <w:rsid w:val="00CC2905"/>
    <w:rsid w:val="00CD1912"/>
    <w:rsid w:val="00CD41FF"/>
    <w:rsid w:val="00CE13C2"/>
    <w:rsid w:val="00CE4829"/>
    <w:rsid w:val="00D028BD"/>
    <w:rsid w:val="00D03383"/>
    <w:rsid w:val="00D065B2"/>
    <w:rsid w:val="00D06E01"/>
    <w:rsid w:val="00D1107C"/>
    <w:rsid w:val="00D11936"/>
    <w:rsid w:val="00D324FF"/>
    <w:rsid w:val="00D33B52"/>
    <w:rsid w:val="00D462BA"/>
    <w:rsid w:val="00D65B80"/>
    <w:rsid w:val="00D67A43"/>
    <w:rsid w:val="00D67EE4"/>
    <w:rsid w:val="00D86DA5"/>
    <w:rsid w:val="00D95D0E"/>
    <w:rsid w:val="00DB4B54"/>
    <w:rsid w:val="00DC0B70"/>
    <w:rsid w:val="00DC6EAE"/>
    <w:rsid w:val="00DC7879"/>
    <w:rsid w:val="00DD2FED"/>
    <w:rsid w:val="00DD3392"/>
    <w:rsid w:val="00DD34A3"/>
    <w:rsid w:val="00DE75A6"/>
    <w:rsid w:val="00DE7F96"/>
    <w:rsid w:val="00DF37E2"/>
    <w:rsid w:val="00E000A8"/>
    <w:rsid w:val="00E074CC"/>
    <w:rsid w:val="00E12148"/>
    <w:rsid w:val="00E15755"/>
    <w:rsid w:val="00E22D27"/>
    <w:rsid w:val="00E335A3"/>
    <w:rsid w:val="00E41892"/>
    <w:rsid w:val="00E51C21"/>
    <w:rsid w:val="00E51CF1"/>
    <w:rsid w:val="00E52D92"/>
    <w:rsid w:val="00E8077C"/>
    <w:rsid w:val="00E90264"/>
    <w:rsid w:val="00E937AE"/>
    <w:rsid w:val="00E977F3"/>
    <w:rsid w:val="00E97DBC"/>
    <w:rsid w:val="00EC5887"/>
    <w:rsid w:val="00EC5FFB"/>
    <w:rsid w:val="00EE737A"/>
    <w:rsid w:val="00EF4E4C"/>
    <w:rsid w:val="00F058BC"/>
    <w:rsid w:val="00F17D1A"/>
    <w:rsid w:val="00F403F0"/>
    <w:rsid w:val="00F4584A"/>
    <w:rsid w:val="00F458BD"/>
    <w:rsid w:val="00F565CE"/>
    <w:rsid w:val="00F65B36"/>
    <w:rsid w:val="00F843AE"/>
    <w:rsid w:val="00F92A01"/>
    <w:rsid w:val="00F94748"/>
    <w:rsid w:val="00FA1313"/>
    <w:rsid w:val="00FC0F4B"/>
    <w:rsid w:val="00FD38FD"/>
    <w:rsid w:val="00FD638E"/>
    <w:rsid w:val="00FE3699"/>
    <w:rsid w:val="00FF1903"/>
    <w:rsid w:val="00FF5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F8D4"/>
  <w15:chartTrackingRefBased/>
  <w15:docId w15:val="{443F28C7-77C8-42D4-8905-8011E3A6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54"/>
  </w:style>
  <w:style w:type="paragraph" w:styleId="Heading1">
    <w:name w:val="heading 1"/>
    <w:basedOn w:val="Normal"/>
    <w:next w:val="Normal"/>
    <w:link w:val="Heading1Char"/>
    <w:uiPriority w:val="9"/>
    <w:qFormat/>
    <w:rsid w:val="00667754"/>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677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6677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677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677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677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677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677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677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754"/>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6677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66775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6677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6677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677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677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677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67754"/>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677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677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677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67754"/>
    <w:rPr>
      <w:color w:val="000000" w:themeColor="text1"/>
      <w:sz w:val="24"/>
      <w:szCs w:val="24"/>
    </w:rPr>
  </w:style>
  <w:style w:type="paragraph" w:styleId="Quote">
    <w:name w:val="Quote"/>
    <w:basedOn w:val="Normal"/>
    <w:next w:val="Normal"/>
    <w:link w:val="QuoteChar"/>
    <w:uiPriority w:val="29"/>
    <w:qFormat/>
    <w:rsid w:val="006677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67754"/>
    <w:rPr>
      <w:rFonts w:asciiTheme="majorHAnsi" w:eastAsiaTheme="majorEastAsia" w:hAnsiTheme="majorHAnsi" w:cstheme="majorBidi"/>
      <w:sz w:val="24"/>
      <w:szCs w:val="24"/>
    </w:rPr>
  </w:style>
  <w:style w:type="paragraph" w:styleId="ListParagraph">
    <w:name w:val="List Paragraph"/>
    <w:basedOn w:val="Normal"/>
    <w:uiPriority w:val="34"/>
    <w:qFormat/>
    <w:rsid w:val="00667754"/>
    <w:pPr>
      <w:ind w:left="720"/>
      <w:contextualSpacing/>
    </w:pPr>
  </w:style>
  <w:style w:type="character" w:styleId="IntenseEmphasis">
    <w:name w:val="Intense Emphasis"/>
    <w:basedOn w:val="DefaultParagraphFont"/>
    <w:uiPriority w:val="21"/>
    <w:qFormat/>
    <w:rsid w:val="00667754"/>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667754"/>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667754"/>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6677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eader">
    <w:name w:val="header"/>
    <w:basedOn w:val="Normal"/>
    <w:link w:val="HeaderChar"/>
    <w:uiPriority w:val="99"/>
    <w:unhideWhenUsed/>
    <w:rsid w:val="006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54"/>
  </w:style>
  <w:style w:type="paragraph" w:styleId="Footer">
    <w:name w:val="footer"/>
    <w:basedOn w:val="Normal"/>
    <w:link w:val="FooterChar"/>
    <w:uiPriority w:val="99"/>
    <w:unhideWhenUsed/>
    <w:rsid w:val="006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54"/>
  </w:style>
  <w:style w:type="paragraph" w:styleId="Caption">
    <w:name w:val="caption"/>
    <w:basedOn w:val="Normal"/>
    <w:next w:val="Normal"/>
    <w:uiPriority w:val="35"/>
    <w:unhideWhenUsed/>
    <w:qFormat/>
    <w:rsid w:val="00667754"/>
    <w:pPr>
      <w:spacing w:line="240" w:lineRule="auto"/>
    </w:pPr>
    <w:rPr>
      <w:b/>
      <w:bCs/>
      <w:color w:val="E97132" w:themeColor="accent2"/>
      <w:spacing w:val="10"/>
      <w:sz w:val="16"/>
      <w:szCs w:val="16"/>
    </w:rPr>
  </w:style>
  <w:style w:type="character" w:styleId="Strong">
    <w:name w:val="Strong"/>
    <w:basedOn w:val="DefaultParagraphFont"/>
    <w:uiPriority w:val="22"/>
    <w:qFormat/>
    <w:rsid w:val="0066775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67754"/>
    <w:rPr>
      <w:rFonts w:asciiTheme="minorHAnsi" w:eastAsiaTheme="minorEastAsia" w:hAnsiTheme="minorHAnsi" w:cstheme="minorBidi"/>
      <w:i/>
      <w:iCs/>
      <w:color w:val="BF4E14" w:themeColor="accent2" w:themeShade="BF"/>
      <w:sz w:val="20"/>
      <w:szCs w:val="20"/>
    </w:rPr>
  </w:style>
  <w:style w:type="paragraph" w:styleId="NoSpacing">
    <w:name w:val="No Spacing"/>
    <w:link w:val="NoSpacingChar"/>
    <w:uiPriority w:val="1"/>
    <w:qFormat/>
    <w:rsid w:val="00667754"/>
    <w:pPr>
      <w:spacing w:after="0" w:line="240" w:lineRule="auto"/>
    </w:pPr>
  </w:style>
  <w:style w:type="character" w:styleId="SubtleEmphasis">
    <w:name w:val="Subtle Emphasis"/>
    <w:basedOn w:val="DefaultParagraphFont"/>
    <w:uiPriority w:val="19"/>
    <w:qFormat/>
    <w:rsid w:val="00667754"/>
    <w:rPr>
      <w:i/>
      <w:iCs/>
      <w:color w:val="auto"/>
    </w:rPr>
  </w:style>
  <w:style w:type="character" w:styleId="SubtleReference">
    <w:name w:val="Subtle Reference"/>
    <w:basedOn w:val="DefaultParagraphFont"/>
    <w:uiPriority w:val="31"/>
    <w:qFormat/>
    <w:rsid w:val="006677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6677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667754"/>
    <w:pPr>
      <w:outlineLvl w:val="9"/>
    </w:pPr>
  </w:style>
  <w:style w:type="character" w:customStyle="1" w:styleId="NoSpacingChar">
    <w:name w:val="No Spacing Char"/>
    <w:basedOn w:val="DefaultParagraphFont"/>
    <w:link w:val="NoSpacing"/>
    <w:uiPriority w:val="1"/>
    <w:rsid w:val="00667754"/>
  </w:style>
  <w:style w:type="table" w:styleId="TableGrid">
    <w:name w:val="Table Grid"/>
    <w:basedOn w:val="TableNormal"/>
    <w:uiPriority w:val="39"/>
    <w:rsid w:val="00E3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67E6"/>
    <w:rPr>
      <w:color w:val="467886" w:themeColor="hyperlink"/>
      <w:u w:val="single"/>
    </w:rPr>
  </w:style>
  <w:style w:type="character" w:styleId="UnresolvedMention">
    <w:name w:val="Unresolved Mention"/>
    <w:basedOn w:val="DefaultParagraphFont"/>
    <w:uiPriority w:val="99"/>
    <w:semiHidden/>
    <w:unhideWhenUsed/>
    <w:rsid w:val="002F67E6"/>
    <w:rPr>
      <w:color w:val="605E5C"/>
      <w:shd w:val="clear" w:color="auto" w:fill="E1DFDD"/>
    </w:rPr>
  </w:style>
  <w:style w:type="paragraph" w:styleId="TOC1">
    <w:name w:val="toc 1"/>
    <w:basedOn w:val="Normal"/>
    <w:next w:val="Normal"/>
    <w:autoRedefine/>
    <w:uiPriority w:val="39"/>
    <w:unhideWhenUsed/>
    <w:rsid w:val="0052322E"/>
    <w:pPr>
      <w:spacing w:after="100"/>
    </w:pPr>
  </w:style>
  <w:style w:type="paragraph" w:styleId="TOC2">
    <w:name w:val="toc 2"/>
    <w:basedOn w:val="Normal"/>
    <w:next w:val="Normal"/>
    <w:autoRedefine/>
    <w:uiPriority w:val="39"/>
    <w:unhideWhenUsed/>
    <w:rsid w:val="00F94748"/>
    <w:pPr>
      <w:spacing w:after="100"/>
      <w:ind w:left="210"/>
    </w:pPr>
  </w:style>
  <w:style w:type="paragraph" w:styleId="NormalWeb">
    <w:name w:val="Normal (Web)"/>
    <w:basedOn w:val="Normal"/>
    <w:uiPriority w:val="99"/>
    <w:semiHidden/>
    <w:unhideWhenUsed/>
    <w:rsid w:val="00A9752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713188">
      <w:bodyDiv w:val="1"/>
      <w:marLeft w:val="0"/>
      <w:marRight w:val="0"/>
      <w:marTop w:val="0"/>
      <w:marBottom w:val="0"/>
      <w:divBdr>
        <w:top w:val="none" w:sz="0" w:space="0" w:color="auto"/>
        <w:left w:val="none" w:sz="0" w:space="0" w:color="auto"/>
        <w:bottom w:val="none" w:sz="0" w:space="0" w:color="auto"/>
        <w:right w:val="none" w:sz="0" w:space="0" w:color="auto"/>
      </w:divBdr>
      <w:divsChild>
        <w:div w:id="2043553812">
          <w:marLeft w:val="-720"/>
          <w:marRight w:val="0"/>
          <w:marTop w:val="0"/>
          <w:marBottom w:val="0"/>
          <w:divBdr>
            <w:top w:val="none" w:sz="0" w:space="0" w:color="auto"/>
            <w:left w:val="none" w:sz="0" w:space="0" w:color="auto"/>
            <w:bottom w:val="none" w:sz="0" w:space="0" w:color="auto"/>
            <w:right w:val="none" w:sz="0" w:space="0" w:color="auto"/>
          </w:divBdr>
        </w:div>
      </w:divsChild>
    </w:div>
    <w:div w:id="453446235">
      <w:bodyDiv w:val="1"/>
      <w:marLeft w:val="0"/>
      <w:marRight w:val="0"/>
      <w:marTop w:val="0"/>
      <w:marBottom w:val="0"/>
      <w:divBdr>
        <w:top w:val="none" w:sz="0" w:space="0" w:color="auto"/>
        <w:left w:val="none" w:sz="0" w:space="0" w:color="auto"/>
        <w:bottom w:val="none" w:sz="0" w:space="0" w:color="auto"/>
        <w:right w:val="none" w:sz="0" w:space="0" w:color="auto"/>
      </w:divBdr>
      <w:divsChild>
        <w:div w:id="603653751">
          <w:marLeft w:val="-720"/>
          <w:marRight w:val="0"/>
          <w:marTop w:val="0"/>
          <w:marBottom w:val="0"/>
          <w:divBdr>
            <w:top w:val="none" w:sz="0" w:space="0" w:color="auto"/>
            <w:left w:val="none" w:sz="0" w:space="0" w:color="auto"/>
            <w:bottom w:val="none" w:sz="0" w:space="0" w:color="auto"/>
            <w:right w:val="none" w:sz="0" w:space="0" w:color="auto"/>
          </w:divBdr>
        </w:div>
      </w:divsChild>
    </w:div>
    <w:div w:id="486242008">
      <w:bodyDiv w:val="1"/>
      <w:marLeft w:val="0"/>
      <w:marRight w:val="0"/>
      <w:marTop w:val="0"/>
      <w:marBottom w:val="0"/>
      <w:divBdr>
        <w:top w:val="none" w:sz="0" w:space="0" w:color="auto"/>
        <w:left w:val="none" w:sz="0" w:space="0" w:color="auto"/>
        <w:bottom w:val="none" w:sz="0" w:space="0" w:color="auto"/>
        <w:right w:val="none" w:sz="0" w:space="0" w:color="auto"/>
      </w:divBdr>
      <w:divsChild>
        <w:div w:id="905190396">
          <w:marLeft w:val="-720"/>
          <w:marRight w:val="0"/>
          <w:marTop w:val="0"/>
          <w:marBottom w:val="0"/>
          <w:divBdr>
            <w:top w:val="none" w:sz="0" w:space="0" w:color="auto"/>
            <w:left w:val="none" w:sz="0" w:space="0" w:color="auto"/>
            <w:bottom w:val="none" w:sz="0" w:space="0" w:color="auto"/>
            <w:right w:val="none" w:sz="0" w:space="0" w:color="auto"/>
          </w:divBdr>
        </w:div>
      </w:divsChild>
    </w:div>
    <w:div w:id="755443804">
      <w:bodyDiv w:val="1"/>
      <w:marLeft w:val="0"/>
      <w:marRight w:val="0"/>
      <w:marTop w:val="0"/>
      <w:marBottom w:val="0"/>
      <w:divBdr>
        <w:top w:val="none" w:sz="0" w:space="0" w:color="auto"/>
        <w:left w:val="none" w:sz="0" w:space="0" w:color="auto"/>
        <w:bottom w:val="none" w:sz="0" w:space="0" w:color="auto"/>
        <w:right w:val="none" w:sz="0" w:space="0" w:color="auto"/>
      </w:divBdr>
      <w:divsChild>
        <w:div w:id="879441134">
          <w:marLeft w:val="-720"/>
          <w:marRight w:val="0"/>
          <w:marTop w:val="0"/>
          <w:marBottom w:val="0"/>
          <w:divBdr>
            <w:top w:val="none" w:sz="0" w:space="0" w:color="auto"/>
            <w:left w:val="none" w:sz="0" w:space="0" w:color="auto"/>
            <w:bottom w:val="none" w:sz="0" w:space="0" w:color="auto"/>
            <w:right w:val="none" w:sz="0" w:space="0" w:color="auto"/>
          </w:divBdr>
        </w:div>
      </w:divsChild>
    </w:div>
    <w:div w:id="925383274">
      <w:bodyDiv w:val="1"/>
      <w:marLeft w:val="0"/>
      <w:marRight w:val="0"/>
      <w:marTop w:val="0"/>
      <w:marBottom w:val="0"/>
      <w:divBdr>
        <w:top w:val="none" w:sz="0" w:space="0" w:color="auto"/>
        <w:left w:val="none" w:sz="0" w:space="0" w:color="auto"/>
        <w:bottom w:val="none" w:sz="0" w:space="0" w:color="auto"/>
        <w:right w:val="none" w:sz="0" w:space="0" w:color="auto"/>
      </w:divBdr>
      <w:divsChild>
        <w:div w:id="66533641">
          <w:marLeft w:val="-720"/>
          <w:marRight w:val="0"/>
          <w:marTop w:val="0"/>
          <w:marBottom w:val="0"/>
          <w:divBdr>
            <w:top w:val="none" w:sz="0" w:space="0" w:color="auto"/>
            <w:left w:val="none" w:sz="0" w:space="0" w:color="auto"/>
            <w:bottom w:val="none" w:sz="0" w:space="0" w:color="auto"/>
            <w:right w:val="none" w:sz="0" w:space="0" w:color="auto"/>
          </w:divBdr>
        </w:div>
      </w:divsChild>
    </w:div>
    <w:div w:id="1135291853">
      <w:bodyDiv w:val="1"/>
      <w:marLeft w:val="0"/>
      <w:marRight w:val="0"/>
      <w:marTop w:val="0"/>
      <w:marBottom w:val="0"/>
      <w:divBdr>
        <w:top w:val="none" w:sz="0" w:space="0" w:color="auto"/>
        <w:left w:val="none" w:sz="0" w:space="0" w:color="auto"/>
        <w:bottom w:val="none" w:sz="0" w:space="0" w:color="auto"/>
        <w:right w:val="none" w:sz="0" w:space="0" w:color="auto"/>
      </w:divBdr>
      <w:divsChild>
        <w:div w:id="1642689175">
          <w:marLeft w:val="-720"/>
          <w:marRight w:val="0"/>
          <w:marTop w:val="0"/>
          <w:marBottom w:val="0"/>
          <w:divBdr>
            <w:top w:val="none" w:sz="0" w:space="0" w:color="auto"/>
            <w:left w:val="none" w:sz="0" w:space="0" w:color="auto"/>
            <w:bottom w:val="none" w:sz="0" w:space="0" w:color="auto"/>
            <w:right w:val="none" w:sz="0" w:space="0" w:color="auto"/>
          </w:divBdr>
        </w:div>
      </w:divsChild>
    </w:div>
    <w:div w:id="1167598609">
      <w:bodyDiv w:val="1"/>
      <w:marLeft w:val="0"/>
      <w:marRight w:val="0"/>
      <w:marTop w:val="0"/>
      <w:marBottom w:val="0"/>
      <w:divBdr>
        <w:top w:val="none" w:sz="0" w:space="0" w:color="auto"/>
        <w:left w:val="none" w:sz="0" w:space="0" w:color="auto"/>
        <w:bottom w:val="none" w:sz="0" w:space="0" w:color="auto"/>
        <w:right w:val="none" w:sz="0" w:space="0" w:color="auto"/>
      </w:divBdr>
      <w:divsChild>
        <w:div w:id="1530485498">
          <w:marLeft w:val="-720"/>
          <w:marRight w:val="0"/>
          <w:marTop w:val="0"/>
          <w:marBottom w:val="0"/>
          <w:divBdr>
            <w:top w:val="none" w:sz="0" w:space="0" w:color="auto"/>
            <w:left w:val="none" w:sz="0" w:space="0" w:color="auto"/>
            <w:bottom w:val="none" w:sz="0" w:space="0" w:color="auto"/>
            <w:right w:val="none" w:sz="0" w:space="0" w:color="auto"/>
          </w:divBdr>
        </w:div>
      </w:divsChild>
    </w:div>
    <w:div w:id="1300378436">
      <w:bodyDiv w:val="1"/>
      <w:marLeft w:val="0"/>
      <w:marRight w:val="0"/>
      <w:marTop w:val="0"/>
      <w:marBottom w:val="0"/>
      <w:divBdr>
        <w:top w:val="none" w:sz="0" w:space="0" w:color="auto"/>
        <w:left w:val="none" w:sz="0" w:space="0" w:color="auto"/>
        <w:bottom w:val="none" w:sz="0" w:space="0" w:color="auto"/>
        <w:right w:val="none" w:sz="0" w:space="0" w:color="auto"/>
      </w:divBdr>
      <w:divsChild>
        <w:div w:id="10114089">
          <w:marLeft w:val="-720"/>
          <w:marRight w:val="0"/>
          <w:marTop w:val="0"/>
          <w:marBottom w:val="0"/>
          <w:divBdr>
            <w:top w:val="none" w:sz="0" w:space="0" w:color="auto"/>
            <w:left w:val="none" w:sz="0" w:space="0" w:color="auto"/>
            <w:bottom w:val="none" w:sz="0" w:space="0" w:color="auto"/>
            <w:right w:val="none" w:sz="0" w:space="0" w:color="auto"/>
          </w:divBdr>
        </w:div>
      </w:divsChild>
    </w:div>
    <w:div w:id="1510214819">
      <w:bodyDiv w:val="1"/>
      <w:marLeft w:val="0"/>
      <w:marRight w:val="0"/>
      <w:marTop w:val="0"/>
      <w:marBottom w:val="0"/>
      <w:divBdr>
        <w:top w:val="none" w:sz="0" w:space="0" w:color="auto"/>
        <w:left w:val="none" w:sz="0" w:space="0" w:color="auto"/>
        <w:bottom w:val="none" w:sz="0" w:space="0" w:color="auto"/>
        <w:right w:val="none" w:sz="0" w:space="0" w:color="auto"/>
      </w:divBdr>
      <w:divsChild>
        <w:div w:id="745223184">
          <w:marLeft w:val="-720"/>
          <w:marRight w:val="0"/>
          <w:marTop w:val="0"/>
          <w:marBottom w:val="0"/>
          <w:divBdr>
            <w:top w:val="none" w:sz="0" w:space="0" w:color="auto"/>
            <w:left w:val="none" w:sz="0" w:space="0" w:color="auto"/>
            <w:bottom w:val="none" w:sz="0" w:space="0" w:color="auto"/>
            <w:right w:val="none" w:sz="0" w:space="0" w:color="auto"/>
          </w:divBdr>
        </w:div>
      </w:divsChild>
    </w:div>
    <w:div w:id="1757700816">
      <w:bodyDiv w:val="1"/>
      <w:marLeft w:val="0"/>
      <w:marRight w:val="0"/>
      <w:marTop w:val="0"/>
      <w:marBottom w:val="0"/>
      <w:divBdr>
        <w:top w:val="none" w:sz="0" w:space="0" w:color="auto"/>
        <w:left w:val="none" w:sz="0" w:space="0" w:color="auto"/>
        <w:bottom w:val="none" w:sz="0" w:space="0" w:color="auto"/>
        <w:right w:val="none" w:sz="0" w:space="0" w:color="auto"/>
      </w:divBdr>
      <w:divsChild>
        <w:div w:id="1514103457">
          <w:marLeft w:val="-720"/>
          <w:marRight w:val="0"/>
          <w:marTop w:val="0"/>
          <w:marBottom w:val="0"/>
          <w:divBdr>
            <w:top w:val="none" w:sz="0" w:space="0" w:color="auto"/>
            <w:left w:val="none" w:sz="0" w:space="0" w:color="auto"/>
            <w:bottom w:val="none" w:sz="0" w:space="0" w:color="auto"/>
            <w:right w:val="none" w:sz="0" w:space="0" w:color="auto"/>
          </w:divBdr>
        </w:div>
      </w:divsChild>
    </w:div>
    <w:div w:id="1774089145">
      <w:bodyDiv w:val="1"/>
      <w:marLeft w:val="0"/>
      <w:marRight w:val="0"/>
      <w:marTop w:val="0"/>
      <w:marBottom w:val="0"/>
      <w:divBdr>
        <w:top w:val="none" w:sz="0" w:space="0" w:color="auto"/>
        <w:left w:val="none" w:sz="0" w:space="0" w:color="auto"/>
        <w:bottom w:val="none" w:sz="0" w:space="0" w:color="auto"/>
        <w:right w:val="none" w:sz="0" w:space="0" w:color="auto"/>
      </w:divBdr>
      <w:divsChild>
        <w:div w:id="1763138135">
          <w:marLeft w:val="-720"/>
          <w:marRight w:val="0"/>
          <w:marTop w:val="0"/>
          <w:marBottom w:val="0"/>
          <w:divBdr>
            <w:top w:val="none" w:sz="0" w:space="0" w:color="auto"/>
            <w:left w:val="none" w:sz="0" w:space="0" w:color="auto"/>
            <w:bottom w:val="none" w:sz="0" w:space="0" w:color="auto"/>
            <w:right w:val="none" w:sz="0" w:space="0" w:color="auto"/>
          </w:divBdr>
        </w:div>
      </w:divsChild>
    </w:div>
    <w:div w:id="1796868102">
      <w:bodyDiv w:val="1"/>
      <w:marLeft w:val="0"/>
      <w:marRight w:val="0"/>
      <w:marTop w:val="0"/>
      <w:marBottom w:val="0"/>
      <w:divBdr>
        <w:top w:val="none" w:sz="0" w:space="0" w:color="auto"/>
        <w:left w:val="none" w:sz="0" w:space="0" w:color="auto"/>
        <w:bottom w:val="none" w:sz="0" w:space="0" w:color="auto"/>
        <w:right w:val="none" w:sz="0" w:space="0" w:color="auto"/>
      </w:divBdr>
      <w:divsChild>
        <w:div w:id="1644310637">
          <w:marLeft w:val="-720"/>
          <w:marRight w:val="0"/>
          <w:marTop w:val="0"/>
          <w:marBottom w:val="0"/>
          <w:divBdr>
            <w:top w:val="none" w:sz="0" w:space="0" w:color="auto"/>
            <w:left w:val="none" w:sz="0" w:space="0" w:color="auto"/>
            <w:bottom w:val="none" w:sz="0" w:space="0" w:color="auto"/>
            <w:right w:val="none" w:sz="0" w:space="0" w:color="auto"/>
          </w:divBdr>
        </w:div>
      </w:divsChild>
    </w:div>
    <w:div w:id="2069569854">
      <w:bodyDiv w:val="1"/>
      <w:marLeft w:val="0"/>
      <w:marRight w:val="0"/>
      <w:marTop w:val="0"/>
      <w:marBottom w:val="0"/>
      <w:divBdr>
        <w:top w:val="none" w:sz="0" w:space="0" w:color="auto"/>
        <w:left w:val="none" w:sz="0" w:space="0" w:color="auto"/>
        <w:bottom w:val="none" w:sz="0" w:space="0" w:color="auto"/>
        <w:right w:val="none" w:sz="0" w:space="0" w:color="auto"/>
      </w:divBdr>
      <w:divsChild>
        <w:div w:id="1332564751">
          <w:marLeft w:val="-720"/>
          <w:marRight w:val="0"/>
          <w:marTop w:val="0"/>
          <w:marBottom w:val="0"/>
          <w:divBdr>
            <w:top w:val="none" w:sz="0" w:space="0" w:color="auto"/>
            <w:left w:val="none" w:sz="0" w:space="0" w:color="auto"/>
            <w:bottom w:val="none" w:sz="0" w:space="0" w:color="auto"/>
            <w:right w:val="none" w:sz="0" w:space="0" w:color="auto"/>
          </w:divBdr>
        </w:div>
      </w:divsChild>
    </w:div>
    <w:div w:id="2121295191">
      <w:bodyDiv w:val="1"/>
      <w:marLeft w:val="0"/>
      <w:marRight w:val="0"/>
      <w:marTop w:val="0"/>
      <w:marBottom w:val="0"/>
      <w:divBdr>
        <w:top w:val="none" w:sz="0" w:space="0" w:color="auto"/>
        <w:left w:val="none" w:sz="0" w:space="0" w:color="auto"/>
        <w:bottom w:val="none" w:sz="0" w:space="0" w:color="auto"/>
        <w:right w:val="none" w:sz="0" w:space="0" w:color="auto"/>
      </w:divBdr>
      <w:divsChild>
        <w:div w:id="4688588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2413884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63D78-A07C-46B3-BE3E-B7FB9348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1217</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COnstruction technology</vt:lpstr>
    </vt:vector>
  </TitlesOfParts>
  <Company/>
  <LinksUpToDate>false</LinksUpToDate>
  <CharactersWithSpaces>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administration</dc:title>
  <dc:subject>Assignment 1</dc:subject>
  <dc:creator>Luke Morgan</dc:creator>
  <cp:keywords/>
  <dc:description/>
  <cp:lastModifiedBy>joseph andrews</cp:lastModifiedBy>
  <cp:revision>7</cp:revision>
  <dcterms:created xsi:type="dcterms:W3CDTF">2026-05-11T12:14:00Z</dcterms:created>
  <dcterms:modified xsi:type="dcterms:W3CDTF">2026-07-27T10:25:00Z</dcterms:modified>
</cp:coreProperties>
</file>