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2059000682"/>
        <w:docPartObj>
          <w:docPartGallery w:val="Cover Pages"/>
          <w:docPartUnique/>
        </w:docPartObj>
      </w:sdtPr>
      <w:sdtEndPr>
        <w:rPr>
          <w:color w:val="auto"/>
        </w:rPr>
      </w:sdtEndPr>
      <w:sdtContent>
        <w:p w14:paraId="77AD701B" w14:textId="00D691C9" w:rsidR="00861E99" w:rsidRDefault="00861E99">
          <w:pPr>
            <w:pStyle w:val="NoSpacing"/>
            <w:spacing w:before="1540" w:after="240"/>
            <w:jc w:val="center"/>
            <w:rPr>
              <w:color w:val="156082" w:themeColor="accent1"/>
            </w:rPr>
          </w:pPr>
          <w:r>
            <w:rPr>
              <w:noProof/>
              <w:color w:val="156082" w:themeColor="accent1"/>
            </w:rPr>
            <w:drawing>
              <wp:inline distT="0" distB="0" distL="0" distR="0" wp14:anchorId="6A2F75B7" wp14:editId="39C3CC7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D9D421AE53D1488EAAC5F275D2C1CDB0"/>
            </w:placeholder>
            <w:dataBinding w:prefixMappings="xmlns:ns0='http://purl.org/dc/elements/1.1/' xmlns:ns1='http://schemas.openxmlformats.org/package/2006/metadata/core-properties' " w:xpath="/ns1:coreProperties[1]/ns0:title[1]" w:storeItemID="{6C3C8BC8-F283-45AE-878A-BAB7291924A1}"/>
            <w:text/>
          </w:sdtPr>
          <w:sdtContent>
            <w:p w14:paraId="53B2C081" w14:textId="4D244A4C" w:rsidR="00861E99" w:rsidRPr="00E56508" w:rsidRDefault="003514B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E56508">
                <w:rPr>
                  <w:rFonts w:asciiTheme="majorHAnsi" w:eastAsiaTheme="majorEastAsia" w:hAnsiTheme="majorHAnsi" w:cstheme="majorBidi"/>
                  <w:caps/>
                  <w:color w:val="156082" w:themeColor="accent1"/>
                  <w:sz w:val="56"/>
                  <w:szCs w:val="56"/>
                </w:rPr>
                <w:t>EC</w:t>
              </w:r>
              <w:r w:rsidR="000B7CB5" w:rsidRPr="00E56508">
                <w:rPr>
                  <w:rFonts w:asciiTheme="majorHAnsi" w:eastAsiaTheme="majorEastAsia" w:hAnsiTheme="majorHAnsi" w:cstheme="majorBidi"/>
                  <w:caps/>
                  <w:color w:val="156082" w:themeColor="accent1"/>
                  <w:sz w:val="56"/>
                  <w:szCs w:val="56"/>
                </w:rPr>
                <w:t>IE</w:t>
              </w:r>
              <w:r w:rsidRPr="00E56508">
                <w:rPr>
                  <w:rFonts w:asciiTheme="majorHAnsi" w:eastAsiaTheme="majorEastAsia" w:hAnsiTheme="majorHAnsi" w:cstheme="majorBidi"/>
                  <w:caps/>
                  <w:color w:val="156082" w:themeColor="accent1"/>
                  <w:sz w:val="56"/>
                  <w:szCs w:val="56"/>
                </w:rPr>
                <w:t>5</w:t>
              </w:r>
              <w:r w:rsidR="000B7CB5" w:rsidRPr="00E56508">
                <w:rPr>
                  <w:rFonts w:asciiTheme="majorHAnsi" w:eastAsiaTheme="majorEastAsia" w:hAnsiTheme="majorHAnsi" w:cstheme="majorBidi"/>
                  <w:caps/>
                  <w:color w:val="156082" w:themeColor="accent1"/>
                  <w:sz w:val="56"/>
                  <w:szCs w:val="56"/>
                </w:rPr>
                <w:t>002/</w:t>
              </w:r>
              <w:r w:rsidR="00920F5B" w:rsidRPr="00E56508">
                <w:rPr>
                  <w:rFonts w:asciiTheme="majorHAnsi" w:eastAsiaTheme="majorEastAsia" w:hAnsiTheme="majorHAnsi" w:cstheme="majorBidi"/>
                  <w:caps/>
                  <w:color w:val="156082" w:themeColor="accent1"/>
                  <w:sz w:val="56"/>
                  <w:szCs w:val="56"/>
                </w:rPr>
                <w:t>C</w:t>
              </w:r>
              <w:r w:rsidR="00E56508" w:rsidRPr="00E56508">
                <w:rPr>
                  <w:rFonts w:asciiTheme="majorHAnsi" w:eastAsiaTheme="majorEastAsia" w:hAnsiTheme="majorHAnsi" w:cstheme="majorBidi"/>
                  <w:caps/>
                  <w:color w:val="156082" w:themeColor="accent1"/>
                  <w:sz w:val="56"/>
                  <w:szCs w:val="56"/>
                </w:rPr>
                <w:t xml:space="preserve"> Portfolio</w:t>
              </w:r>
            </w:p>
          </w:sdtContent>
        </w:sdt>
        <w:sdt>
          <w:sdtPr>
            <w:rPr>
              <w:color w:val="156082" w:themeColor="accent1"/>
              <w:sz w:val="28"/>
              <w:szCs w:val="28"/>
            </w:rPr>
            <w:alias w:val="Subtitle"/>
            <w:tag w:val=""/>
            <w:id w:val="328029620"/>
            <w:placeholder>
              <w:docPart w:val="D30548D5BFBD42F988F805748CFBEB9D"/>
            </w:placeholder>
            <w:dataBinding w:prefixMappings="xmlns:ns0='http://purl.org/dc/elements/1.1/' xmlns:ns1='http://schemas.openxmlformats.org/package/2006/metadata/core-properties' " w:xpath="/ns1:coreProperties[1]/ns0:subject[1]" w:storeItemID="{6C3C8BC8-F283-45AE-878A-BAB7291924A1}"/>
            <w:text/>
          </w:sdtPr>
          <w:sdtContent>
            <w:p w14:paraId="0B900915" w14:textId="233D8591" w:rsidR="00861E99" w:rsidRDefault="00893FD7">
              <w:pPr>
                <w:pStyle w:val="NoSpacing"/>
                <w:jc w:val="center"/>
                <w:rPr>
                  <w:color w:val="156082" w:themeColor="accent1"/>
                  <w:sz w:val="28"/>
                  <w:szCs w:val="28"/>
                </w:rPr>
              </w:pPr>
              <w:r>
                <w:rPr>
                  <w:color w:val="156082" w:themeColor="accent1"/>
                  <w:sz w:val="28"/>
                  <w:szCs w:val="28"/>
                </w:rPr>
                <w:t>Zoe Williams 23</w:t>
              </w:r>
              <w:r w:rsidR="00F5127B">
                <w:rPr>
                  <w:color w:val="156082" w:themeColor="accent1"/>
                  <w:sz w:val="28"/>
                  <w:szCs w:val="28"/>
                </w:rPr>
                <w:t>09079</w:t>
              </w:r>
            </w:p>
          </w:sdtContent>
        </w:sdt>
        <w:p w14:paraId="2FB9138B" w14:textId="60781CC6" w:rsidR="00861E99" w:rsidRDefault="00861E99">
          <w:pPr>
            <w:pStyle w:val="NoSpacing"/>
            <w:spacing w:before="480"/>
            <w:jc w:val="center"/>
            <w:rPr>
              <w:color w:val="156082" w:themeColor="accent1"/>
            </w:rPr>
          </w:pPr>
          <w:r>
            <w:rPr>
              <w:noProof/>
              <w:color w:val="156082" w:themeColor="accent1"/>
            </w:rPr>
            <w:drawing>
              <wp:inline distT="0" distB="0" distL="0" distR="0" wp14:anchorId="6EDFCE31" wp14:editId="2E1A8BE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FD0A7B" w14:textId="77777777" w:rsidR="00E56CAD" w:rsidRPr="00F649BD" w:rsidRDefault="001F0A0C" w:rsidP="007D7EB9">
          <w:pPr>
            <w:spacing w:line="360" w:lineRule="auto"/>
            <w:rPr>
              <w:rFonts w:ascii="Times New Roman" w:hAnsi="Times New Roman" w:cs="Times New Roman"/>
              <w:sz w:val="24"/>
              <w:szCs w:val="24"/>
              <w:u w:val="single"/>
            </w:rPr>
          </w:pPr>
          <w:r>
            <w:rPr>
              <w:noProof/>
              <w:color w:val="156082" w:themeColor="accent1"/>
            </w:rPr>
            <mc:AlternateContent>
              <mc:Choice Requires="wps">
                <w:drawing>
                  <wp:anchor distT="0" distB="0" distL="114300" distR="114300" simplePos="0" relativeHeight="251658752" behindDoc="0" locked="0" layoutInCell="1" allowOverlap="1" wp14:anchorId="2788BD8A" wp14:editId="190C9BF7">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4572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45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1T00:00:00Z">
                                    <w:dateFormat w:val="dd MMMM yyyy"/>
                                    <w:lid w:val="en-GB"/>
                                    <w:storeMappedDataAs w:val="dateTime"/>
                                    <w:calendar w:val="gregorian"/>
                                  </w:date>
                                </w:sdtPr>
                                <w:sdtContent>
                                  <w:p w14:paraId="0FD8B474" w14:textId="706E0F42" w:rsidR="00861E99" w:rsidRDefault="00DC394E">
                                    <w:pPr>
                                      <w:pStyle w:val="NoSpacing"/>
                                      <w:spacing w:after="40"/>
                                      <w:jc w:val="center"/>
                                      <w:rPr>
                                        <w:caps/>
                                        <w:color w:val="156082" w:themeColor="accent1"/>
                                        <w:sz w:val="28"/>
                                        <w:szCs w:val="28"/>
                                      </w:rPr>
                                    </w:pPr>
                                    <w:r>
                                      <w:rPr>
                                        <w:caps/>
                                        <w:color w:val="156082" w:themeColor="accent1"/>
                                        <w:sz w:val="28"/>
                                        <w:szCs w:val="28"/>
                                      </w:rPr>
                                      <w:t>01 January 2025</w:t>
                                    </w:r>
                                  </w:p>
                                </w:sdtContent>
                              </w:sdt>
                              <w:p w14:paraId="078F6F6E" w14:textId="2B830817" w:rsidR="00861E9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127B">
                                      <w:rPr>
                                        <w:caps/>
                                        <w:color w:val="156082" w:themeColor="accent1"/>
                                      </w:rPr>
                                      <w:t xml:space="preserve">University of wales trinity </w:t>
                                    </w:r>
                                    <w:r w:rsidR="001F0A0C">
                                      <w:rPr>
                                        <w:caps/>
                                        <w:color w:val="156082" w:themeColor="accent1"/>
                                      </w:rPr>
                                      <w:t>saint david</w:t>
                                    </w:r>
                                  </w:sdtContent>
                                </w:sdt>
                              </w:p>
                              <w:p w14:paraId="24B285A9" w14:textId="69F631A6" w:rsidR="00861E99" w:rsidRDefault="00861E99" w:rsidP="001F0A0C">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788BD8A" id="_x0000_t202" coordsize="21600,21600" o:spt="202" path="m,l,21600r21600,l21600,xe">
                    <v:stroke joinstyle="miter"/>
                    <v:path gradientshapeok="t" o:connecttype="rect"/>
                  </v:shapetype>
                  <v:shape id="Text Box 146" o:spid="_x0000_s1026" type="#_x0000_t202" style="position:absolute;margin-left:464.8pt;margin-top:0;width:516pt;height:36pt;z-index:251658752;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1T00:00:00Z">
                              <w:dateFormat w:val="dd MMMM yyyy"/>
                              <w:lid w:val="en-GB"/>
                              <w:storeMappedDataAs w:val="dateTime"/>
                              <w:calendar w:val="gregorian"/>
                            </w:date>
                          </w:sdtPr>
                          <w:sdtContent>
                            <w:p w14:paraId="0FD8B474" w14:textId="706E0F42" w:rsidR="00861E99" w:rsidRDefault="00DC394E">
                              <w:pPr>
                                <w:pStyle w:val="NoSpacing"/>
                                <w:spacing w:after="40"/>
                                <w:jc w:val="center"/>
                                <w:rPr>
                                  <w:caps/>
                                  <w:color w:val="156082" w:themeColor="accent1"/>
                                  <w:sz w:val="28"/>
                                  <w:szCs w:val="28"/>
                                </w:rPr>
                              </w:pPr>
                              <w:r>
                                <w:rPr>
                                  <w:caps/>
                                  <w:color w:val="156082" w:themeColor="accent1"/>
                                  <w:sz w:val="28"/>
                                  <w:szCs w:val="28"/>
                                </w:rPr>
                                <w:t>01 January 2025</w:t>
                              </w:r>
                            </w:p>
                          </w:sdtContent>
                        </w:sdt>
                        <w:p w14:paraId="078F6F6E" w14:textId="2B830817" w:rsidR="00861E9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127B">
                                <w:rPr>
                                  <w:caps/>
                                  <w:color w:val="156082" w:themeColor="accent1"/>
                                </w:rPr>
                                <w:t xml:space="preserve">University of wales trinity </w:t>
                              </w:r>
                              <w:r w:rsidR="001F0A0C">
                                <w:rPr>
                                  <w:caps/>
                                  <w:color w:val="156082" w:themeColor="accent1"/>
                                </w:rPr>
                                <w:t>saint david</w:t>
                              </w:r>
                            </w:sdtContent>
                          </w:sdt>
                        </w:p>
                        <w:p w14:paraId="24B285A9" w14:textId="69F631A6" w:rsidR="00861E99" w:rsidRDefault="00861E99" w:rsidP="001F0A0C">
                          <w:pPr>
                            <w:pStyle w:val="NoSpacing"/>
                            <w:rPr>
                              <w:color w:val="156082" w:themeColor="accent1"/>
                            </w:rPr>
                          </w:pPr>
                        </w:p>
                      </w:txbxContent>
                    </v:textbox>
                    <w10:wrap anchorx="margin" anchory="page"/>
                  </v:shape>
                </w:pict>
              </mc:Fallback>
            </mc:AlternateContent>
          </w:r>
          <w:r w:rsidR="00861E99">
            <w:br w:type="page"/>
          </w:r>
          <w:r w:rsidR="000D2624" w:rsidRPr="00F649BD">
            <w:rPr>
              <w:rFonts w:ascii="Times New Roman" w:hAnsi="Times New Roman" w:cs="Times New Roman"/>
              <w:sz w:val="24"/>
              <w:szCs w:val="24"/>
              <w:u w:val="single"/>
            </w:rPr>
            <w:lastRenderedPageBreak/>
            <w:t>Contents</w:t>
          </w:r>
        </w:p>
        <w:p w14:paraId="693F22E9" w14:textId="1E49CA17" w:rsidR="00E56CAD" w:rsidRPr="00F649BD" w:rsidRDefault="00E56CAD" w:rsidP="00CD4667">
          <w:pPr>
            <w:spacing w:line="360" w:lineRule="auto"/>
            <w:rPr>
              <w:rFonts w:ascii="Times New Roman" w:hAnsi="Times New Roman" w:cs="Times New Roman"/>
              <w:sz w:val="24"/>
              <w:szCs w:val="24"/>
              <w:lang w:val="en-US"/>
            </w:rPr>
          </w:pPr>
          <w:r w:rsidRPr="007D7EB9">
            <w:rPr>
              <w:rFonts w:ascii="Times New Roman" w:hAnsi="Times New Roman" w:cs="Times New Roman"/>
              <w:sz w:val="24"/>
              <w:szCs w:val="24"/>
              <w:lang w:val="en-US"/>
            </w:rPr>
            <w:t>Element 1</w:t>
          </w:r>
          <w:r w:rsidRPr="00F649BD">
            <w:rPr>
              <w:rFonts w:ascii="Times New Roman" w:hAnsi="Times New Roman" w:cs="Times New Roman"/>
              <w:sz w:val="24"/>
              <w:szCs w:val="24"/>
              <w:lang w:val="en-US"/>
            </w:rPr>
            <w:t>: Essay –</w:t>
          </w:r>
          <w:r w:rsidR="00F649BD" w:rsidRPr="00F649BD">
            <w:rPr>
              <w:rFonts w:ascii="Times New Roman" w:hAnsi="Times New Roman" w:cs="Times New Roman"/>
              <w:sz w:val="24"/>
              <w:szCs w:val="24"/>
              <w:u w:val="single"/>
            </w:rPr>
            <w:t xml:space="preserve"> </w:t>
          </w:r>
          <w:r w:rsidR="00F649BD" w:rsidRPr="00F649BD">
            <w:rPr>
              <w:rFonts w:ascii="Times New Roman" w:hAnsi="Times New Roman" w:cs="Times New Roman"/>
              <w:sz w:val="24"/>
              <w:szCs w:val="24"/>
            </w:rPr>
            <w:t>Numeracy: The Foundation for Everyday Success</w:t>
          </w:r>
          <w:r w:rsidR="00016111" w:rsidRPr="00F649BD">
            <w:rPr>
              <w:rFonts w:ascii="Times New Roman" w:hAnsi="Times New Roman" w:cs="Times New Roman"/>
              <w:sz w:val="24"/>
              <w:szCs w:val="24"/>
              <w:lang w:val="en-US"/>
            </w:rPr>
            <w:t>........................................</w:t>
          </w:r>
          <w:r w:rsidR="00F649BD" w:rsidRPr="00F649BD">
            <w:rPr>
              <w:rFonts w:ascii="Times New Roman" w:hAnsi="Times New Roman" w:cs="Times New Roman"/>
              <w:sz w:val="24"/>
              <w:szCs w:val="24"/>
              <w:lang w:val="en-US"/>
            </w:rPr>
            <w:t>.........................................................</w:t>
          </w:r>
          <w:r w:rsidR="00F649BD">
            <w:rPr>
              <w:rFonts w:ascii="Times New Roman" w:hAnsi="Times New Roman" w:cs="Times New Roman"/>
              <w:sz w:val="24"/>
              <w:szCs w:val="24"/>
              <w:lang w:val="en-US"/>
            </w:rPr>
            <w:t>....................</w:t>
          </w:r>
          <w:r w:rsidR="00D435A6">
            <w:rPr>
              <w:rFonts w:ascii="Times New Roman" w:hAnsi="Times New Roman" w:cs="Times New Roman"/>
              <w:sz w:val="24"/>
              <w:szCs w:val="24"/>
              <w:lang w:val="en-US"/>
            </w:rPr>
            <w:t>.</w:t>
          </w:r>
          <w:r w:rsidR="00F649BD">
            <w:rPr>
              <w:rFonts w:ascii="Times New Roman" w:hAnsi="Times New Roman" w:cs="Times New Roman"/>
              <w:sz w:val="24"/>
              <w:szCs w:val="24"/>
              <w:lang w:val="en-US"/>
            </w:rPr>
            <w:t>.</w:t>
          </w:r>
          <w:r w:rsidR="007D7EB9">
            <w:rPr>
              <w:rFonts w:ascii="Times New Roman" w:hAnsi="Times New Roman" w:cs="Times New Roman"/>
              <w:sz w:val="24"/>
              <w:szCs w:val="24"/>
              <w:lang w:val="en-US"/>
            </w:rPr>
            <w:t>.............</w:t>
          </w:r>
          <w:r w:rsidR="00016111" w:rsidRPr="00F649BD">
            <w:rPr>
              <w:rFonts w:ascii="Times New Roman" w:hAnsi="Times New Roman" w:cs="Times New Roman"/>
              <w:sz w:val="24"/>
              <w:szCs w:val="24"/>
              <w:lang w:val="en-US"/>
            </w:rPr>
            <w:t>1-3</w:t>
          </w:r>
        </w:p>
        <w:p w14:paraId="140D7DF4" w14:textId="02365C28" w:rsidR="00E56CAD" w:rsidRDefault="00E56CAD" w:rsidP="00CD4667">
          <w:pPr>
            <w:spacing w:line="360" w:lineRule="auto"/>
            <w:rPr>
              <w:rFonts w:ascii="Times New Roman" w:hAnsi="Times New Roman" w:cs="Times New Roman"/>
              <w:sz w:val="24"/>
              <w:szCs w:val="24"/>
              <w:lang w:val="en-US"/>
            </w:rPr>
          </w:pPr>
          <w:r w:rsidRPr="00F649BD">
            <w:rPr>
              <w:rFonts w:ascii="Times New Roman" w:hAnsi="Times New Roman" w:cs="Times New Roman"/>
              <w:sz w:val="24"/>
              <w:szCs w:val="24"/>
              <w:lang w:val="en-US"/>
            </w:rPr>
            <w:t xml:space="preserve">Reference </w:t>
          </w:r>
          <w:r w:rsidR="00F649BD">
            <w:rPr>
              <w:rFonts w:ascii="Times New Roman" w:hAnsi="Times New Roman" w:cs="Times New Roman"/>
              <w:sz w:val="24"/>
              <w:szCs w:val="24"/>
              <w:lang w:val="en-US"/>
            </w:rPr>
            <w:t>List</w:t>
          </w:r>
          <w:r w:rsidR="00471530">
            <w:rPr>
              <w:rFonts w:ascii="Times New Roman" w:hAnsi="Times New Roman" w:cs="Times New Roman"/>
              <w:sz w:val="24"/>
              <w:szCs w:val="24"/>
              <w:lang w:val="en-US"/>
            </w:rPr>
            <w:t xml:space="preserve"> for </w:t>
          </w:r>
          <w:r w:rsidR="00BD025E" w:rsidRPr="007D7EB9">
            <w:rPr>
              <w:rFonts w:ascii="Times New Roman" w:hAnsi="Times New Roman" w:cs="Times New Roman"/>
              <w:sz w:val="24"/>
              <w:szCs w:val="24"/>
              <w:lang w:val="en-US"/>
            </w:rPr>
            <w:t>E</w:t>
          </w:r>
          <w:r w:rsidR="00471530" w:rsidRPr="007D7EB9">
            <w:rPr>
              <w:rFonts w:ascii="Times New Roman" w:hAnsi="Times New Roman" w:cs="Times New Roman"/>
              <w:sz w:val="24"/>
              <w:szCs w:val="24"/>
              <w:lang w:val="en-US"/>
            </w:rPr>
            <w:t>lement 1</w:t>
          </w:r>
          <w:r w:rsidR="00016111" w:rsidRPr="00F649BD">
            <w:rPr>
              <w:rFonts w:ascii="Times New Roman" w:hAnsi="Times New Roman" w:cs="Times New Roman"/>
              <w:sz w:val="24"/>
              <w:szCs w:val="24"/>
              <w:lang w:val="en-US"/>
            </w:rPr>
            <w:t>……………………</w:t>
          </w:r>
          <w:r w:rsidR="00471530">
            <w:rPr>
              <w:rFonts w:ascii="Times New Roman" w:hAnsi="Times New Roman" w:cs="Times New Roman"/>
              <w:sz w:val="24"/>
              <w:szCs w:val="24"/>
              <w:lang w:val="en-US"/>
            </w:rPr>
            <w:t>.</w:t>
          </w:r>
          <w:r w:rsidR="00016111" w:rsidRPr="00F649BD">
            <w:rPr>
              <w:rFonts w:ascii="Times New Roman" w:hAnsi="Times New Roman" w:cs="Times New Roman"/>
              <w:sz w:val="24"/>
              <w:szCs w:val="24"/>
              <w:lang w:val="en-US"/>
            </w:rPr>
            <w:t>…………………………………</w:t>
          </w:r>
          <w:r w:rsidR="007D7EB9">
            <w:rPr>
              <w:rFonts w:ascii="Times New Roman" w:hAnsi="Times New Roman" w:cs="Times New Roman"/>
              <w:sz w:val="24"/>
              <w:szCs w:val="24"/>
              <w:lang w:val="en-US"/>
            </w:rPr>
            <w:t>……….</w:t>
          </w:r>
          <w:r w:rsidR="00016111" w:rsidRPr="00F649BD">
            <w:rPr>
              <w:rFonts w:ascii="Times New Roman" w:hAnsi="Times New Roman" w:cs="Times New Roman"/>
              <w:sz w:val="24"/>
              <w:szCs w:val="24"/>
              <w:lang w:val="en-US"/>
            </w:rPr>
            <w:t>4-</w:t>
          </w:r>
          <w:r w:rsidR="00BD025E">
            <w:rPr>
              <w:rFonts w:ascii="Times New Roman" w:hAnsi="Times New Roman" w:cs="Times New Roman"/>
              <w:sz w:val="24"/>
              <w:szCs w:val="24"/>
              <w:lang w:val="en-US"/>
            </w:rPr>
            <w:t>6</w:t>
          </w:r>
        </w:p>
        <w:p w14:paraId="03341AF4" w14:textId="71547D70" w:rsidR="00BD025E" w:rsidRDefault="00BD025E"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Element 2: Blog- A teachers Guide to boosting Numeracy………………………</w:t>
          </w:r>
          <w:r w:rsidR="00D435A6">
            <w:rPr>
              <w:rFonts w:ascii="Times New Roman" w:hAnsi="Times New Roman" w:cs="Times New Roman"/>
              <w:sz w:val="24"/>
              <w:szCs w:val="24"/>
              <w:lang w:val="en-US"/>
            </w:rPr>
            <w:t>…</w:t>
          </w:r>
          <w:r w:rsidR="007D7EB9">
            <w:rPr>
              <w:rFonts w:ascii="Times New Roman" w:hAnsi="Times New Roman" w:cs="Times New Roman"/>
              <w:sz w:val="24"/>
              <w:szCs w:val="24"/>
              <w:lang w:val="en-US"/>
            </w:rPr>
            <w:t>……..</w:t>
          </w:r>
          <w:r>
            <w:rPr>
              <w:rFonts w:ascii="Times New Roman" w:hAnsi="Times New Roman" w:cs="Times New Roman"/>
              <w:sz w:val="24"/>
              <w:szCs w:val="24"/>
              <w:lang w:val="en-US"/>
            </w:rPr>
            <w:t>7-12</w:t>
          </w:r>
        </w:p>
        <w:p w14:paraId="5001A3AA" w14:textId="75656902" w:rsidR="00BD025E" w:rsidRDefault="00BD025E"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 for Element 2………………………………………………………</w:t>
          </w:r>
          <w:r w:rsidR="007D7EB9">
            <w:rPr>
              <w:rFonts w:ascii="Times New Roman" w:hAnsi="Times New Roman" w:cs="Times New Roman"/>
              <w:sz w:val="24"/>
              <w:szCs w:val="24"/>
              <w:lang w:val="en-US"/>
            </w:rPr>
            <w:t>……..</w:t>
          </w:r>
          <w:r>
            <w:rPr>
              <w:rFonts w:ascii="Times New Roman" w:hAnsi="Times New Roman" w:cs="Times New Roman"/>
              <w:sz w:val="24"/>
              <w:szCs w:val="24"/>
              <w:lang w:val="en-US"/>
            </w:rPr>
            <w:t>13-15</w:t>
          </w:r>
        </w:p>
        <w:p w14:paraId="19B8C0CB" w14:textId="50C745EA" w:rsidR="00D435A6" w:rsidRDefault="00D435A6"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Element 3: Resource Sheet-</w:t>
          </w:r>
          <w:r w:rsidRPr="00D435A6">
            <w:t xml:space="preserve"> </w:t>
          </w:r>
          <w:r w:rsidRPr="00D435A6">
            <w:rPr>
              <w:rFonts w:ascii="Times New Roman" w:hAnsi="Times New Roman" w:cs="Times New Roman"/>
              <w:sz w:val="24"/>
              <w:szCs w:val="24"/>
              <w:lang w:val="en-US"/>
            </w:rPr>
            <w:t xml:space="preserve">Pop, Learn, </w:t>
          </w:r>
          <w:r w:rsidR="007D7EB9" w:rsidRPr="00D435A6">
            <w:rPr>
              <w:rFonts w:ascii="Times New Roman" w:hAnsi="Times New Roman" w:cs="Times New Roman"/>
              <w:sz w:val="24"/>
              <w:szCs w:val="24"/>
              <w:lang w:val="en-US"/>
            </w:rPr>
            <w:t>multiply</w:t>
          </w:r>
          <w:r w:rsidRPr="00D435A6">
            <w:rPr>
              <w:rFonts w:ascii="Times New Roman" w:hAnsi="Times New Roman" w:cs="Times New Roman"/>
              <w:sz w:val="24"/>
              <w:szCs w:val="24"/>
              <w:lang w:val="en-US"/>
            </w:rPr>
            <w:t>: The Fun and Engaging way to Master Times Tables</w:t>
          </w:r>
          <w:r>
            <w:rPr>
              <w:rFonts w:ascii="Times New Roman" w:hAnsi="Times New Roman" w:cs="Times New Roman"/>
              <w:sz w:val="24"/>
              <w:szCs w:val="24"/>
              <w:lang w:val="en-US"/>
            </w:rPr>
            <w:t>………………………………………………………………………...</w:t>
          </w:r>
          <w:r w:rsidR="007D7EB9">
            <w:rPr>
              <w:rFonts w:ascii="Times New Roman" w:hAnsi="Times New Roman" w:cs="Times New Roman"/>
              <w:sz w:val="24"/>
              <w:szCs w:val="24"/>
              <w:lang w:val="en-US"/>
            </w:rPr>
            <w:t>........</w:t>
          </w:r>
          <w:r>
            <w:rPr>
              <w:rFonts w:ascii="Times New Roman" w:hAnsi="Times New Roman" w:cs="Times New Roman"/>
              <w:sz w:val="24"/>
              <w:szCs w:val="24"/>
              <w:lang w:val="en-US"/>
            </w:rPr>
            <w:t>14</w:t>
          </w:r>
          <w:r w:rsidR="00D05D53">
            <w:rPr>
              <w:rFonts w:ascii="Times New Roman" w:hAnsi="Times New Roman" w:cs="Times New Roman"/>
              <w:sz w:val="24"/>
              <w:szCs w:val="24"/>
              <w:lang w:val="en-US"/>
            </w:rPr>
            <w:t>-15</w:t>
          </w:r>
        </w:p>
        <w:p w14:paraId="39CF2067" w14:textId="0C9BF868" w:rsidR="00D435A6" w:rsidRDefault="00D435A6"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 for Element 3………………………………………………………</w:t>
          </w:r>
          <w:r w:rsidR="007D7EB9">
            <w:rPr>
              <w:rFonts w:ascii="Times New Roman" w:hAnsi="Times New Roman" w:cs="Times New Roman"/>
              <w:sz w:val="24"/>
              <w:szCs w:val="24"/>
              <w:lang w:val="en-US"/>
            </w:rPr>
            <w:t>……</w:t>
          </w:r>
          <w:r w:rsidR="00CD4667">
            <w:rPr>
              <w:rFonts w:ascii="Times New Roman" w:hAnsi="Times New Roman" w:cs="Times New Roman"/>
              <w:sz w:val="24"/>
              <w:szCs w:val="24"/>
              <w:lang w:val="en-US"/>
            </w:rPr>
            <w:t>..</w:t>
          </w:r>
          <w:r>
            <w:rPr>
              <w:rFonts w:ascii="Times New Roman" w:hAnsi="Times New Roman" w:cs="Times New Roman"/>
              <w:sz w:val="24"/>
              <w:szCs w:val="24"/>
              <w:lang w:val="en-US"/>
            </w:rPr>
            <w:t>1</w:t>
          </w:r>
          <w:r w:rsidR="00D05D53">
            <w:rPr>
              <w:rFonts w:ascii="Times New Roman" w:hAnsi="Times New Roman" w:cs="Times New Roman"/>
              <w:sz w:val="24"/>
              <w:szCs w:val="24"/>
              <w:lang w:val="en-US"/>
            </w:rPr>
            <w:t>6</w:t>
          </w:r>
          <w:r w:rsidR="00CD4667">
            <w:rPr>
              <w:rFonts w:ascii="Times New Roman" w:hAnsi="Times New Roman" w:cs="Times New Roman"/>
              <w:sz w:val="24"/>
              <w:szCs w:val="24"/>
              <w:lang w:val="en-US"/>
            </w:rPr>
            <w:t>-17</w:t>
          </w:r>
        </w:p>
        <w:p w14:paraId="7F56DAEC" w14:textId="190A85D3" w:rsidR="00D435A6" w:rsidRDefault="00D435A6"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Element 4: Link to Video of Resource in Action…………………………………...</w:t>
          </w:r>
          <w:r w:rsidR="007D7EB9">
            <w:rPr>
              <w:rFonts w:ascii="Times New Roman" w:hAnsi="Times New Roman" w:cs="Times New Roman"/>
              <w:sz w:val="24"/>
              <w:szCs w:val="24"/>
              <w:lang w:val="en-US"/>
            </w:rPr>
            <w:t>.......</w:t>
          </w:r>
          <w:r w:rsidR="00CD4667">
            <w:rPr>
              <w:rFonts w:ascii="Times New Roman" w:hAnsi="Times New Roman" w:cs="Times New Roman"/>
              <w:sz w:val="24"/>
              <w:szCs w:val="24"/>
              <w:lang w:val="en-US"/>
            </w:rPr>
            <w:t>.......</w:t>
          </w:r>
          <w:r>
            <w:rPr>
              <w:rFonts w:ascii="Times New Roman" w:hAnsi="Times New Roman" w:cs="Times New Roman"/>
              <w:sz w:val="24"/>
              <w:szCs w:val="24"/>
              <w:lang w:val="en-US"/>
            </w:rPr>
            <w:t>1</w:t>
          </w:r>
          <w:r w:rsidR="00CD4667">
            <w:rPr>
              <w:rFonts w:ascii="Times New Roman" w:hAnsi="Times New Roman" w:cs="Times New Roman"/>
              <w:sz w:val="24"/>
              <w:szCs w:val="24"/>
              <w:lang w:val="en-US"/>
            </w:rPr>
            <w:t>8</w:t>
          </w:r>
        </w:p>
        <w:p w14:paraId="10A92612" w14:textId="3B3787B5" w:rsidR="00D435A6" w:rsidRDefault="00D435A6"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Element 5:</w:t>
          </w:r>
          <w:r w:rsidR="00CD2B38">
            <w:rPr>
              <w:rFonts w:ascii="Times New Roman" w:hAnsi="Times New Roman" w:cs="Times New Roman"/>
              <w:sz w:val="24"/>
              <w:szCs w:val="24"/>
              <w:lang w:val="en-US"/>
            </w:rPr>
            <w:t xml:space="preserve"> Review of Resource- </w:t>
          </w:r>
          <w:r w:rsidR="00CD2B38" w:rsidRPr="00CD2B38">
            <w:rPr>
              <w:rFonts w:ascii="Times New Roman" w:hAnsi="Times New Roman" w:cs="Times New Roman"/>
              <w:sz w:val="24"/>
              <w:szCs w:val="24"/>
              <w:lang w:val="en-US"/>
            </w:rPr>
            <w:t>Times table Pop-It Square: A Fun and Functional Review</w:t>
          </w:r>
          <w:r w:rsidR="007D7EB9">
            <w:rPr>
              <w:rFonts w:ascii="Times New Roman" w:hAnsi="Times New Roman" w:cs="Times New Roman"/>
              <w:sz w:val="24"/>
              <w:szCs w:val="24"/>
              <w:lang w:val="en-US"/>
            </w:rPr>
            <w:t>……………………………………………………………………………………1</w:t>
          </w:r>
          <w:r w:rsidR="00CD4667">
            <w:rPr>
              <w:rFonts w:ascii="Times New Roman" w:hAnsi="Times New Roman" w:cs="Times New Roman"/>
              <w:sz w:val="24"/>
              <w:szCs w:val="24"/>
              <w:lang w:val="en-US"/>
            </w:rPr>
            <w:t>9</w:t>
          </w:r>
          <w:r w:rsidR="007D7EB9">
            <w:rPr>
              <w:rFonts w:ascii="Times New Roman" w:hAnsi="Times New Roman" w:cs="Times New Roman"/>
              <w:sz w:val="24"/>
              <w:szCs w:val="24"/>
              <w:lang w:val="en-US"/>
            </w:rPr>
            <w:t>-2</w:t>
          </w:r>
          <w:r w:rsidR="00CD4667">
            <w:rPr>
              <w:rFonts w:ascii="Times New Roman" w:hAnsi="Times New Roman" w:cs="Times New Roman"/>
              <w:sz w:val="24"/>
              <w:szCs w:val="24"/>
              <w:lang w:val="en-US"/>
            </w:rPr>
            <w:t>2</w:t>
          </w:r>
        </w:p>
        <w:p w14:paraId="067E12A6" w14:textId="464D41A7" w:rsidR="007D7EB9" w:rsidRDefault="007D7EB9" w:rsidP="00CD46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 for Element 5…………………………………………………………</w:t>
          </w:r>
          <w:r w:rsidR="00CD4667">
            <w:rPr>
              <w:rFonts w:ascii="Times New Roman" w:hAnsi="Times New Roman" w:cs="Times New Roman"/>
              <w:sz w:val="24"/>
              <w:szCs w:val="24"/>
              <w:lang w:val="en-US"/>
            </w:rPr>
            <w:t>…..</w:t>
          </w:r>
          <w:r>
            <w:rPr>
              <w:rFonts w:ascii="Times New Roman" w:hAnsi="Times New Roman" w:cs="Times New Roman"/>
              <w:sz w:val="24"/>
              <w:szCs w:val="24"/>
              <w:lang w:val="en-US"/>
            </w:rPr>
            <w:t>2</w:t>
          </w:r>
          <w:r w:rsidR="00CD4667">
            <w:rPr>
              <w:rFonts w:ascii="Times New Roman" w:hAnsi="Times New Roman" w:cs="Times New Roman"/>
              <w:sz w:val="24"/>
              <w:szCs w:val="24"/>
              <w:lang w:val="en-US"/>
            </w:rPr>
            <w:t>3</w:t>
          </w:r>
          <w:r>
            <w:rPr>
              <w:rFonts w:ascii="Times New Roman" w:hAnsi="Times New Roman" w:cs="Times New Roman"/>
              <w:sz w:val="24"/>
              <w:szCs w:val="24"/>
              <w:lang w:val="en-US"/>
            </w:rPr>
            <w:t>-2</w:t>
          </w:r>
          <w:r w:rsidR="00CD4667">
            <w:rPr>
              <w:rFonts w:ascii="Times New Roman" w:hAnsi="Times New Roman" w:cs="Times New Roman"/>
              <w:sz w:val="24"/>
              <w:szCs w:val="24"/>
              <w:lang w:val="en-US"/>
            </w:rPr>
            <w:t>4</w:t>
          </w:r>
        </w:p>
        <w:p w14:paraId="0CCA005A" w14:textId="77777777" w:rsidR="00BD025E" w:rsidRPr="00F649BD" w:rsidRDefault="00BD025E" w:rsidP="00F649BD">
          <w:pPr>
            <w:rPr>
              <w:rFonts w:ascii="Times New Roman" w:hAnsi="Times New Roman" w:cs="Times New Roman"/>
              <w:sz w:val="24"/>
              <w:szCs w:val="24"/>
              <w:lang w:val="en-US"/>
            </w:rPr>
          </w:pPr>
        </w:p>
        <w:p w14:paraId="5C68C5EF" w14:textId="77777777" w:rsidR="00E56CAD" w:rsidRDefault="00E56CAD" w:rsidP="00F649BD">
          <w:pPr>
            <w:rPr>
              <w:u w:val="single"/>
            </w:rPr>
          </w:pPr>
        </w:p>
        <w:p w14:paraId="738E1745" w14:textId="6348F572" w:rsidR="000D2624" w:rsidRPr="00E56CAD" w:rsidRDefault="000D2624">
          <w:pPr>
            <w:rPr>
              <w:u w:val="single"/>
            </w:rPr>
          </w:pPr>
          <w:r w:rsidRPr="00E56CAD">
            <w:rPr>
              <w:u w:val="single"/>
            </w:rPr>
            <w:br w:type="page"/>
          </w:r>
        </w:p>
        <w:p w14:paraId="266ECB42" w14:textId="72BA63A8" w:rsidR="00861E99" w:rsidRDefault="00000000"/>
      </w:sdtContent>
    </w:sdt>
    <w:p w14:paraId="7B285E41" w14:textId="77777777" w:rsidR="00E56CAD" w:rsidRPr="00916925" w:rsidRDefault="00E56CAD" w:rsidP="00E56CAD">
      <w:pPr>
        <w:jc w:val="center"/>
        <w:rPr>
          <w:rFonts w:ascii="Times New Roman" w:hAnsi="Times New Roman" w:cs="Times New Roman"/>
          <w:sz w:val="24"/>
          <w:szCs w:val="24"/>
          <w:u w:val="single"/>
        </w:rPr>
      </w:pPr>
      <w:r w:rsidRPr="00916925">
        <w:rPr>
          <w:rFonts w:ascii="Times New Roman" w:hAnsi="Times New Roman" w:cs="Times New Roman"/>
          <w:sz w:val="24"/>
          <w:szCs w:val="24"/>
          <w:u w:val="single"/>
        </w:rPr>
        <w:t>Numeracy: The Foundation for Everyday Success.</w:t>
      </w:r>
    </w:p>
    <w:p w14:paraId="56B4E16B" w14:textId="77777777" w:rsidR="00E56CAD" w:rsidRPr="00916925" w:rsidRDefault="00E56CAD" w:rsidP="00E56CAD">
      <w:pPr>
        <w:jc w:val="center"/>
        <w:rPr>
          <w:rFonts w:ascii="Times New Roman" w:hAnsi="Times New Roman" w:cs="Times New Roman"/>
          <w:sz w:val="24"/>
          <w:szCs w:val="24"/>
          <w:u w:val="single"/>
        </w:rPr>
      </w:pPr>
      <w:r w:rsidRPr="00916925">
        <w:rPr>
          <w:rFonts w:ascii="Times New Roman" w:hAnsi="Times New Roman" w:cs="Times New Roman"/>
          <w:sz w:val="24"/>
          <w:szCs w:val="24"/>
          <w:u w:val="single"/>
        </w:rPr>
        <w:t>By Zoe Williams</w:t>
      </w:r>
    </w:p>
    <w:p w14:paraId="74389ECF" w14:textId="77777777" w:rsidR="00E56CAD" w:rsidRPr="00916925" w:rsidRDefault="00E56CAD" w:rsidP="00E56CAD">
      <w:pPr>
        <w:jc w:val="center"/>
        <w:rPr>
          <w:rFonts w:ascii="Times New Roman" w:hAnsi="Times New Roman" w:cs="Times New Roman"/>
          <w:sz w:val="24"/>
          <w:szCs w:val="24"/>
          <w:u w:val="single"/>
        </w:rPr>
      </w:pPr>
    </w:p>
    <w:p w14:paraId="3B315C57" w14:textId="43C6EC47" w:rsidR="00E56CAD" w:rsidRPr="0025174B" w:rsidRDefault="00E56CAD" w:rsidP="00E56CAD">
      <w:pPr>
        <w:spacing w:line="360" w:lineRule="auto"/>
        <w:jc w:val="both"/>
        <w:rPr>
          <w:rFonts w:ascii="Times New Roman" w:hAnsi="Times New Roman" w:cs="Times New Roman"/>
          <w:sz w:val="24"/>
          <w:szCs w:val="24"/>
        </w:rPr>
      </w:pPr>
      <w:r w:rsidRPr="0025174B">
        <w:rPr>
          <w:rFonts w:ascii="Times New Roman" w:hAnsi="Times New Roman" w:cs="Times New Roman"/>
          <w:sz w:val="24"/>
          <w:szCs w:val="24"/>
        </w:rPr>
        <w:t>Numeracy, often defined as the ability to work effectively with numbers and mathematical concepts</w:t>
      </w:r>
      <w:r>
        <w:rPr>
          <w:rFonts w:ascii="Times New Roman" w:hAnsi="Times New Roman" w:cs="Times New Roman"/>
          <w:sz w:val="24"/>
          <w:szCs w:val="24"/>
        </w:rPr>
        <w:t xml:space="preserve"> (Cambridge 2025)</w:t>
      </w:r>
      <w:r w:rsidRPr="0025174B">
        <w:rPr>
          <w:rFonts w:ascii="Times New Roman" w:hAnsi="Times New Roman" w:cs="Times New Roman"/>
          <w:sz w:val="24"/>
          <w:szCs w:val="24"/>
        </w:rPr>
        <w:t xml:space="preserve">, </w:t>
      </w:r>
      <w:r w:rsidRPr="00916925">
        <w:rPr>
          <w:rFonts w:ascii="Times New Roman" w:hAnsi="Times New Roman" w:cs="Times New Roman"/>
          <w:sz w:val="24"/>
          <w:szCs w:val="24"/>
        </w:rPr>
        <w:t xml:space="preserve">it </w:t>
      </w:r>
      <w:r w:rsidRPr="0025174B">
        <w:rPr>
          <w:rFonts w:ascii="Times New Roman" w:hAnsi="Times New Roman" w:cs="Times New Roman"/>
          <w:sz w:val="24"/>
          <w:szCs w:val="24"/>
        </w:rPr>
        <w:t xml:space="preserve">is an essential skill in </w:t>
      </w:r>
      <w:r w:rsidRPr="00916925">
        <w:rPr>
          <w:rFonts w:ascii="Times New Roman" w:hAnsi="Times New Roman" w:cs="Times New Roman"/>
          <w:sz w:val="24"/>
          <w:szCs w:val="24"/>
        </w:rPr>
        <w:t>everyday life</w:t>
      </w:r>
      <w:r w:rsidRPr="0025174B">
        <w:rPr>
          <w:rFonts w:ascii="Times New Roman" w:hAnsi="Times New Roman" w:cs="Times New Roman"/>
          <w:sz w:val="24"/>
          <w:szCs w:val="24"/>
        </w:rPr>
        <w:t xml:space="preserve">. It encompasses not only arithmetic but also problem-solving, logical reasoning, and the interpretation of </w:t>
      </w:r>
      <w:r w:rsidRPr="00BD2D8A">
        <w:rPr>
          <w:rFonts w:ascii="Times New Roman" w:hAnsi="Times New Roman" w:cs="Times New Roman"/>
          <w:sz w:val="24"/>
          <w:szCs w:val="24"/>
        </w:rPr>
        <w:t>data (Betts &amp; Thai 2022). Educational theorists such as Jean Piaget, Lev Vygotsky, and Howard Gardner have</w:t>
      </w:r>
      <w:r w:rsidRPr="0025174B">
        <w:rPr>
          <w:rFonts w:ascii="Times New Roman" w:hAnsi="Times New Roman" w:cs="Times New Roman"/>
          <w:sz w:val="24"/>
          <w:szCs w:val="24"/>
        </w:rPr>
        <w:t xml:space="preserve"> emphasized the importance of numeracy in cognitive development and its role in shaping individuals' ability to navigate daily life.</w:t>
      </w:r>
      <w:r w:rsidR="000A5B73">
        <w:rPr>
          <w:rFonts w:ascii="Times New Roman" w:hAnsi="Times New Roman" w:cs="Times New Roman"/>
          <w:sz w:val="24"/>
          <w:szCs w:val="24"/>
        </w:rPr>
        <w:t xml:space="preserve"> A 2022 study conducted by National Numeracy revealed </w:t>
      </w:r>
      <w:r w:rsidR="000F3F58">
        <w:rPr>
          <w:rFonts w:ascii="Times New Roman" w:hAnsi="Times New Roman" w:cs="Times New Roman"/>
          <w:sz w:val="24"/>
          <w:szCs w:val="24"/>
        </w:rPr>
        <w:t>that</w:t>
      </w:r>
      <w:r w:rsidR="000F3F58" w:rsidRPr="000A5B73">
        <w:rPr>
          <w:rFonts w:ascii="Times New Roman" w:hAnsi="Times New Roman" w:cs="Times New Roman"/>
          <w:i/>
          <w:iCs/>
          <w:sz w:val="24"/>
          <w:szCs w:val="24"/>
        </w:rPr>
        <w:t xml:space="preserve"> “</w:t>
      </w:r>
      <w:r w:rsidR="00B27C0C">
        <w:rPr>
          <w:rFonts w:ascii="Times New Roman" w:hAnsi="Times New Roman" w:cs="Times New Roman"/>
          <w:i/>
          <w:iCs/>
          <w:sz w:val="24"/>
          <w:szCs w:val="24"/>
        </w:rPr>
        <w:t>5</w:t>
      </w:r>
      <w:r w:rsidR="000A5B73" w:rsidRPr="000A5B73">
        <w:rPr>
          <w:rFonts w:ascii="Times New Roman" w:hAnsi="Times New Roman" w:cs="Times New Roman"/>
          <w:i/>
          <w:iCs/>
          <w:sz w:val="24"/>
          <w:szCs w:val="24"/>
        </w:rPr>
        <w:t>4% of the working age population has the numeracy level expected of a primary school child”</w:t>
      </w:r>
      <w:r w:rsidR="00B27C0C">
        <w:rPr>
          <w:rFonts w:ascii="Times New Roman" w:hAnsi="Times New Roman" w:cs="Times New Roman"/>
          <w:i/>
          <w:iCs/>
          <w:sz w:val="24"/>
          <w:szCs w:val="24"/>
        </w:rPr>
        <w:t xml:space="preserve"> </w:t>
      </w:r>
      <w:r w:rsidR="000A5B73" w:rsidRPr="000A5B73">
        <w:rPr>
          <w:rFonts w:ascii="Times New Roman" w:hAnsi="Times New Roman" w:cs="Times New Roman"/>
          <w:sz w:val="24"/>
          <w:szCs w:val="24"/>
        </w:rPr>
        <w:t xml:space="preserve">(National Numeracy 2022). </w:t>
      </w:r>
      <w:r w:rsidRPr="0025174B">
        <w:rPr>
          <w:rFonts w:ascii="Times New Roman" w:hAnsi="Times New Roman" w:cs="Times New Roman"/>
          <w:sz w:val="24"/>
          <w:szCs w:val="24"/>
        </w:rPr>
        <w:t xml:space="preserve">This essay </w:t>
      </w:r>
      <w:r w:rsidRPr="00916925">
        <w:rPr>
          <w:rFonts w:ascii="Times New Roman" w:hAnsi="Times New Roman" w:cs="Times New Roman"/>
          <w:sz w:val="24"/>
          <w:szCs w:val="24"/>
        </w:rPr>
        <w:t>will examine</w:t>
      </w:r>
      <w:r w:rsidRPr="0025174B">
        <w:rPr>
          <w:rFonts w:ascii="Times New Roman" w:hAnsi="Times New Roman" w:cs="Times New Roman"/>
          <w:sz w:val="24"/>
          <w:szCs w:val="24"/>
        </w:rPr>
        <w:t xml:space="preserve"> the importance of </w:t>
      </w:r>
      <w:r w:rsidRPr="00916925">
        <w:rPr>
          <w:rFonts w:ascii="Times New Roman" w:hAnsi="Times New Roman" w:cs="Times New Roman"/>
          <w:sz w:val="24"/>
          <w:szCs w:val="24"/>
        </w:rPr>
        <w:t xml:space="preserve">good </w:t>
      </w:r>
      <w:r w:rsidRPr="0025174B">
        <w:rPr>
          <w:rFonts w:ascii="Times New Roman" w:hAnsi="Times New Roman" w:cs="Times New Roman"/>
          <w:sz w:val="24"/>
          <w:szCs w:val="24"/>
        </w:rPr>
        <w:t xml:space="preserve">numeracy </w:t>
      </w:r>
      <w:r w:rsidRPr="00916925">
        <w:rPr>
          <w:rFonts w:ascii="Times New Roman" w:hAnsi="Times New Roman" w:cs="Times New Roman"/>
          <w:sz w:val="24"/>
          <w:szCs w:val="24"/>
        </w:rPr>
        <w:t xml:space="preserve">skills </w:t>
      </w:r>
      <w:r w:rsidRPr="0025174B">
        <w:rPr>
          <w:rFonts w:ascii="Times New Roman" w:hAnsi="Times New Roman" w:cs="Times New Roman"/>
          <w:sz w:val="24"/>
          <w:szCs w:val="24"/>
        </w:rPr>
        <w:t>in personal, professional, and societal contexts, drawing on educational theori</w:t>
      </w:r>
      <w:r w:rsidRPr="00916925">
        <w:rPr>
          <w:rFonts w:ascii="Times New Roman" w:hAnsi="Times New Roman" w:cs="Times New Roman"/>
          <w:sz w:val="24"/>
          <w:szCs w:val="24"/>
        </w:rPr>
        <w:t>es and drawing links to social and political context.</w:t>
      </w:r>
    </w:p>
    <w:p w14:paraId="6FB05A3B" w14:textId="2B780D3D" w:rsidR="00E56CAD" w:rsidRDefault="00E56CAD" w:rsidP="00E56CAD">
      <w:pPr>
        <w:spacing w:line="360" w:lineRule="auto"/>
        <w:jc w:val="both"/>
        <w:rPr>
          <w:rFonts w:ascii="Times New Roman" w:hAnsi="Times New Roman" w:cs="Times New Roman"/>
          <w:sz w:val="24"/>
          <w:szCs w:val="24"/>
        </w:rPr>
      </w:pPr>
      <w:r w:rsidRPr="0025174B">
        <w:rPr>
          <w:rFonts w:ascii="Times New Roman" w:hAnsi="Times New Roman" w:cs="Times New Roman"/>
          <w:sz w:val="24"/>
          <w:szCs w:val="24"/>
        </w:rPr>
        <w:t>Jean Piaget’s theory of cognitive development provides a foundation for understanding the importance of numeracy in personal contexts. According to Piaget, children progress through stages of development where they acquire the ability to think logically and solve mathematical problems (Piaget, 1952).</w:t>
      </w:r>
      <w:r>
        <w:rPr>
          <w:rFonts w:ascii="Times New Roman" w:hAnsi="Times New Roman" w:cs="Times New Roman"/>
          <w:sz w:val="24"/>
          <w:szCs w:val="24"/>
        </w:rPr>
        <w:t xml:space="preserve"> Similarly, </w:t>
      </w:r>
      <w:r w:rsidRPr="00FF1EAB">
        <w:rPr>
          <w:rFonts w:ascii="Times New Roman" w:hAnsi="Times New Roman" w:cs="Times New Roman"/>
          <w:sz w:val="24"/>
          <w:szCs w:val="24"/>
        </w:rPr>
        <w:t>Howard Gardner’s theory of multiple intelligences underscores the role of logical-mathematical intelligence in professional success (Gardner, 1983). This intelligence is crucial in modern workplaces, where data analysis, statistical reasoning, problem-solving are increasingly valued.</w:t>
      </w:r>
      <w:r>
        <w:rPr>
          <w:rFonts w:ascii="Times New Roman" w:hAnsi="Times New Roman" w:cs="Times New Roman"/>
        </w:rPr>
        <w:t xml:space="preserve"> </w:t>
      </w:r>
      <w:r w:rsidRPr="0025174B">
        <w:rPr>
          <w:rFonts w:ascii="Times New Roman" w:hAnsi="Times New Roman" w:cs="Times New Roman"/>
          <w:sz w:val="24"/>
          <w:szCs w:val="24"/>
        </w:rPr>
        <w:t xml:space="preserve">For instance, </w:t>
      </w:r>
      <w:r w:rsidRPr="00916925">
        <w:rPr>
          <w:rFonts w:ascii="Times New Roman" w:hAnsi="Times New Roman" w:cs="Times New Roman"/>
          <w:sz w:val="24"/>
          <w:szCs w:val="24"/>
        </w:rPr>
        <w:t>Competence</w:t>
      </w:r>
      <w:r w:rsidRPr="00CB058E">
        <w:rPr>
          <w:rFonts w:ascii="Times New Roman" w:hAnsi="Times New Roman" w:cs="Times New Roman"/>
          <w:sz w:val="24"/>
          <w:szCs w:val="24"/>
        </w:rPr>
        <w:t xml:space="preserve"> in numeracy is directly linked to employment opportunities and economic well-being. Individuals with strong numerical skills are better equipped to manage personal finances, make informed investment decisions, and navigate complex financial products</w:t>
      </w:r>
      <w:r>
        <w:rPr>
          <w:rFonts w:ascii="Times New Roman" w:hAnsi="Times New Roman" w:cs="Times New Roman"/>
          <w:sz w:val="24"/>
          <w:szCs w:val="24"/>
        </w:rPr>
        <w:t xml:space="preserve"> (National Numeracy 2023)</w:t>
      </w:r>
      <w:r w:rsidRPr="00CB058E">
        <w:rPr>
          <w:rFonts w:ascii="Times New Roman" w:hAnsi="Times New Roman" w:cs="Times New Roman"/>
          <w:sz w:val="24"/>
          <w:szCs w:val="24"/>
        </w:rPr>
        <w:t xml:space="preserve">. Conversely, poor numeracy can lead to financial mismanagement, increased debt, and susceptibility to fraud. A report by National Numeracy highlights that individuals with low numeracy skills are more likely to be unemployed or earn lower wages, underscoring the economic disadvantage posed by </w:t>
      </w:r>
      <w:r w:rsidRPr="00916925">
        <w:rPr>
          <w:rFonts w:ascii="Times New Roman" w:hAnsi="Times New Roman" w:cs="Times New Roman"/>
          <w:sz w:val="24"/>
          <w:szCs w:val="24"/>
        </w:rPr>
        <w:t>poor numeracy skills</w:t>
      </w:r>
      <w:r w:rsidRPr="00CB058E">
        <w:rPr>
          <w:rFonts w:ascii="Times New Roman" w:hAnsi="Times New Roman" w:cs="Times New Roman"/>
          <w:sz w:val="24"/>
          <w:szCs w:val="24"/>
        </w:rPr>
        <w:t>. </w:t>
      </w:r>
      <w:r w:rsidRPr="00916925">
        <w:rPr>
          <w:rFonts w:ascii="Times New Roman" w:hAnsi="Times New Roman" w:cs="Times New Roman"/>
          <w:sz w:val="24"/>
          <w:szCs w:val="24"/>
        </w:rPr>
        <w:t>(National Numeracy 2023)</w:t>
      </w:r>
      <w:r>
        <w:rPr>
          <w:rFonts w:ascii="Times New Roman" w:hAnsi="Times New Roman" w:cs="Times New Roman"/>
        </w:rPr>
        <w:t>.</w:t>
      </w:r>
      <w:r w:rsidRPr="00FF1EAB">
        <w:rPr>
          <w:rFonts w:ascii="Times New Roman" w:hAnsi="Times New Roman" w:cs="Times New Roman"/>
          <w:sz w:val="24"/>
          <w:szCs w:val="24"/>
        </w:rPr>
        <w:t xml:space="preserve"> </w:t>
      </w:r>
      <w:r w:rsidR="00F038D5" w:rsidRPr="00937C79">
        <w:rPr>
          <w:rFonts w:ascii="Times New Roman" w:hAnsi="Times New Roman" w:cs="Times New Roman"/>
          <w:sz w:val="24"/>
          <w:szCs w:val="24"/>
        </w:rPr>
        <w:t>Employers consistently rank numeracy as a critical skill for employability, further illustrating its professional importance.</w:t>
      </w:r>
      <w:r w:rsidR="00F038D5">
        <w:rPr>
          <w:rFonts w:ascii="Times New Roman" w:hAnsi="Times New Roman" w:cs="Times New Roman"/>
          <w:sz w:val="24"/>
          <w:szCs w:val="24"/>
        </w:rPr>
        <w:t xml:space="preserve"> </w:t>
      </w:r>
      <w:r w:rsidRPr="00FF1EAB">
        <w:rPr>
          <w:rFonts w:ascii="Times New Roman" w:hAnsi="Times New Roman" w:cs="Times New Roman"/>
          <w:sz w:val="24"/>
          <w:szCs w:val="24"/>
        </w:rPr>
        <w:t>Employees with strong numeracy skills are better equipped to interpret complex data and contribute to decision-making processes. For example, Gardner</w:t>
      </w:r>
      <w:r w:rsidR="00BD2D8A">
        <w:rPr>
          <w:rFonts w:ascii="Times New Roman" w:hAnsi="Times New Roman" w:cs="Times New Roman"/>
          <w:sz w:val="24"/>
          <w:szCs w:val="24"/>
        </w:rPr>
        <w:t xml:space="preserve"> </w:t>
      </w:r>
      <w:r w:rsidRPr="00FF1EAB">
        <w:rPr>
          <w:rFonts w:ascii="Times New Roman" w:hAnsi="Times New Roman" w:cs="Times New Roman"/>
          <w:sz w:val="24"/>
          <w:szCs w:val="24"/>
        </w:rPr>
        <w:t xml:space="preserve">highlights that individuals who excel in logical-mathematical intelligence are more likely to succeed in fields such as </w:t>
      </w:r>
      <w:r w:rsidRPr="00FF1EAB">
        <w:rPr>
          <w:rFonts w:ascii="Times New Roman" w:hAnsi="Times New Roman" w:cs="Times New Roman"/>
          <w:sz w:val="24"/>
          <w:szCs w:val="24"/>
        </w:rPr>
        <w:lastRenderedPageBreak/>
        <w:t>engineering, finance, and technology, which are fundamental to economic growth</w:t>
      </w:r>
      <w:r w:rsidR="00BD2D8A">
        <w:rPr>
          <w:rFonts w:ascii="Times New Roman" w:hAnsi="Times New Roman" w:cs="Times New Roman"/>
          <w:sz w:val="24"/>
          <w:szCs w:val="24"/>
        </w:rPr>
        <w:t xml:space="preserve"> (Gardner 1993).</w:t>
      </w:r>
    </w:p>
    <w:p w14:paraId="5B828776" w14:textId="47C736B2" w:rsidR="00E56CAD" w:rsidRDefault="00E56CAD" w:rsidP="00E56CAD">
      <w:pPr>
        <w:spacing w:line="360" w:lineRule="auto"/>
        <w:jc w:val="both"/>
        <w:rPr>
          <w:rFonts w:ascii="Times New Roman" w:hAnsi="Times New Roman" w:cs="Times New Roman"/>
          <w:sz w:val="24"/>
          <w:szCs w:val="24"/>
        </w:rPr>
      </w:pPr>
      <w:r w:rsidRPr="002A5000">
        <w:rPr>
          <w:rFonts w:ascii="Times New Roman" w:hAnsi="Times New Roman" w:cs="Times New Roman"/>
          <w:sz w:val="24"/>
          <w:szCs w:val="24"/>
        </w:rPr>
        <w:t>In addition</w:t>
      </w:r>
      <w:r w:rsidR="00B906B1">
        <w:rPr>
          <w:rFonts w:ascii="Times New Roman" w:hAnsi="Times New Roman" w:cs="Times New Roman"/>
          <w:sz w:val="24"/>
          <w:szCs w:val="24"/>
        </w:rPr>
        <w:t xml:space="preserve"> to employment opportunities and economic well-being</w:t>
      </w:r>
      <w:r w:rsidRPr="002A5000">
        <w:rPr>
          <w:rFonts w:ascii="Times New Roman" w:hAnsi="Times New Roman" w:cs="Times New Roman"/>
          <w:sz w:val="24"/>
          <w:szCs w:val="24"/>
        </w:rPr>
        <w:t>,</w:t>
      </w:r>
      <w:r w:rsidR="00F038D5">
        <w:rPr>
          <w:rFonts w:ascii="Times New Roman" w:hAnsi="Times New Roman" w:cs="Times New Roman"/>
          <w:sz w:val="24"/>
          <w:szCs w:val="24"/>
        </w:rPr>
        <w:t xml:space="preserve"> another personal context where </w:t>
      </w:r>
      <w:r w:rsidR="00F038D5" w:rsidRPr="002A5000">
        <w:rPr>
          <w:rFonts w:ascii="Times New Roman" w:hAnsi="Times New Roman" w:cs="Times New Roman"/>
          <w:sz w:val="24"/>
          <w:szCs w:val="24"/>
        </w:rPr>
        <w:t>numeracy</w:t>
      </w:r>
      <w:r w:rsidRPr="002A5000">
        <w:rPr>
          <w:rFonts w:ascii="Times New Roman" w:hAnsi="Times New Roman" w:cs="Times New Roman"/>
          <w:sz w:val="24"/>
          <w:szCs w:val="24"/>
        </w:rPr>
        <w:t xml:space="preserve"> is integral </w:t>
      </w:r>
      <w:r w:rsidR="00F038D5">
        <w:rPr>
          <w:rFonts w:ascii="Times New Roman" w:hAnsi="Times New Roman" w:cs="Times New Roman"/>
          <w:sz w:val="24"/>
          <w:szCs w:val="24"/>
        </w:rPr>
        <w:t>is</w:t>
      </w:r>
      <w:r w:rsidRPr="002A5000">
        <w:rPr>
          <w:rFonts w:ascii="Times New Roman" w:hAnsi="Times New Roman" w:cs="Times New Roman"/>
          <w:sz w:val="24"/>
          <w:szCs w:val="24"/>
        </w:rPr>
        <w:t xml:space="preserve"> health literacy.</w:t>
      </w:r>
      <w:r w:rsidR="00F038D5">
        <w:rPr>
          <w:rFonts w:ascii="Times New Roman" w:hAnsi="Times New Roman" w:cs="Times New Roman"/>
          <w:sz w:val="24"/>
          <w:szCs w:val="24"/>
        </w:rPr>
        <w:t xml:space="preserve"> Health literacy is the ability to access, understand, and apply health information to make informed decisions, effectively navigate healthcare systems, and maintain overall well-being.</w:t>
      </w:r>
      <w:r w:rsidRPr="002A5000">
        <w:rPr>
          <w:rFonts w:ascii="Times New Roman" w:hAnsi="Times New Roman" w:cs="Times New Roman"/>
          <w:sz w:val="24"/>
          <w:szCs w:val="24"/>
        </w:rPr>
        <w:t xml:space="preserve"> Lev Vygotsky’s concept of the Zone of Proximal Development (ZPD) suggests that learning occurs most effectively when individuals are guided through complex tasks (Vygotsky, 1978). For example, understanding medical dosages, nutritional information, or health risks requires numerical comprehension, which can be developed with appropriate support and education. Studies have shown that individuals with poor numeracy skills are less likely to comprehend health information, leading to poorer health outcomes</w:t>
      </w:r>
      <w:r>
        <w:rPr>
          <w:rFonts w:ascii="Times New Roman" w:hAnsi="Times New Roman" w:cs="Times New Roman"/>
          <w:sz w:val="24"/>
          <w:szCs w:val="24"/>
        </w:rPr>
        <w:t xml:space="preserve"> (Leslie, Et al 2016). </w:t>
      </w:r>
      <w:r w:rsidRPr="002A5000">
        <w:rPr>
          <w:rFonts w:ascii="Times New Roman" w:hAnsi="Times New Roman" w:cs="Times New Roman"/>
          <w:sz w:val="24"/>
          <w:szCs w:val="24"/>
        </w:rPr>
        <w:t>For instance, a lack of understanding in calculating medication dosages can result in non-adherence to prescribed treatments, adversely affecting patient health</w:t>
      </w:r>
      <w:r>
        <w:rPr>
          <w:rFonts w:ascii="Times New Roman" w:hAnsi="Times New Roman" w:cs="Times New Roman"/>
          <w:sz w:val="24"/>
          <w:szCs w:val="24"/>
        </w:rPr>
        <w:t xml:space="preserve"> (Psych Hub 2020)</w:t>
      </w:r>
      <w:r w:rsidRPr="002A5000">
        <w:rPr>
          <w:rFonts w:ascii="Times New Roman" w:hAnsi="Times New Roman" w:cs="Times New Roman"/>
          <w:sz w:val="24"/>
          <w:szCs w:val="24"/>
        </w:rPr>
        <w:t>. Th</w:t>
      </w:r>
      <w:r>
        <w:rPr>
          <w:rFonts w:ascii="Times New Roman" w:hAnsi="Times New Roman" w:cs="Times New Roman"/>
          <w:sz w:val="24"/>
          <w:szCs w:val="24"/>
        </w:rPr>
        <w:t>erefore</w:t>
      </w:r>
      <w:r w:rsidRPr="002A5000">
        <w:rPr>
          <w:rFonts w:ascii="Times New Roman" w:hAnsi="Times New Roman" w:cs="Times New Roman"/>
          <w:sz w:val="24"/>
          <w:szCs w:val="24"/>
        </w:rPr>
        <w:t>, numeracy not only influences financial decisions but also directly impacts individuals' ability to maintain their health and well-being.</w:t>
      </w:r>
      <w:r>
        <w:rPr>
          <w:rFonts w:ascii="Times New Roman" w:hAnsi="Times New Roman" w:cs="Times New Roman"/>
          <w:sz w:val="24"/>
          <w:szCs w:val="24"/>
        </w:rPr>
        <w:t xml:space="preserve"> </w:t>
      </w:r>
      <w:r w:rsidRPr="00937C79">
        <w:rPr>
          <w:rFonts w:ascii="Times New Roman" w:hAnsi="Times New Roman" w:cs="Times New Roman"/>
          <w:sz w:val="24"/>
          <w:szCs w:val="24"/>
        </w:rPr>
        <w:t xml:space="preserve">Vygotsky’s emphasis on the social context of learning </w:t>
      </w:r>
      <w:r>
        <w:rPr>
          <w:rFonts w:ascii="Times New Roman" w:hAnsi="Times New Roman" w:cs="Times New Roman"/>
          <w:sz w:val="24"/>
          <w:szCs w:val="24"/>
        </w:rPr>
        <w:t xml:space="preserve">also </w:t>
      </w:r>
      <w:r w:rsidRPr="00937C79">
        <w:rPr>
          <w:rFonts w:ascii="Times New Roman" w:hAnsi="Times New Roman" w:cs="Times New Roman"/>
          <w:sz w:val="24"/>
          <w:szCs w:val="24"/>
        </w:rPr>
        <w:t>highlights the collaborative nature of numeracy in the workplace. Tasks such as project budgeting, market analysis, and strategic planning often require team-based approaches, where shared numeracy skills facilitate effective collaboration and innovation.</w:t>
      </w:r>
    </w:p>
    <w:p w14:paraId="3993A7CA" w14:textId="4699A236" w:rsidR="00E56CAD" w:rsidRDefault="007A18FD" w:rsidP="00E56CAD">
      <w:pPr>
        <w:spacing w:line="360" w:lineRule="auto"/>
        <w:jc w:val="both"/>
        <w:rPr>
          <w:rFonts w:ascii="Times New Roman" w:hAnsi="Times New Roman" w:cs="Times New Roman"/>
        </w:rPr>
      </w:pPr>
      <w:r>
        <w:rPr>
          <w:rFonts w:ascii="Times New Roman" w:hAnsi="Times New Roman" w:cs="Times New Roman"/>
          <w:sz w:val="24"/>
          <w:szCs w:val="24"/>
        </w:rPr>
        <w:t>Not only is numeracy integral to health literacy, but also, t</w:t>
      </w:r>
      <w:r w:rsidR="00E56CAD" w:rsidRPr="00BC2139">
        <w:rPr>
          <w:rFonts w:ascii="Times New Roman" w:hAnsi="Times New Roman" w:cs="Times New Roman"/>
          <w:sz w:val="24"/>
          <w:szCs w:val="24"/>
        </w:rPr>
        <w:t>he soc</w:t>
      </w:r>
      <w:r w:rsidR="00E56CAD">
        <w:rPr>
          <w:rFonts w:ascii="Times New Roman" w:hAnsi="Times New Roman" w:cs="Times New Roman"/>
          <w:sz w:val="24"/>
          <w:szCs w:val="24"/>
        </w:rPr>
        <w:t>ial</w:t>
      </w:r>
      <w:r w:rsidR="00E56CAD" w:rsidRPr="00BC2139">
        <w:rPr>
          <w:rFonts w:ascii="Times New Roman" w:hAnsi="Times New Roman" w:cs="Times New Roman"/>
          <w:sz w:val="24"/>
          <w:szCs w:val="24"/>
        </w:rPr>
        <w:t xml:space="preserve"> value of numeracy is deeply rooted in its contributi</w:t>
      </w:r>
      <w:r w:rsidR="00E56CAD">
        <w:rPr>
          <w:rFonts w:ascii="Times New Roman" w:hAnsi="Times New Roman" w:cs="Times New Roman"/>
          <w:sz w:val="24"/>
          <w:szCs w:val="24"/>
        </w:rPr>
        <w:t>on</w:t>
      </w:r>
      <w:r w:rsidR="00E56CAD" w:rsidRPr="00BC2139">
        <w:rPr>
          <w:rFonts w:ascii="Times New Roman" w:hAnsi="Times New Roman" w:cs="Times New Roman"/>
          <w:sz w:val="24"/>
          <w:szCs w:val="24"/>
        </w:rPr>
        <w:t xml:space="preserve"> to informed citizenship. Piaget’s stages of cognitive development </w:t>
      </w:r>
      <w:r w:rsidR="00E56CAD">
        <w:rPr>
          <w:rFonts w:ascii="Times New Roman" w:hAnsi="Times New Roman" w:cs="Times New Roman"/>
          <w:sz w:val="24"/>
          <w:szCs w:val="24"/>
        </w:rPr>
        <w:t xml:space="preserve">(1952) </w:t>
      </w:r>
      <w:r w:rsidR="00E56CAD" w:rsidRPr="00BC2139">
        <w:rPr>
          <w:rFonts w:ascii="Times New Roman" w:hAnsi="Times New Roman" w:cs="Times New Roman"/>
          <w:sz w:val="24"/>
          <w:szCs w:val="24"/>
        </w:rPr>
        <w:t xml:space="preserve">stress the importance of formal operational thinking, where individuals can engage with abstract ideas and complex reasoning. This ability is vital for understanding statistical information, evaluating public policy, and participating in democratic processes. For example, citizens need numeracy skills to critically assess data presented in </w:t>
      </w:r>
      <w:r w:rsidR="00E56CAD">
        <w:rPr>
          <w:rFonts w:ascii="Times New Roman" w:hAnsi="Times New Roman" w:cs="Times New Roman"/>
          <w:sz w:val="24"/>
          <w:szCs w:val="24"/>
        </w:rPr>
        <w:t xml:space="preserve">the </w:t>
      </w:r>
      <w:r w:rsidR="00E56CAD" w:rsidRPr="00BC2139">
        <w:rPr>
          <w:rFonts w:ascii="Times New Roman" w:hAnsi="Times New Roman" w:cs="Times New Roman"/>
          <w:sz w:val="24"/>
          <w:szCs w:val="24"/>
        </w:rPr>
        <w:t>media or government reports, ensur</w:t>
      </w:r>
      <w:r w:rsidR="00E56CAD">
        <w:rPr>
          <w:rFonts w:ascii="Times New Roman" w:hAnsi="Times New Roman" w:cs="Times New Roman"/>
          <w:sz w:val="24"/>
          <w:szCs w:val="24"/>
        </w:rPr>
        <w:t>ing</w:t>
      </w:r>
      <w:r w:rsidR="00E56CAD" w:rsidRPr="00BC2139">
        <w:rPr>
          <w:rFonts w:ascii="Times New Roman" w:hAnsi="Times New Roman" w:cs="Times New Roman"/>
          <w:sz w:val="24"/>
          <w:szCs w:val="24"/>
        </w:rPr>
        <w:t xml:space="preserve"> informed decision-making at </w:t>
      </w:r>
      <w:r w:rsidR="00E56CAD">
        <w:rPr>
          <w:rFonts w:ascii="Times New Roman" w:hAnsi="Times New Roman" w:cs="Times New Roman"/>
          <w:sz w:val="24"/>
          <w:szCs w:val="24"/>
        </w:rPr>
        <w:t xml:space="preserve">a </w:t>
      </w:r>
      <w:r w:rsidR="00E56CAD" w:rsidRPr="00BC2139">
        <w:rPr>
          <w:rFonts w:ascii="Times New Roman" w:hAnsi="Times New Roman" w:cs="Times New Roman"/>
          <w:sz w:val="24"/>
          <w:szCs w:val="24"/>
        </w:rPr>
        <w:t>societal level. In the</w:t>
      </w:r>
      <w:r w:rsidR="00E56CAD">
        <w:rPr>
          <w:rFonts w:ascii="Times New Roman" w:hAnsi="Times New Roman" w:cs="Times New Roman"/>
          <w:sz w:val="24"/>
          <w:szCs w:val="24"/>
        </w:rPr>
        <w:t xml:space="preserve"> </w:t>
      </w:r>
      <w:r w:rsidR="00E56CAD" w:rsidRPr="00BC2139">
        <w:rPr>
          <w:rFonts w:ascii="Times New Roman" w:hAnsi="Times New Roman" w:cs="Times New Roman"/>
          <w:sz w:val="24"/>
          <w:szCs w:val="24"/>
        </w:rPr>
        <w:t>realm</w:t>
      </w:r>
      <w:r w:rsidR="00E56CAD">
        <w:rPr>
          <w:rFonts w:ascii="Times New Roman" w:hAnsi="Times New Roman" w:cs="Times New Roman"/>
          <w:sz w:val="24"/>
          <w:szCs w:val="24"/>
        </w:rPr>
        <w:t xml:space="preserve"> of politics</w:t>
      </w:r>
      <w:r w:rsidR="00E56CAD" w:rsidRPr="00BC2139">
        <w:rPr>
          <w:rFonts w:ascii="Times New Roman" w:hAnsi="Times New Roman" w:cs="Times New Roman"/>
          <w:sz w:val="24"/>
          <w:szCs w:val="24"/>
        </w:rPr>
        <w:t>, numeracy enables citizens to critically evaluate statistical data presented in policy debates, election campaigns, and media reports</w:t>
      </w:r>
      <w:r w:rsidR="00E56CAD">
        <w:rPr>
          <w:rFonts w:ascii="Times New Roman" w:hAnsi="Times New Roman" w:cs="Times New Roman"/>
          <w:sz w:val="24"/>
          <w:szCs w:val="24"/>
        </w:rPr>
        <w:t xml:space="preserve"> (</w:t>
      </w:r>
      <w:r w:rsidR="00E56CAD" w:rsidRPr="000F1DDA">
        <w:rPr>
          <w:rFonts w:ascii="Times New Roman" w:hAnsi="Times New Roman" w:cs="Times New Roman"/>
        </w:rPr>
        <w:t>Engel</w:t>
      </w:r>
      <w:r w:rsidR="00E56CAD">
        <w:rPr>
          <w:rFonts w:ascii="Times New Roman" w:hAnsi="Times New Roman" w:cs="Times New Roman"/>
        </w:rPr>
        <w:t xml:space="preserve"> &amp; </w:t>
      </w:r>
      <w:r w:rsidR="00E56CAD" w:rsidRPr="000F1DDA">
        <w:rPr>
          <w:rFonts w:ascii="Times New Roman" w:hAnsi="Times New Roman" w:cs="Times New Roman"/>
        </w:rPr>
        <w:t>Ridgway</w:t>
      </w:r>
      <w:r w:rsidR="00E56CAD">
        <w:rPr>
          <w:rFonts w:ascii="Times New Roman" w:hAnsi="Times New Roman" w:cs="Times New Roman"/>
        </w:rPr>
        <w:t xml:space="preserve"> </w:t>
      </w:r>
      <w:r w:rsidR="00E56CAD" w:rsidRPr="000F1DDA">
        <w:rPr>
          <w:rFonts w:ascii="Times New Roman" w:hAnsi="Times New Roman" w:cs="Times New Roman"/>
        </w:rPr>
        <w:t>2022)</w:t>
      </w:r>
      <w:r w:rsidR="00E56CAD" w:rsidRPr="00BC2139">
        <w:rPr>
          <w:rFonts w:ascii="Times New Roman" w:hAnsi="Times New Roman" w:cs="Times New Roman"/>
          <w:sz w:val="24"/>
          <w:szCs w:val="24"/>
        </w:rPr>
        <w:t>. A numerate population is in a better position to scrutinize government budgets, understand tax implications, and engage in informed decision-making during elections. The absence of these skills can lead to the misinterpretation of information, making individuals vulnerable to manipulation through misleading statistics</w:t>
      </w:r>
      <w:r w:rsidR="00E56CAD">
        <w:rPr>
          <w:rFonts w:ascii="Times New Roman" w:hAnsi="Times New Roman" w:cs="Times New Roman"/>
          <w:sz w:val="24"/>
          <w:szCs w:val="24"/>
        </w:rPr>
        <w:t>, (</w:t>
      </w:r>
      <w:r w:rsidR="00E56CAD" w:rsidRPr="00BC2139">
        <w:rPr>
          <w:rFonts w:ascii="Times New Roman" w:hAnsi="Times New Roman" w:cs="Times New Roman"/>
          <w:sz w:val="24"/>
          <w:szCs w:val="24"/>
        </w:rPr>
        <w:t>Kirkus Reviews</w:t>
      </w:r>
      <w:r w:rsidR="00E56CAD">
        <w:rPr>
          <w:rFonts w:ascii="Times New Roman" w:hAnsi="Times New Roman" w:cs="Times New Roman"/>
          <w:sz w:val="24"/>
          <w:szCs w:val="24"/>
        </w:rPr>
        <w:t xml:space="preserve"> </w:t>
      </w:r>
      <w:r w:rsidR="00E56CAD" w:rsidRPr="00BC2139">
        <w:rPr>
          <w:rFonts w:ascii="Times New Roman" w:hAnsi="Times New Roman" w:cs="Times New Roman"/>
          <w:sz w:val="24"/>
          <w:szCs w:val="24"/>
        </w:rPr>
        <w:t xml:space="preserve">2024), political numeracy is as important as it is overlooked, emphasizing the need for numerical literacy in sustaining a healthy </w:t>
      </w:r>
      <w:r w:rsidR="00E56CAD" w:rsidRPr="00BC2139">
        <w:rPr>
          <w:rFonts w:ascii="Times New Roman" w:hAnsi="Times New Roman" w:cs="Times New Roman"/>
          <w:sz w:val="24"/>
          <w:szCs w:val="24"/>
        </w:rPr>
        <w:lastRenderedPageBreak/>
        <w:t>democracy. </w:t>
      </w:r>
      <w:r w:rsidR="00E56CAD" w:rsidRPr="000F1DDA">
        <w:rPr>
          <w:rFonts w:ascii="Times New Roman" w:hAnsi="Times New Roman" w:cs="Times New Roman"/>
          <w:sz w:val="24"/>
          <w:szCs w:val="24"/>
        </w:rPr>
        <w:t>Additionally, Gardner’s theory of multiple intelligences</w:t>
      </w:r>
      <w:r w:rsidR="00E56CAD">
        <w:rPr>
          <w:rFonts w:ascii="Times New Roman" w:hAnsi="Times New Roman" w:cs="Times New Roman"/>
          <w:sz w:val="24"/>
          <w:szCs w:val="24"/>
        </w:rPr>
        <w:t xml:space="preserve"> (1983) </w:t>
      </w:r>
      <w:r w:rsidR="00E56CAD" w:rsidRPr="000F1DDA">
        <w:rPr>
          <w:rFonts w:ascii="Times New Roman" w:hAnsi="Times New Roman" w:cs="Times New Roman"/>
          <w:sz w:val="24"/>
          <w:szCs w:val="24"/>
        </w:rPr>
        <w:t xml:space="preserve">highlights </w:t>
      </w:r>
      <w:r w:rsidR="00E56CAD">
        <w:rPr>
          <w:rFonts w:ascii="Times New Roman" w:hAnsi="Times New Roman" w:cs="Times New Roman"/>
          <w:sz w:val="24"/>
          <w:szCs w:val="24"/>
        </w:rPr>
        <w:t xml:space="preserve">how </w:t>
      </w:r>
      <w:r w:rsidR="00E56CAD" w:rsidRPr="000F1DDA">
        <w:rPr>
          <w:rFonts w:ascii="Times New Roman" w:hAnsi="Times New Roman" w:cs="Times New Roman"/>
          <w:sz w:val="24"/>
          <w:szCs w:val="24"/>
        </w:rPr>
        <w:t xml:space="preserve">numeracy </w:t>
      </w:r>
      <w:r w:rsidR="00E56CAD">
        <w:rPr>
          <w:rFonts w:ascii="Times New Roman" w:hAnsi="Times New Roman" w:cs="Times New Roman"/>
          <w:sz w:val="24"/>
          <w:szCs w:val="24"/>
        </w:rPr>
        <w:t xml:space="preserve">relates to </w:t>
      </w:r>
      <w:r w:rsidR="00E56CAD" w:rsidRPr="000F1DDA">
        <w:rPr>
          <w:rFonts w:ascii="Times New Roman" w:hAnsi="Times New Roman" w:cs="Times New Roman"/>
          <w:sz w:val="24"/>
          <w:szCs w:val="24"/>
        </w:rPr>
        <w:t>intelligences, such as linguistic and interpersonal intelligences, which are critical for societal cohesion</w:t>
      </w:r>
      <w:r w:rsidR="00E56CAD">
        <w:rPr>
          <w:rFonts w:ascii="Times New Roman" w:hAnsi="Times New Roman" w:cs="Times New Roman"/>
          <w:sz w:val="24"/>
          <w:szCs w:val="24"/>
        </w:rPr>
        <w:t xml:space="preserve"> (</w:t>
      </w:r>
      <w:r w:rsidR="00E56CAD" w:rsidRPr="00705072">
        <w:rPr>
          <w:rFonts w:ascii="Times New Roman" w:hAnsi="Times New Roman" w:cs="Times New Roman"/>
        </w:rPr>
        <w:t>Kornhaber, 2020)</w:t>
      </w:r>
      <w:r w:rsidR="00E56CAD" w:rsidRPr="000F1DDA">
        <w:rPr>
          <w:rFonts w:ascii="Times New Roman" w:hAnsi="Times New Roman" w:cs="Times New Roman"/>
          <w:sz w:val="24"/>
          <w:szCs w:val="24"/>
        </w:rPr>
        <w:t>. A population proficient in numeracy can effectively engage with global challenges such as climate change, economic inequality, and technological innovation, contributing to sustainable development</w:t>
      </w:r>
      <w:r w:rsidR="00E56CAD" w:rsidRPr="0025174B">
        <w:rPr>
          <w:rFonts w:ascii="Times New Roman" w:hAnsi="Times New Roman" w:cs="Times New Roman"/>
        </w:rPr>
        <w:t>.</w:t>
      </w:r>
      <w:r w:rsidR="00E56CAD" w:rsidRPr="00705072">
        <w:rPr>
          <w:rFonts w:ascii="Times New Roman" w:hAnsi="Times New Roman" w:cs="Times New Roman"/>
        </w:rPr>
        <w:t xml:space="preserve"> </w:t>
      </w:r>
      <w:r w:rsidR="00E56CAD">
        <w:rPr>
          <w:rFonts w:ascii="Times New Roman" w:hAnsi="Times New Roman" w:cs="Times New Roman"/>
        </w:rPr>
        <w:t>(</w:t>
      </w:r>
      <w:r w:rsidR="00E56CAD" w:rsidRPr="00705072">
        <w:rPr>
          <w:rFonts w:ascii="Times New Roman" w:hAnsi="Times New Roman" w:cs="Times New Roman"/>
        </w:rPr>
        <w:t>Kahan, et al. 2012)</w:t>
      </w:r>
    </w:p>
    <w:p w14:paraId="7098B5C4" w14:textId="77777777" w:rsidR="00E56CAD" w:rsidRPr="00303838" w:rsidRDefault="00E56CAD" w:rsidP="00E56C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public initiatives </w:t>
      </w:r>
      <w:r w:rsidRPr="00303838">
        <w:rPr>
          <w:rFonts w:ascii="Times New Roman" w:hAnsi="Times New Roman" w:cs="Times New Roman"/>
          <w:sz w:val="24"/>
          <w:szCs w:val="24"/>
        </w:rPr>
        <w:t>have been established to promote numeracy and enhance mathematical skills among individuals of all ages in the United Kingdom. One prominent example is National Numeracy, an independent charity founded in 2012 that empowers people to feel confident with everyday maths through resources like the National Numeracy Challenge, a free online tool for self-paced learning. Similarly, National Numeracy Day, launched in 2018, is an annual campaign that raises awareness of the importance of numbers in everyday life and encourages skill improvement through various events and resources. Another notable initiative is the Multiply Programme</w:t>
      </w:r>
      <w:r>
        <w:rPr>
          <w:rFonts w:ascii="Times New Roman" w:hAnsi="Times New Roman" w:cs="Times New Roman"/>
          <w:sz w:val="24"/>
          <w:szCs w:val="24"/>
        </w:rPr>
        <w:t xml:space="preserve"> (2022)</w:t>
      </w:r>
      <w:r w:rsidRPr="00303838">
        <w:rPr>
          <w:rFonts w:ascii="Times New Roman" w:hAnsi="Times New Roman" w:cs="Times New Roman"/>
          <w:sz w:val="24"/>
          <w:szCs w:val="24"/>
        </w:rPr>
        <w:t>, introduced by the UK government to provide free adult numeracy training, boost confidence with numbers, and enhance career opportunities. This programme funds local authorities to deliver tailored numeracy programmes within their communities. Lastly, the Millennium Mathematics Project (MMP) offers resources and outreach activities for ages 3 to 19 and the public, fostering the development of mathematical understanding and skills</w:t>
      </w:r>
      <w:r>
        <w:rPr>
          <w:rFonts w:ascii="Times New Roman" w:hAnsi="Times New Roman" w:cs="Times New Roman"/>
          <w:sz w:val="24"/>
          <w:szCs w:val="24"/>
        </w:rPr>
        <w:t xml:space="preserve"> (</w:t>
      </w:r>
      <w:r w:rsidRPr="00EC47D1">
        <w:rPr>
          <w:rFonts w:ascii="Times New Roman" w:hAnsi="Times New Roman" w:cs="Times New Roman"/>
          <w:sz w:val="24"/>
          <w:szCs w:val="24"/>
        </w:rPr>
        <w:t>University of Cambridge</w:t>
      </w:r>
      <w:r>
        <w:rPr>
          <w:rFonts w:ascii="Times New Roman" w:hAnsi="Times New Roman" w:cs="Times New Roman"/>
          <w:sz w:val="24"/>
          <w:szCs w:val="24"/>
        </w:rPr>
        <w:t xml:space="preserve"> 2023)</w:t>
      </w:r>
      <w:r w:rsidRPr="00303838">
        <w:rPr>
          <w:rFonts w:ascii="Times New Roman" w:hAnsi="Times New Roman" w:cs="Times New Roman"/>
          <w:sz w:val="24"/>
          <w:szCs w:val="24"/>
        </w:rPr>
        <w:t>. Collectively, these initiatives aim to address the UK's numeracy challenges and equip individuals with essential skills for personal and professional success.</w:t>
      </w:r>
    </w:p>
    <w:p w14:paraId="2D8201B0" w14:textId="77777777" w:rsidR="00E56CAD" w:rsidRPr="00705072" w:rsidRDefault="00E56CAD" w:rsidP="00E56C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has </w:t>
      </w:r>
      <w:r w:rsidRPr="00916925">
        <w:rPr>
          <w:rFonts w:ascii="Times New Roman" w:hAnsi="Times New Roman" w:cs="Times New Roman"/>
          <w:sz w:val="24"/>
          <w:szCs w:val="24"/>
        </w:rPr>
        <w:t>examined</w:t>
      </w:r>
      <w:r w:rsidRPr="0025174B">
        <w:rPr>
          <w:rFonts w:ascii="Times New Roman" w:hAnsi="Times New Roman" w:cs="Times New Roman"/>
          <w:sz w:val="24"/>
          <w:szCs w:val="24"/>
        </w:rPr>
        <w:t xml:space="preserve"> the importance of </w:t>
      </w:r>
      <w:r w:rsidRPr="00916925">
        <w:rPr>
          <w:rFonts w:ascii="Times New Roman" w:hAnsi="Times New Roman" w:cs="Times New Roman"/>
          <w:sz w:val="24"/>
          <w:szCs w:val="24"/>
        </w:rPr>
        <w:t xml:space="preserve">good </w:t>
      </w:r>
      <w:r w:rsidRPr="0025174B">
        <w:rPr>
          <w:rFonts w:ascii="Times New Roman" w:hAnsi="Times New Roman" w:cs="Times New Roman"/>
          <w:sz w:val="24"/>
          <w:szCs w:val="24"/>
        </w:rPr>
        <w:t xml:space="preserve">numeracy </w:t>
      </w:r>
      <w:r w:rsidRPr="00916925">
        <w:rPr>
          <w:rFonts w:ascii="Times New Roman" w:hAnsi="Times New Roman" w:cs="Times New Roman"/>
          <w:sz w:val="24"/>
          <w:szCs w:val="24"/>
        </w:rPr>
        <w:t xml:space="preserve">skills </w:t>
      </w:r>
      <w:r w:rsidRPr="0025174B">
        <w:rPr>
          <w:rFonts w:ascii="Times New Roman" w:hAnsi="Times New Roman" w:cs="Times New Roman"/>
          <w:sz w:val="24"/>
          <w:szCs w:val="24"/>
        </w:rPr>
        <w:t>in personal, professional, and societal contexts, drawing on educational theori</w:t>
      </w:r>
      <w:r w:rsidRPr="00916925">
        <w:rPr>
          <w:rFonts w:ascii="Times New Roman" w:hAnsi="Times New Roman" w:cs="Times New Roman"/>
          <w:sz w:val="24"/>
          <w:szCs w:val="24"/>
        </w:rPr>
        <w:t>es and drawing links to social and political context.</w:t>
      </w:r>
      <w:r>
        <w:rPr>
          <w:rFonts w:ascii="Times New Roman" w:hAnsi="Times New Roman" w:cs="Times New Roman"/>
          <w:sz w:val="24"/>
          <w:szCs w:val="24"/>
        </w:rPr>
        <w:t xml:space="preserve"> </w:t>
      </w:r>
      <w:r w:rsidRPr="00705072">
        <w:rPr>
          <w:rFonts w:ascii="Times New Roman" w:hAnsi="Times New Roman" w:cs="Times New Roman"/>
          <w:sz w:val="24"/>
          <w:szCs w:val="24"/>
        </w:rPr>
        <w:t>In conclusion, numeracy is a foundational skill essential for personal empowerment, professional advancement, and societal progress. Educational theorists such as Piaget, Vygotsky, and Gardner provide valuable insights into the cognitive and social dimensions of numeracy, emphasizing its role in holistic development. By fostering numeracy through targeted education and public initiatives, societies can equip individuals with the skills needed to navigate an increasingly complex and data-driven world. As we face the challenges of the 21st century, the promotion of numeracy is not merely a practical necessity but a cornerstone of sustainable development and informed citizenship.</w:t>
      </w:r>
    </w:p>
    <w:p w14:paraId="4A5C1217" w14:textId="292831B5" w:rsidR="001D0BCC" w:rsidRPr="001D0BCC" w:rsidRDefault="001D0BCC" w:rsidP="00E56CAD">
      <w:pPr>
        <w:ind w:left="720"/>
      </w:pPr>
    </w:p>
    <w:p w14:paraId="01FD8602" w14:textId="20EFCA3B" w:rsidR="002E2268" w:rsidRDefault="002E2268">
      <w:r>
        <w:br w:type="page"/>
      </w:r>
    </w:p>
    <w:p w14:paraId="09817551" w14:textId="77777777" w:rsidR="00E56CAD" w:rsidRPr="0025174B" w:rsidRDefault="00E56CAD" w:rsidP="00E56CAD">
      <w:pPr>
        <w:spacing w:line="360" w:lineRule="auto"/>
        <w:jc w:val="both"/>
        <w:rPr>
          <w:rFonts w:ascii="Times New Roman" w:hAnsi="Times New Roman" w:cs="Times New Roman"/>
        </w:rPr>
      </w:pPr>
      <w:r w:rsidRPr="0025174B">
        <w:rPr>
          <w:rFonts w:ascii="Times New Roman" w:hAnsi="Times New Roman" w:cs="Times New Roman"/>
        </w:rPr>
        <w:lastRenderedPageBreak/>
        <w:t>References</w:t>
      </w:r>
    </w:p>
    <w:p w14:paraId="5964CD11" w14:textId="77777777" w:rsidR="00016111" w:rsidRDefault="00016111" w:rsidP="00E56CAD">
      <w:pPr>
        <w:spacing w:line="360" w:lineRule="auto"/>
        <w:jc w:val="both"/>
        <w:rPr>
          <w:rFonts w:ascii="Times New Roman" w:hAnsi="Times New Roman" w:cs="Times New Roman"/>
        </w:rPr>
      </w:pPr>
      <w:r w:rsidRPr="003244BC">
        <w:rPr>
          <w:rFonts w:ascii="Times New Roman" w:hAnsi="Times New Roman" w:cs="Times New Roman"/>
        </w:rPr>
        <w:t>Betts, A. L. &amp; Thai, K. (Eds.). (2022). </w:t>
      </w:r>
      <w:r w:rsidRPr="003244BC">
        <w:rPr>
          <w:rFonts w:ascii="Times New Roman" w:hAnsi="Times New Roman" w:cs="Times New Roman"/>
          <w:i/>
          <w:iCs/>
        </w:rPr>
        <w:t>Handbook of Research on Innovative Approaches to Early Childhood Development and School Readiness</w:t>
      </w:r>
      <w:r w:rsidRPr="003244BC">
        <w:rPr>
          <w:rFonts w:ascii="Times New Roman" w:hAnsi="Times New Roman" w:cs="Times New Roman"/>
        </w:rPr>
        <w:t xml:space="preserve">. IGI Global. </w:t>
      </w:r>
      <w:hyperlink r:id="rId10" w:history="1">
        <w:r w:rsidRPr="00EA4C44">
          <w:rPr>
            <w:rStyle w:val="Hyperlink"/>
            <w:rFonts w:ascii="Times New Roman" w:hAnsi="Times New Roman" w:cs="Times New Roman"/>
          </w:rPr>
          <w:t>https://doi-org.ezproxy.uwtsd.ac.uk/10.4018/978-1-7998-8649-5</w:t>
        </w:r>
      </w:hyperlink>
    </w:p>
    <w:p w14:paraId="0B1BEC21" w14:textId="77777777" w:rsidR="00016111" w:rsidRDefault="00016111" w:rsidP="00E56CAD">
      <w:pPr>
        <w:spacing w:line="360" w:lineRule="auto"/>
        <w:jc w:val="both"/>
        <w:rPr>
          <w:rFonts w:ascii="Times New Roman" w:hAnsi="Times New Roman" w:cs="Times New Roman"/>
        </w:rPr>
      </w:pPr>
      <w:r>
        <w:rPr>
          <w:rFonts w:ascii="Times New Roman" w:hAnsi="Times New Roman" w:cs="Times New Roman"/>
        </w:rPr>
        <w:t xml:space="preserve">Cambridge Dictionary (2025) Definition of Numeracy, Available at: </w:t>
      </w:r>
      <w:hyperlink r:id="rId11" w:history="1">
        <w:r w:rsidRPr="00F46984">
          <w:rPr>
            <w:rStyle w:val="Hyperlink"/>
            <w:rFonts w:ascii="Times New Roman" w:hAnsi="Times New Roman" w:cs="Times New Roman"/>
          </w:rPr>
          <w:t>NUMERACY | English meaning - Cambridge Dictionary</w:t>
        </w:r>
      </w:hyperlink>
      <w:r>
        <w:rPr>
          <w:rFonts w:ascii="Times New Roman" w:hAnsi="Times New Roman" w:cs="Times New Roman"/>
        </w:rPr>
        <w:t xml:space="preserve"> (Accessed 14</w:t>
      </w:r>
      <w:r w:rsidRPr="00F46984">
        <w:rPr>
          <w:rFonts w:ascii="Times New Roman" w:hAnsi="Times New Roman" w:cs="Times New Roman"/>
          <w:vertAlign w:val="superscript"/>
        </w:rPr>
        <w:t>th</w:t>
      </w:r>
      <w:r>
        <w:rPr>
          <w:rFonts w:ascii="Times New Roman" w:hAnsi="Times New Roman" w:cs="Times New Roman"/>
        </w:rPr>
        <w:t xml:space="preserve"> January 2025)</w:t>
      </w:r>
    </w:p>
    <w:p w14:paraId="493E777E" w14:textId="77777777" w:rsidR="00016111" w:rsidRDefault="00016111" w:rsidP="00E56CAD">
      <w:pPr>
        <w:spacing w:line="360" w:lineRule="auto"/>
        <w:jc w:val="both"/>
        <w:rPr>
          <w:rFonts w:ascii="Times New Roman" w:hAnsi="Times New Roman" w:cs="Times New Roman"/>
        </w:rPr>
      </w:pPr>
      <w:r w:rsidRPr="000F1DDA">
        <w:rPr>
          <w:rFonts w:ascii="Times New Roman" w:hAnsi="Times New Roman" w:cs="Times New Roman"/>
        </w:rPr>
        <w:t>Engel, J., Ridgway, J. (2022). Back to the Future: Rethinking the Purpose and Nature of Statistics Education. In: Ridgway, J. (eds) Statistics for Empowerment and Social Engagement</w:t>
      </w:r>
      <w:r>
        <w:rPr>
          <w:rFonts w:ascii="Times New Roman" w:hAnsi="Times New Roman" w:cs="Times New Roman"/>
        </w:rPr>
        <w:t>, Available at:</w:t>
      </w:r>
      <w:r w:rsidRPr="000F1DDA">
        <w:t xml:space="preserve"> </w:t>
      </w:r>
      <w:hyperlink r:id="rId12" w:history="1">
        <w:r w:rsidRPr="000F1DDA">
          <w:rPr>
            <w:rStyle w:val="Hyperlink"/>
            <w:rFonts w:ascii="Times New Roman" w:hAnsi="Times New Roman" w:cs="Times New Roman"/>
          </w:rPr>
          <w:t>Back to the Future: Rethinking the Purpose and Nature of Statistics Education | SpringerLink</w:t>
        </w:r>
      </w:hyperlink>
      <w:r>
        <w:rPr>
          <w:rFonts w:ascii="Times New Roman" w:hAnsi="Times New Roman" w:cs="Times New Roman"/>
        </w:rPr>
        <w:t xml:space="preserve"> (Accessed 20</w:t>
      </w:r>
      <w:r w:rsidRPr="000F1DDA">
        <w:rPr>
          <w:rFonts w:ascii="Times New Roman" w:hAnsi="Times New Roman" w:cs="Times New Roman"/>
          <w:vertAlign w:val="superscript"/>
        </w:rPr>
        <w:t>th</w:t>
      </w:r>
      <w:r>
        <w:rPr>
          <w:rFonts w:ascii="Times New Roman" w:hAnsi="Times New Roman" w:cs="Times New Roman"/>
        </w:rPr>
        <w:t xml:space="preserve"> January 2025)</w:t>
      </w:r>
    </w:p>
    <w:p w14:paraId="7C7AFDE1" w14:textId="77777777" w:rsidR="00016111" w:rsidRDefault="00016111" w:rsidP="00E56CAD">
      <w:pPr>
        <w:spacing w:line="360" w:lineRule="auto"/>
        <w:jc w:val="both"/>
        <w:rPr>
          <w:rFonts w:ascii="Times New Roman" w:hAnsi="Times New Roman" w:cs="Times New Roman"/>
        </w:rPr>
      </w:pPr>
      <w:r w:rsidRPr="000F1DDA">
        <w:rPr>
          <w:rFonts w:ascii="Times New Roman" w:hAnsi="Times New Roman" w:cs="Times New Roman"/>
        </w:rPr>
        <w:t>Gardner, H. (1993). Multiple intelligences: The theory in practice. New York: Basic Books.</w:t>
      </w:r>
    </w:p>
    <w:p w14:paraId="156A8A2A" w14:textId="77777777" w:rsidR="00016111" w:rsidRDefault="00016111" w:rsidP="00E56CAD">
      <w:pPr>
        <w:spacing w:line="360" w:lineRule="auto"/>
        <w:jc w:val="both"/>
        <w:rPr>
          <w:rFonts w:ascii="Times New Roman" w:hAnsi="Times New Roman" w:cs="Times New Roman"/>
        </w:rPr>
      </w:pPr>
      <w:r w:rsidRPr="00705072">
        <w:rPr>
          <w:rFonts w:ascii="Times New Roman" w:hAnsi="Times New Roman" w:cs="Times New Roman"/>
        </w:rPr>
        <w:t>Kahan, D., Peters, E., Wittlin, M. </w:t>
      </w:r>
      <w:r w:rsidRPr="00705072">
        <w:rPr>
          <w:rFonts w:ascii="Times New Roman" w:hAnsi="Times New Roman" w:cs="Times New Roman"/>
          <w:i/>
          <w:iCs/>
        </w:rPr>
        <w:t>et al.</w:t>
      </w:r>
      <w:r w:rsidRPr="00705072">
        <w:rPr>
          <w:rFonts w:ascii="Times New Roman" w:hAnsi="Times New Roman" w:cs="Times New Roman"/>
        </w:rPr>
        <w:t> </w:t>
      </w:r>
      <w:r>
        <w:rPr>
          <w:rFonts w:ascii="Times New Roman" w:hAnsi="Times New Roman" w:cs="Times New Roman"/>
        </w:rPr>
        <w:t>(2012</w:t>
      </w:r>
      <w:r w:rsidRPr="00705072">
        <w:rPr>
          <w:rFonts w:ascii="Times New Roman" w:hAnsi="Times New Roman" w:cs="Times New Roman"/>
          <w:i/>
          <w:iCs/>
        </w:rPr>
        <w:t>) The polarizing impact of science literacy and numeracy on perceived climate change risks</w:t>
      </w:r>
      <w:r w:rsidRPr="00705072">
        <w:rPr>
          <w:rFonts w:ascii="Times New Roman" w:hAnsi="Times New Roman" w:cs="Times New Roman"/>
        </w:rPr>
        <w:t>. </w:t>
      </w:r>
      <w:r>
        <w:rPr>
          <w:rFonts w:ascii="Times New Roman" w:hAnsi="Times New Roman" w:cs="Times New Roman"/>
        </w:rPr>
        <w:t xml:space="preserve">Available at: </w:t>
      </w:r>
      <w:hyperlink r:id="rId13" w:history="1">
        <w:r w:rsidRPr="00705072">
          <w:rPr>
            <w:rStyle w:val="Hyperlink"/>
            <w:rFonts w:ascii="Times New Roman" w:hAnsi="Times New Roman" w:cs="Times New Roman"/>
          </w:rPr>
          <w:t>The polarizing impact of science literacy and numeracy on perceived climate change risks | Nature Climate Change</w:t>
        </w:r>
      </w:hyperlink>
      <w:r>
        <w:rPr>
          <w:rFonts w:ascii="Times New Roman" w:hAnsi="Times New Roman" w:cs="Times New Roman"/>
        </w:rPr>
        <w:t xml:space="preserve"> (Accessed 20</w:t>
      </w:r>
      <w:r w:rsidRPr="00705072">
        <w:rPr>
          <w:rFonts w:ascii="Times New Roman" w:hAnsi="Times New Roman" w:cs="Times New Roman"/>
          <w:vertAlign w:val="superscript"/>
        </w:rPr>
        <w:t>th</w:t>
      </w:r>
      <w:r>
        <w:rPr>
          <w:rFonts w:ascii="Times New Roman" w:hAnsi="Times New Roman" w:cs="Times New Roman"/>
        </w:rPr>
        <w:t xml:space="preserve"> January 2025)</w:t>
      </w:r>
    </w:p>
    <w:p w14:paraId="3343369D" w14:textId="77777777" w:rsidR="00016111" w:rsidRPr="00225EAE" w:rsidRDefault="00016111" w:rsidP="00E56CAD">
      <w:pPr>
        <w:spacing w:line="360" w:lineRule="auto"/>
        <w:jc w:val="both"/>
        <w:rPr>
          <w:rFonts w:ascii="Times New Roman" w:hAnsi="Times New Roman" w:cs="Times New Roman"/>
        </w:rPr>
      </w:pPr>
      <w:r>
        <w:rPr>
          <w:rFonts w:ascii="Times New Roman" w:hAnsi="Times New Roman" w:cs="Times New Roman"/>
        </w:rPr>
        <w:t xml:space="preserve">Kirkus Reviews (2024), Making Democracy Count: How Mathematics Improves Voting, Electoral Maps, and Representation. </w:t>
      </w:r>
      <w:r w:rsidRPr="00930F9E">
        <w:rPr>
          <w:rFonts w:ascii="Times New Roman" w:hAnsi="Times New Roman" w:cs="Times New Roman"/>
        </w:rPr>
        <w:t>vol. XCII, no. 21.</w:t>
      </w:r>
    </w:p>
    <w:p w14:paraId="3492F835" w14:textId="77777777" w:rsidR="00016111" w:rsidRDefault="00016111" w:rsidP="00E56CAD">
      <w:pPr>
        <w:spacing w:line="360" w:lineRule="auto"/>
        <w:jc w:val="both"/>
        <w:rPr>
          <w:rFonts w:ascii="Times New Roman" w:hAnsi="Times New Roman" w:cs="Times New Roman"/>
        </w:rPr>
      </w:pPr>
      <w:r w:rsidRPr="00705072">
        <w:rPr>
          <w:rFonts w:ascii="Times New Roman" w:hAnsi="Times New Roman" w:cs="Times New Roman"/>
        </w:rPr>
        <w:t>Kornhaber, M.L. (2020) ‘The Theory of Multiple Intelligences’, in R.J. Sternberg (ed.) </w:t>
      </w:r>
      <w:r w:rsidRPr="00705072">
        <w:rPr>
          <w:rFonts w:ascii="Times New Roman" w:hAnsi="Times New Roman" w:cs="Times New Roman"/>
          <w:i/>
          <w:iCs/>
        </w:rPr>
        <w:t>The Cambridge Handbook of Intelligence</w:t>
      </w:r>
      <w:r w:rsidRPr="00705072">
        <w:rPr>
          <w:rFonts w:ascii="Times New Roman" w:hAnsi="Times New Roman" w:cs="Times New Roman"/>
        </w:rPr>
        <w:t>. Cambridge: Cambridge University Press (Cambridge Handbooks in Psychology), pp. 659–678.</w:t>
      </w:r>
    </w:p>
    <w:p w14:paraId="0548D490" w14:textId="77777777" w:rsidR="00016111" w:rsidRDefault="00016111" w:rsidP="00E56CAD">
      <w:pPr>
        <w:spacing w:line="360" w:lineRule="auto"/>
        <w:jc w:val="both"/>
        <w:rPr>
          <w:rFonts w:ascii="Times New Roman" w:hAnsi="Times New Roman" w:cs="Times New Roman"/>
        </w:rPr>
      </w:pPr>
      <w:r w:rsidRPr="00AC2113">
        <w:rPr>
          <w:rFonts w:ascii="Times New Roman" w:hAnsi="Times New Roman" w:cs="Times New Roman"/>
        </w:rPr>
        <w:t>Leslie J. Malloy-Weir, Lisa Schwartz, Jennifer Yost, K. Ann McKibbon,</w:t>
      </w:r>
      <w:r>
        <w:rPr>
          <w:rFonts w:ascii="Times New Roman" w:hAnsi="Times New Roman" w:cs="Times New Roman"/>
        </w:rPr>
        <w:t xml:space="preserve"> (2016) </w:t>
      </w:r>
      <w:r w:rsidRPr="00AC2113">
        <w:rPr>
          <w:rFonts w:ascii="Times New Roman" w:hAnsi="Times New Roman" w:cs="Times New Roman"/>
        </w:rPr>
        <w:t>Empirical relationships between numeracy and treatment decision making: A scoping review of the literature,</w:t>
      </w:r>
      <w:r>
        <w:rPr>
          <w:rFonts w:ascii="Times New Roman" w:hAnsi="Times New Roman" w:cs="Times New Roman"/>
        </w:rPr>
        <w:t xml:space="preserve"> </w:t>
      </w:r>
      <w:r w:rsidRPr="00AC2113">
        <w:rPr>
          <w:rFonts w:ascii="Times New Roman" w:hAnsi="Times New Roman" w:cs="Times New Roman"/>
        </w:rPr>
        <w:t>Patient Education and Counselling,</w:t>
      </w:r>
      <w:r>
        <w:rPr>
          <w:rFonts w:ascii="Times New Roman" w:hAnsi="Times New Roman" w:cs="Times New Roman"/>
        </w:rPr>
        <w:t xml:space="preserve"> Available at: </w:t>
      </w:r>
      <w:hyperlink r:id="rId14" w:history="1">
        <w:r w:rsidRPr="00AC2113">
          <w:rPr>
            <w:rStyle w:val="Hyperlink"/>
            <w:rFonts w:ascii="Times New Roman" w:hAnsi="Times New Roman" w:cs="Times New Roman"/>
          </w:rPr>
          <w:t>Empirical relationships between numeracy and treatment decision making: A scoping review of the literature - ScienceDirect</w:t>
        </w:r>
      </w:hyperlink>
      <w:r>
        <w:rPr>
          <w:rFonts w:ascii="Times New Roman" w:hAnsi="Times New Roman" w:cs="Times New Roman"/>
        </w:rPr>
        <w:t xml:space="preserve"> (Accessed 17</w:t>
      </w:r>
      <w:r w:rsidRPr="00AC2113">
        <w:rPr>
          <w:rFonts w:ascii="Times New Roman" w:hAnsi="Times New Roman" w:cs="Times New Roman"/>
          <w:vertAlign w:val="superscript"/>
        </w:rPr>
        <w:t>th</w:t>
      </w:r>
      <w:r>
        <w:rPr>
          <w:rFonts w:ascii="Times New Roman" w:hAnsi="Times New Roman" w:cs="Times New Roman"/>
        </w:rPr>
        <w:t xml:space="preserve"> January 2024)</w:t>
      </w:r>
    </w:p>
    <w:p w14:paraId="560F3A7B" w14:textId="77777777" w:rsidR="00016111" w:rsidRDefault="00016111" w:rsidP="00E56CAD">
      <w:pPr>
        <w:spacing w:line="360" w:lineRule="auto"/>
        <w:jc w:val="both"/>
        <w:rPr>
          <w:rFonts w:ascii="Times New Roman" w:hAnsi="Times New Roman" w:cs="Times New Roman"/>
        </w:rPr>
      </w:pPr>
      <w:r>
        <w:rPr>
          <w:rFonts w:ascii="Times New Roman" w:hAnsi="Times New Roman" w:cs="Times New Roman"/>
        </w:rPr>
        <w:t xml:space="preserve">Multiply Programme (2022) </w:t>
      </w:r>
      <w:r w:rsidRPr="0035693D">
        <w:rPr>
          <w:rFonts w:ascii="Times New Roman" w:hAnsi="Times New Roman" w:cs="Times New Roman"/>
          <w:i/>
          <w:iCs/>
        </w:rPr>
        <w:t>Multiplying maths skills for adults</w:t>
      </w:r>
      <w:r>
        <w:rPr>
          <w:rFonts w:ascii="Times New Roman" w:hAnsi="Times New Roman" w:cs="Times New Roman"/>
          <w:i/>
          <w:iCs/>
        </w:rPr>
        <w:t xml:space="preserve"> </w:t>
      </w:r>
      <w:r w:rsidRPr="0035693D">
        <w:rPr>
          <w:rFonts w:ascii="Times New Roman" w:hAnsi="Times New Roman" w:cs="Times New Roman"/>
        </w:rPr>
        <w:t>Available at:</w:t>
      </w:r>
      <w:r w:rsidRPr="0035693D">
        <w:t xml:space="preserve"> </w:t>
      </w:r>
      <w:hyperlink r:id="rId15" w:history="1">
        <w:r w:rsidRPr="0035693D">
          <w:rPr>
            <w:rStyle w:val="Hyperlink"/>
            <w:rFonts w:ascii="Times New Roman" w:hAnsi="Times New Roman" w:cs="Times New Roman"/>
          </w:rPr>
          <w:t>Multiplying maths skills for adults - GOV.UK</w:t>
        </w:r>
      </w:hyperlink>
      <w:r>
        <w:rPr>
          <w:rFonts w:ascii="Times New Roman" w:hAnsi="Times New Roman" w:cs="Times New Roman"/>
        </w:rPr>
        <w:t xml:space="preserve"> (Accessed 20</w:t>
      </w:r>
      <w:r w:rsidRPr="0035693D">
        <w:rPr>
          <w:rFonts w:ascii="Times New Roman" w:hAnsi="Times New Roman" w:cs="Times New Roman"/>
          <w:vertAlign w:val="superscript"/>
        </w:rPr>
        <w:t>th</w:t>
      </w:r>
      <w:r>
        <w:rPr>
          <w:rFonts w:ascii="Times New Roman" w:hAnsi="Times New Roman" w:cs="Times New Roman"/>
        </w:rPr>
        <w:t xml:space="preserve"> January 2025)</w:t>
      </w:r>
    </w:p>
    <w:p w14:paraId="2F86C721" w14:textId="6F07AB1B" w:rsidR="000A5B73" w:rsidRPr="0035693D" w:rsidRDefault="000A5B73" w:rsidP="00E56CAD">
      <w:pPr>
        <w:spacing w:line="360" w:lineRule="auto"/>
        <w:jc w:val="both"/>
        <w:rPr>
          <w:rFonts w:ascii="Times New Roman" w:hAnsi="Times New Roman" w:cs="Times New Roman"/>
          <w:b/>
          <w:bCs/>
        </w:rPr>
      </w:pPr>
      <w:r>
        <w:rPr>
          <w:rFonts w:ascii="Times New Roman" w:hAnsi="Times New Roman" w:cs="Times New Roman"/>
        </w:rPr>
        <w:t>National Numeracy (2022), A Decade of Impact 2012-2022, Available at:</w:t>
      </w:r>
      <w:r w:rsidRPr="000A5B73">
        <w:t xml:space="preserve"> </w:t>
      </w:r>
      <w:hyperlink r:id="rId16" w:history="1">
        <w:r w:rsidRPr="000A5B73">
          <w:rPr>
            <w:rStyle w:val="Hyperlink"/>
            <w:rFonts w:ascii="Times New Roman" w:hAnsi="Times New Roman" w:cs="Times New Roman"/>
          </w:rPr>
          <w:t>National Numeracy A decade of impact</w:t>
        </w:r>
      </w:hyperlink>
      <w:r>
        <w:rPr>
          <w:rFonts w:ascii="Times New Roman" w:hAnsi="Times New Roman" w:cs="Times New Roman"/>
        </w:rPr>
        <w:t xml:space="preserve"> (Accessed 31</w:t>
      </w:r>
      <w:r w:rsidRPr="000A5B73">
        <w:rPr>
          <w:rFonts w:ascii="Times New Roman" w:hAnsi="Times New Roman" w:cs="Times New Roman"/>
          <w:vertAlign w:val="superscript"/>
        </w:rPr>
        <w:t>st</w:t>
      </w:r>
      <w:r>
        <w:rPr>
          <w:rFonts w:ascii="Times New Roman" w:hAnsi="Times New Roman" w:cs="Times New Roman"/>
        </w:rPr>
        <w:t xml:space="preserve"> January 2025)</w:t>
      </w:r>
    </w:p>
    <w:p w14:paraId="214353EE" w14:textId="77777777" w:rsidR="00016111" w:rsidRDefault="00016111" w:rsidP="00E56CAD">
      <w:pPr>
        <w:spacing w:line="360" w:lineRule="auto"/>
        <w:jc w:val="both"/>
        <w:rPr>
          <w:rFonts w:ascii="Times New Roman" w:hAnsi="Times New Roman" w:cs="Times New Roman"/>
        </w:rPr>
      </w:pPr>
      <w:r>
        <w:rPr>
          <w:rFonts w:ascii="Times New Roman" w:hAnsi="Times New Roman" w:cs="Times New Roman"/>
        </w:rPr>
        <w:t xml:space="preserve">National Numeracy (2023) </w:t>
      </w:r>
      <w:r w:rsidRPr="003926AF">
        <w:rPr>
          <w:rFonts w:ascii="Times New Roman" w:hAnsi="Times New Roman" w:cs="Times New Roman"/>
          <w:i/>
          <w:iCs/>
        </w:rPr>
        <w:t>Fit for Work: Number Confidence and Social mobility</w:t>
      </w:r>
      <w:r>
        <w:rPr>
          <w:rFonts w:ascii="Times New Roman" w:hAnsi="Times New Roman" w:cs="Times New Roman"/>
          <w:i/>
          <w:iCs/>
        </w:rPr>
        <w:t xml:space="preserve"> </w:t>
      </w:r>
      <w:r>
        <w:rPr>
          <w:rFonts w:ascii="Times New Roman" w:hAnsi="Times New Roman" w:cs="Times New Roman"/>
        </w:rPr>
        <w:t>Available at:</w:t>
      </w:r>
      <w:r w:rsidRPr="003926AF">
        <w:t xml:space="preserve"> </w:t>
      </w:r>
      <w:hyperlink r:id="rId17" w:history="1">
        <w:r w:rsidRPr="003926AF">
          <w:rPr>
            <w:rStyle w:val="Hyperlink"/>
            <w:rFonts w:ascii="Times New Roman" w:hAnsi="Times New Roman" w:cs="Times New Roman"/>
          </w:rPr>
          <w:t>National Numeracy Research Briefing – Fit for Work: Number Confidence and Social Mobility</w:t>
        </w:r>
      </w:hyperlink>
      <w:r>
        <w:rPr>
          <w:rFonts w:ascii="Times New Roman" w:hAnsi="Times New Roman" w:cs="Times New Roman"/>
        </w:rPr>
        <w:t xml:space="preserve"> (Accessed 14</w:t>
      </w:r>
      <w:r w:rsidRPr="003926AF">
        <w:rPr>
          <w:rFonts w:ascii="Times New Roman" w:hAnsi="Times New Roman" w:cs="Times New Roman"/>
          <w:vertAlign w:val="superscript"/>
        </w:rPr>
        <w:t>th</w:t>
      </w:r>
      <w:r>
        <w:rPr>
          <w:rFonts w:ascii="Times New Roman" w:hAnsi="Times New Roman" w:cs="Times New Roman"/>
        </w:rPr>
        <w:t xml:space="preserve"> January 2025)</w:t>
      </w:r>
    </w:p>
    <w:p w14:paraId="2EF7A3BC" w14:textId="77777777" w:rsidR="00016111" w:rsidRDefault="00016111" w:rsidP="00E56CAD">
      <w:pPr>
        <w:spacing w:line="360" w:lineRule="auto"/>
        <w:jc w:val="both"/>
        <w:rPr>
          <w:rFonts w:ascii="Times New Roman" w:hAnsi="Times New Roman" w:cs="Times New Roman"/>
        </w:rPr>
      </w:pPr>
      <w:r w:rsidRPr="0025174B">
        <w:rPr>
          <w:rFonts w:ascii="Times New Roman" w:hAnsi="Times New Roman" w:cs="Times New Roman"/>
        </w:rPr>
        <w:t>Piaget, J. (1952). The Origins of Intelligence in Children. International Universities Press.</w:t>
      </w:r>
    </w:p>
    <w:p w14:paraId="6D5127B4" w14:textId="77777777" w:rsidR="00016111" w:rsidRDefault="00016111" w:rsidP="00E56CAD">
      <w:pPr>
        <w:spacing w:line="360" w:lineRule="auto"/>
        <w:jc w:val="both"/>
      </w:pPr>
      <w:r>
        <w:rPr>
          <w:rFonts w:ascii="Times New Roman" w:hAnsi="Times New Roman" w:cs="Times New Roman"/>
        </w:rPr>
        <w:lastRenderedPageBreak/>
        <w:t>Psych Hub (2020) Non-Adherence to treatment [YouTube Video] Available at:</w:t>
      </w:r>
      <w:r>
        <w:t xml:space="preserve"> </w:t>
      </w:r>
      <w:hyperlink r:id="rId18" w:history="1">
        <w:r w:rsidRPr="00BD0761">
          <w:rPr>
            <w:rStyle w:val="Hyperlink"/>
          </w:rPr>
          <w:t>Non-Adherence to Treatment</w:t>
        </w:r>
      </w:hyperlink>
      <w:r>
        <w:t xml:space="preserve"> (Accessed 17</w:t>
      </w:r>
      <w:r w:rsidRPr="00BD0761">
        <w:rPr>
          <w:vertAlign w:val="superscript"/>
        </w:rPr>
        <w:t>th</w:t>
      </w:r>
      <w:r>
        <w:t xml:space="preserve"> January 2025)</w:t>
      </w:r>
    </w:p>
    <w:p w14:paraId="5D6D1E5F" w14:textId="77777777" w:rsidR="00016111" w:rsidRPr="00705072" w:rsidRDefault="00016111" w:rsidP="00E56CAD">
      <w:pPr>
        <w:spacing w:line="360" w:lineRule="auto"/>
        <w:jc w:val="both"/>
        <w:rPr>
          <w:rFonts w:ascii="Times New Roman" w:hAnsi="Times New Roman" w:cs="Times New Roman"/>
        </w:rPr>
      </w:pPr>
      <w:r>
        <w:rPr>
          <w:rFonts w:ascii="Times New Roman" w:hAnsi="Times New Roman" w:cs="Times New Roman"/>
        </w:rPr>
        <w:t xml:space="preserve">University of Cambridge (2023) </w:t>
      </w:r>
      <w:r w:rsidRPr="00EC47D1">
        <w:rPr>
          <w:rFonts w:ascii="Times New Roman" w:hAnsi="Times New Roman" w:cs="Times New Roman"/>
        </w:rPr>
        <w:t>Millennium Mathematics Project</w:t>
      </w:r>
      <w:r>
        <w:rPr>
          <w:rFonts w:ascii="Times New Roman" w:hAnsi="Times New Roman" w:cs="Times New Roman"/>
        </w:rPr>
        <w:t xml:space="preserve">, Available at: </w:t>
      </w:r>
      <w:hyperlink r:id="rId19" w:history="1">
        <w:r w:rsidRPr="00EC47D1">
          <w:rPr>
            <w:rStyle w:val="Hyperlink"/>
            <w:rFonts w:ascii="Times New Roman" w:hAnsi="Times New Roman" w:cs="Times New Roman"/>
          </w:rPr>
          <w:t>Millennium Mathematics Project</w:t>
        </w:r>
      </w:hyperlink>
      <w:r>
        <w:rPr>
          <w:rFonts w:ascii="Times New Roman" w:hAnsi="Times New Roman" w:cs="Times New Roman"/>
        </w:rPr>
        <w:t xml:space="preserve"> (Accessed 20</w:t>
      </w:r>
      <w:r w:rsidRPr="00EC47D1">
        <w:rPr>
          <w:rFonts w:ascii="Times New Roman" w:hAnsi="Times New Roman" w:cs="Times New Roman"/>
          <w:vertAlign w:val="superscript"/>
        </w:rPr>
        <w:t>th</w:t>
      </w:r>
      <w:r>
        <w:rPr>
          <w:rFonts w:ascii="Times New Roman" w:hAnsi="Times New Roman" w:cs="Times New Roman"/>
        </w:rPr>
        <w:t xml:space="preserve"> January 2025)</w:t>
      </w:r>
    </w:p>
    <w:p w14:paraId="3E3317A0" w14:textId="77777777" w:rsidR="00016111" w:rsidRDefault="00016111" w:rsidP="00E56CAD">
      <w:pPr>
        <w:spacing w:line="360" w:lineRule="auto"/>
        <w:jc w:val="both"/>
        <w:rPr>
          <w:rFonts w:ascii="Times New Roman" w:hAnsi="Times New Roman" w:cs="Times New Roman"/>
        </w:rPr>
      </w:pPr>
      <w:r w:rsidRPr="0025174B">
        <w:rPr>
          <w:rFonts w:ascii="Times New Roman" w:hAnsi="Times New Roman" w:cs="Times New Roman"/>
        </w:rPr>
        <w:t>Vygotsky, L. S. (1978). Mind in Society: The Development of Higher Psychological Processes. Harvard University Press.</w:t>
      </w:r>
    </w:p>
    <w:p w14:paraId="08B660A3" w14:textId="77777777" w:rsidR="00E56CAD" w:rsidRPr="004F1D22" w:rsidRDefault="00E56CAD" w:rsidP="00E56CAD">
      <w:pPr>
        <w:spacing w:line="360" w:lineRule="auto"/>
        <w:jc w:val="both"/>
        <w:rPr>
          <w:rFonts w:ascii="Times New Roman" w:hAnsi="Times New Roman" w:cs="Times New Roman"/>
        </w:rPr>
      </w:pPr>
    </w:p>
    <w:p w14:paraId="57A60BB4" w14:textId="77777777" w:rsidR="00E56CAD" w:rsidRPr="001B5310" w:rsidRDefault="00E56CAD" w:rsidP="00E56CAD">
      <w:pPr>
        <w:spacing w:line="360" w:lineRule="auto"/>
      </w:pPr>
    </w:p>
    <w:p w14:paraId="2A2DF168" w14:textId="2CDD2789" w:rsidR="00934401" w:rsidRDefault="00934401"/>
    <w:p w14:paraId="7FD5F1F0" w14:textId="77777777" w:rsidR="002E2268" w:rsidRDefault="002E2268"/>
    <w:p w14:paraId="5E7FE437" w14:textId="6B63001F" w:rsidR="002E2268" w:rsidRDefault="002E2268">
      <w:r>
        <w:br w:type="page"/>
      </w:r>
    </w:p>
    <w:p w14:paraId="1F1A4CAB" w14:textId="2CED0E68" w:rsidR="00F10110" w:rsidRPr="00A65950" w:rsidRDefault="00F10110" w:rsidP="00F10110">
      <w:pPr>
        <w:pStyle w:val="Quote"/>
        <w:spacing w:line="360" w:lineRule="auto"/>
        <w:rPr>
          <w:sz w:val="56"/>
          <w:szCs w:val="56"/>
          <w:u w:val="single"/>
        </w:rPr>
      </w:pPr>
      <w:r w:rsidRPr="008E5937">
        <w:rPr>
          <w:noProof/>
          <w:color w:val="0070C0"/>
          <w:sz w:val="56"/>
          <w:szCs w:val="56"/>
        </w:rPr>
        <w:lastRenderedPageBreak/>
        <mc:AlternateContent>
          <mc:Choice Requires="wps">
            <w:drawing>
              <wp:anchor distT="0" distB="0" distL="114300" distR="114300" simplePos="0" relativeHeight="251678208" behindDoc="1" locked="0" layoutInCell="1" allowOverlap="1" wp14:anchorId="33A91145" wp14:editId="5D300781">
                <wp:simplePos x="0" y="0"/>
                <wp:positionH relativeFrom="column">
                  <wp:posOffset>-7488</wp:posOffset>
                </wp:positionH>
                <wp:positionV relativeFrom="paragraph">
                  <wp:posOffset>3203270</wp:posOffset>
                </wp:positionV>
                <wp:extent cx="1352550" cy="123825"/>
                <wp:effectExtent l="0" t="0" r="0" b="9525"/>
                <wp:wrapTight wrapText="bothSides">
                  <wp:wrapPolygon edited="0">
                    <wp:start x="0" y="0"/>
                    <wp:lineTo x="0" y="19938"/>
                    <wp:lineTo x="21296" y="19938"/>
                    <wp:lineTo x="21296" y="0"/>
                    <wp:lineTo x="0" y="0"/>
                  </wp:wrapPolygon>
                </wp:wrapTight>
                <wp:docPr id="2147266660" name="Text Box 1"/>
                <wp:cNvGraphicFramePr/>
                <a:graphic xmlns:a="http://schemas.openxmlformats.org/drawingml/2006/main">
                  <a:graphicData uri="http://schemas.microsoft.com/office/word/2010/wordprocessingShape">
                    <wps:wsp>
                      <wps:cNvSpPr txBox="1"/>
                      <wps:spPr>
                        <a:xfrm>
                          <a:off x="0" y="0"/>
                          <a:ext cx="1352550" cy="123825"/>
                        </a:xfrm>
                        <a:prstGeom prst="rect">
                          <a:avLst/>
                        </a:prstGeom>
                        <a:solidFill>
                          <a:prstClr val="white"/>
                        </a:solidFill>
                        <a:ln>
                          <a:noFill/>
                        </a:ln>
                      </wps:spPr>
                      <wps:txbx>
                        <w:txbxContent>
                          <w:p w14:paraId="62E5F762" w14:textId="1EFCF8C7" w:rsidR="00F10110" w:rsidRPr="00713972" w:rsidRDefault="00F10110" w:rsidP="00F10110">
                            <w:pPr>
                              <w:pStyle w:val="Caption"/>
                              <w:rPr>
                                <w:rFonts w:ascii="Times New Roman" w:hAnsi="Times New Roman" w:cs="Times New Roman"/>
                                <w:noProof/>
                                <w:sz w:val="22"/>
                                <w:szCs w:val="22"/>
                              </w:rPr>
                            </w:pPr>
                            <w:r>
                              <w:t xml:space="preserve">Figure </w:t>
                            </w:r>
                            <w:fldSimple w:instr=" SEQ Figure \* ARABIC ">
                              <w:r w:rsidR="0084157F">
                                <w:rPr>
                                  <w:noProof/>
                                </w:rPr>
                                <w:t>1</w:t>
                              </w:r>
                            </w:fldSimple>
                            <w:r>
                              <w:t>: Adobe firefly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91145" id="Text Box 1" o:spid="_x0000_s1027" type="#_x0000_t202" style="position:absolute;left:0;text-align:left;margin-left:-.6pt;margin-top:252.25pt;width:106.5pt;height:9.7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" stroked="f">
                <v:textbox inset="0,0,0,0">
                  <w:txbxContent>
                    <w:p w14:paraId="62E5F762" w14:textId="1EFCF8C7" w:rsidR="00F10110" w:rsidRPr="00713972" w:rsidRDefault="00F10110" w:rsidP="00F10110">
                      <w:pPr>
                        <w:pStyle w:val="Caption"/>
                        <w:rPr>
                          <w:rFonts w:ascii="Times New Roman" w:hAnsi="Times New Roman" w:cs="Times New Roman"/>
                          <w:noProof/>
                          <w:sz w:val="22"/>
                          <w:szCs w:val="22"/>
                        </w:rPr>
                      </w:pPr>
                      <w:r>
                        <w:t xml:space="preserve">Figure </w:t>
                      </w:r>
                      <w:fldSimple w:instr=" SEQ Figure \* ARABIC ">
                        <w:r w:rsidR="0084157F">
                          <w:rPr>
                            <w:noProof/>
                          </w:rPr>
                          <w:t>1</w:t>
                        </w:r>
                      </w:fldSimple>
                      <w:r>
                        <w:t>: Adobe firefly (2025)</w:t>
                      </w:r>
                    </w:p>
                  </w:txbxContent>
                </v:textbox>
                <w10:wrap type="tight"/>
              </v:shape>
            </w:pict>
          </mc:Fallback>
        </mc:AlternateContent>
      </w:r>
      <w:r w:rsidRPr="008E5937">
        <w:rPr>
          <w:noProof/>
          <w:color w:val="0070C0"/>
          <w:sz w:val="56"/>
          <w:szCs w:val="56"/>
          <w:u w:val="single"/>
        </w:rPr>
        <w:drawing>
          <wp:anchor distT="0" distB="0" distL="114300" distR="114300" simplePos="0" relativeHeight="251676160" behindDoc="1" locked="0" layoutInCell="1" allowOverlap="1" wp14:anchorId="42E9EAB7" wp14:editId="55D7215D">
            <wp:simplePos x="0" y="0"/>
            <wp:positionH relativeFrom="margin">
              <wp:align>left</wp:align>
            </wp:positionH>
            <wp:positionV relativeFrom="paragraph">
              <wp:posOffset>0</wp:posOffset>
            </wp:positionV>
            <wp:extent cx="5557520" cy="3202305"/>
            <wp:effectExtent l="0" t="0" r="5080" b="0"/>
            <wp:wrapTight wrapText="bothSides">
              <wp:wrapPolygon edited="0">
                <wp:start x="0" y="0"/>
                <wp:lineTo x="0" y="21459"/>
                <wp:lineTo x="21546" y="21459"/>
                <wp:lineTo x="21546" y="0"/>
                <wp:lineTo x="0" y="0"/>
              </wp:wrapPolygon>
            </wp:wrapTight>
            <wp:docPr id="27517492" name="Picture 1" descr="A group of children sitting at desks in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7492" name="Picture 1" descr="A group of children sitting at desks in a classroom&#10;&#10;Description automatically generated"/>
                    <pic:cNvPicPr/>
                  </pic:nvPicPr>
                  <pic:blipFill>
                    <a:blip r:embed="rId20"/>
                    <a:stretch>
                      <a:fillRect/>
                    </a:stretch>
                  </pic:blipFill>
                  <pic:spPr>
                    <a:xfrm>
                      <a:off x="0" y="0"/>
                      <a:ext cx="5557520" cy="3202305"/>
                    </a:xfrm>
                    <a:prstGeom prst="rect">
                      <a:avLst/>
                    </a:prstGeom>
                  </pic:spPr>
                </pic:pic>
              </a:graphicData>
            </a:graphic>
            <wp14:sizeRelH relativeFrom="margin">
              <wp14:pctWidth>0</wp14:pctWidth>
            </wp14:sizeRelH>
            <wp14:sizeRelV relativeFrom="margin">
              <wp14:pctHeight>0</wp14:pctHeight>
            </wp14:sizeRelV>
          </wp:anchor>
        </w:drawing>
      </w:r>
      <w:r w:rsidRPr="008E5937">
        <w:rPr>
          <w:color w:val="0070C0"/>
          <w:sz w:val="56"/>
          <w:szCs w:val="56"/>
          <w:u w:val="single"/>
        </w:rPr>
        <w:t>A Teachers Guide to Boosting Numeracy</w:t>
      </w:r>
    </w:p>
    <w:p w14:paraId="4EFBFF55" w14:textId="45CDDDAB" w:rsidR="00F10110" w:rsidRPr="00A65950" w:rsidRDefault="00F10110" w:rsidP="00F10110">
      <w:pPr>
        <w:spacing w:line="360" w:lineRule="auto"/>
        <w:rPr>
          <w:rFonts w:cs="Times New Roman"/>
          <w:sz w:val="28"/>
          <w:szCs w:val="28"/>
        </w:rPr>
      </w:pPr>
      <w:r w:rsidRPr="00A65950">
        <w:rPr>
          <w:rFonts w:cs="Times New Roman"/>
          <w:sz w:val="28"/>
          <w:szCs w:val="28"/>
        </w:rPr>
        <w:t>Ah, numeracy—the magical art of transforming innocent numbers into perplexing riddles that leave students scratching their heads. As teachers, we're on a noble mission to demystify maths and, dare I say, make it fun. So, how can schools improve numeracy without inducing collective groans?</w:t>
      </w:r>
    </w:p>
    <w:p w14:paraId="5DC5B581" w14:textId="52B19CC3" w:rsidR="00F10110" w:rsidRPr="008E5937" w:rsidRDefault="004856B9" w:rsidP="00F10110">
      <w:pPr>
        <w:pStyle w:val="Quote"/>
        <w:spacing w:line="360" w:lineRule="auto"/>
        <w:rPr>
          <w:color w:val="0070C0"/>
          <w:sz w:val="32"/>
          <w:szCs w:val="32"/>
          <w:u w:val="single"/>
        </w:rPr>
      </w:pPr>
      <w:r>
        <w:rPr>
          <w:rFonts w:cs="Times New Roman"/>
          <w:noProof/>
          <w:sz w:val="28"/>
          <w:szCs w:val="28"/>
        </w:rPr>
        <w:drawing>
          <wp:anchor distT="0" distB="0" distL="114300" distR="114300" simplePos="0" relativeHeight="251680256" behindDoc="1" locked="0" layoutInCell="1" allowOverlap="1" wp14:anchorId="62D58C87" wp14:editId="31FB36DA">
            <wp:simplePos x="0" y="0"/>
            <wp:positionH relativeFrom="margin">
              <wp:posOffset>4933950</wp:posOffset>
            </wp:positionH>
            <wp:positionV relativeFrom="paragraph">
              <wp:posOffset>423545</wp:posOffset>
            </wp:positionV>
            <wp:extent cx="1562100" cy="1562100"/>
            <wp:effectExtent l="0" t="0" r="0" b="0"/>
            <wp:wrapTight wrapText="bothSides">
              <wp:wrapPolygon edited="0">
                <wp:start x="0" y="0"/>
                <wp:lineTo x="0" y="21337"/>
                <wp:lineTo x="21337" y="21337"/>
                <wp:lineTo x="21337" y="0"/>
                <wp:lineTo x="0" y="0"/>
              </wp:wrapPolygon>
            </wp:wrapTight>
            <wp:docPr id="1064474490" name="Picture 5" descr="A broccoli with glasses and a sad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74490" name="Picture 5" descr="A broccoli with glasses and a sad face&#10;&#10;AI-generated content may be incorrect."/>
                    <pic:cNvPicPr/>
                  </pic:nvPicPr>
                  <pic:blipFill>
                    <a:blip r:embed="rId21"/>
                    <a:stretch>
                      <a:fillRect/>
                    </a:stretch>
                  </pic:blipFill>
                  <pic:spPr>
                    <a:xfrm>
                      <a:off x="0" y="0"/>
                      <a:ext cx="1562100" cy="1562100"/>
                    </a:xfrm>
                    <a:prstGeom prst="rect">
                      <a:avLst/>
                    </a:prstGeom>
                  </pic:spPr>
                </pic:pic>
              </a:graphicData>
            </a:graphic>
            <wp14:sizeRelH relativeFrom="margin">
              <wp14:pctWidth>0</wp14:pctWidth>
            </wp14:sizeRelH>
            <wp14:sizeRelV relativeFrom="margin">
              <wp14:pctHeight>0</wp14:pctHeight>
            </wp14:sizeRelV>
          </wp:anchor>
        </w:drawing>
      </w:r>
      <w:r w:rsidR="00F10110" w:rsidRPr="008E5937">
        <w:rPr>
          <w:color w:val="0070C0"/>
          <w:sz w:val="32"/>
          <w:szCs w:val="32"/>
          <w:u w:val="single"/>
        </w:rPr>
        <w:t>Laughter is the Best Teacher</w:t>
      </w:r>
    </w:p>
    <w:p w14:paraId="04D10C67" w14:textId="35332DA7" w:rsidR="00F10110" w:rsidRDefault="004856B9" w:rsidP="00F10110">
      <w:pPr>
        <w:spacing w:line="360" w:lineRule="auto"/>
        <w:rPr>
          <w:rFonts w:cs="Times New Roman"/>
          <w:sz w:val="28"/>
          <w:szCs w:val="28"/>
        </w:rPr>
      </w:pPr>
      <w:r>
        <w:rPr>
          <w:noProof/>
        </w:rPr>
        <mc:AlternateContent>
          <mc:Choice Requires="wps">
            <w:drawing>
              <wp:anchor distT="0" distB="0" distL="114300" distR="114300" simplePos="0" relativeHeight="251681280" behindDoc="1" locked="0" layoutInCell="1" allowOverlap="1" wp14:anchorId="1A0E87C7" wp14:editId="27A9BED8">
                <wp:simplePos x="0" y="0"/>
                <wp:positionH relativeFrom="margin">
                  <wp:posOffset>4962525</wp:posOffset>
                </wp:positionH>
                <wp:positionV relativeFrom="paragraph">
                  <wp:posOffset>1502410</wp:posOffset>
                </wp:positionV>
                <wp:extent cx="1504950" cy="635"/>
                <wp:effectExtent l="0" t="0" r="0" b="0"/>
                <wp:wrapTight wrapText="bothSides">
                  <wp:wrapPolygon edited="0">
                    <wp:start x="0" y="0"/>
                    <wp:lineTo x="0" y="20057"/>
                    <wp:lineTo x="21327" y="20057"/>
                    <wp:lineTo x="21327" y="0"/>
                    <wp:lineTo x="0" y="0"/>
                  </wp:wrapPolygon>
                </wp:wrapTight>
                <wp:docPr id="1030213236" name="Text Box 1"/>
                <wp:cNvGraphicFramePr/>
                <a:graphic xmlns:a="http://schemas.openxmlformats.org/drawingml/2006/main">
                  <a:graphicData uri="http://schemas.microsoft.com/office/word/2010/wordprocessingShape">
                    <wps:wsp>
                      <wps:cNvSpPr txBox="1"/>
                      <wps:spPr>
                        <a:xfrm>
                          <a:off x="0" y="0"/>
                          <a:ext cx="1504950" cy="635"/>
                        </a:xfrm>
                        <a:prstGeom prst="rect">
                          <a:avLst/>
                        </a:prstGeom>
                        <a:solidFill>
                          <a:prstClr val="white"/>
                        </a:solidFill>
                        <a:ln>
                          <a:noFill/>
                        </a:ln>
                      </wps:spPr>
                      <wps:txbx>
                        <w:txbxContent>
                          <w:p w14:paraId="77D7F9A4" w14:textId="3DDBC163" w:rsidR="00F10110" w:rsidRPr="00D35F62" w:rsidRDefault="00F10110" w:rsidP="00F10110">
                            <w:pPr>
                              <w:pStyle w:val="Caption"/>
                              <w:rPr>
                                <w:rFonts w:cs="Times New Roman"/>
                                <w:sz w:val="28"/>
                                <w:szCs w:val="28"/>
                              </w:rPr>
                            </w:pPr>
                            <w:r>
                              <w:t xml:space="preserve">Figure </w:t>
                            </w:r>
                            <w:fldSimple w:instr=" SEQ Figure \* ARABIC ">
                              <w:r w:rsidR="0084157F">
                                <w:rPr>
                                  <w:noProof/>
                                </w:rPr>
                                <w:t>2</w:t>
                              </w:r>
                            </w:fldSimple>
                            <w:r>
                              <w:t xml:space="preserve"> Adobe Firefly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0E87C7" id="_x0000_s1028" type="#_x0000_t202" style="position:absolute;margin-left:390.75pt;margin-top:118.3pt;width:118.5pt;height:.05pt;z-index:-2516352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" stroked="f">
                <v:textbox style="mso-fit-shape-to-text:t" inset="0,0,0,0">
                  <w:txbxContent>
                    <w:p w14:paraId="77D7F9A4" w14:textId="3DDBC163" w:rsidR="00F10110" w:rsidRPr="00D35F62" w:rsidRDefault="00F10110" w:rsidP="00F10110">
                      <w:pPr>
                        <w:pStyle w:val="Caption"/>
                        <w:rPr>
                          <w:rFonts w:cs="Times New Roman"/>
                          <w:sz w:val="28"/>
                          <w:szCs w:val="28"/>
                        </w:rPr>
                      </w:pPr>
                      <w:r>
                        <w:t xml:space="preserve">Figure </w:t>
                      </w:r>
                      <w:fldSimple w:instr=" SEQ Figure \* ARABIC ">
                        <w:r w:rsidR="0084157F">
                          <w:rPr>
                            <w:noProof/>
                          </w:rPr>
                          <w:t>2</w:t>
                        </w:r>
                      </w:fldSimple>
                      <w:r>
                        <w:t xml:space="preserve"> Adobe Firefly (2025)</w:t>
                      </w:r>
                    </w:p>
                  </w:txbxContent>
                </v:textbox>
                <w10:wrap type="tight" anchorx="margin"/>
              </v:shape>
            </w:pict>
          </mc:Fallback>
        </mc:AlternateContent>
      </w:r>
      <w:r w:rsidR="00F10110" w:rsidRPr="00A65950">
        <w:rPr>
          <w:rFonts w:cs="Times New Roman"/>
          <w:sz w:val="28"/>
          <w:szCs w:val="28"/>
        </w:rPr>
        <w:t>Maths lessons often get a bad rap as the broccoli of education, good for you, but no one is excited about it. That’s where humour comes in, like</w:t>
      </w:r>
      <w:r>
        <w:rPr>
          <w:rFonts w:cs="Times New Roman"/>
          <w:sz w:val="28"/>
          <w:szCs w:val="28"/>
        </w:rPr>
        <w:t xml:space="preserve"> a </w:t>
      </w:r>
      <w:r w:rsidR="00F10110" w:rsidRPr="00A65950">
        <w:rPr>
          <w:rFonts w:cs="Times New Roman"/>
          <w:sz w:val="28"/>
          <w:szCs w:val="28"/>
        </w:rPr>
        <w:t xml:space="preserve">generous helping of cheese sauce. Picture this: you’re teaching quadratic equations and instead of diving straight into formulas you open with this gem: "Why was </w:t>
      </w:r>
      <w:r w:rsidR="00F10110" w:rsidRPr="00A65950">
        <w:rPr>
          <w:rFonts w:cs="Times New Roman"/>
          <w:sz w:val="28"/>
          <w:szCs w:val="28"/>
        </w:rPr>
        <w:lastRenderedPageBreak/>
        <w:t xml:space="preserve">the equal sign so humble? Because it knew it wasn't less than or greater than anyone else". Cue a few chuckles (or Groans), but suddenly you have their attention. “Humour has positive and interpersonal effects” (Sover, 2009). Who says math can't be funny? Injecting humour into lessons can make numbers less intimidating, it can significantly reduce students’ anxiety and make the subject more approachable (Teaching/ Math/ Culture 2019).  </w:t>
      </w:r>
    </w:p>
    <w:p w14:paraId="0F5DD0CB" w14:textId="77777777" w:rsidR="00F10110" w:rsidRPr="006E692E" w:rsidRDefault="00F10110" w:rsidP="00F10110">
      <w:pPr>
        <w:spacing w:line="360" w:lineRule="auto"/>
        <w:jc w:val="center"/>
        <w:rPr>
          <w:rFonts w:cs="Times New Roman"/>
          <w:color w:val="0070C0"/>
          <w:sz w:val="36"/>
          <w:szCs w:val="36"/>
          <w:u w:val="single"/>
        </w:rPr>
      </w:pPr>
      <w:r w:rsidRPr="006E692E">
        <w:rPr>
          <w:rFonts w:cs="Times New Roman"/>
          <w:color w:val="0070C0"/>
          <w:sz w:val="36"/>
          <w:szCs w:val="36"/>
          <w:u w:val="single"/>
        </w:rPr>
        <w:t>Interdisciplinary Planning: The Sherlock Holmes Approach</w:t>
      </w:r>
    </w:p>
    <w:p w14:paraId="1D1FBBE3" w14:textId="77777777" w:rsidR="00F10110" w:rsidRPr="006E692E" w:rsidRDefault="00F10110" w:rsidP="00F10110">
      <w:pPr>
        <w:spacing w:line="360" w:lineRule="auto"/>
        <w:rPr>
          <w:rFonts w:cs="Times New Roman"/>
          <w:sz w:val="28"/>
          <w:szCs w:val="28"/>
        </w:rPr>
      </w:pPr>
      <w:r>
        <w:rPr>
          <w:noProof/>
        </w:rPr>
        <mc:AlternateContent>
          <mc:Choice Requires="wps">
            <w:drawing>
              <wp:anchor distT="0" distB="0" distL="114300" distR="114300" simplePos="0" relativeHeight="251684352" behindDoc="1" locked="0" layoutInCell="1" allowOverlap="1" wp14:anchorId="6577B985" wp14:editId="3D151D26">
                <wp:simplePos x="0" y="0"/>
                <wp:positionH relativeFrom="column">
                  <wp:posOffset>3823335</wp:posOffset>
                </wp:positionH>
                <wp:positionV relativeFrom="paragraph">
                  <wp:posOffset>2715813</wp:posOffset>
                </wp:positionV>
                <wp:extent cx="2576195" cy="635"/>
                <wp:effectExtent l="0" t="0" r="0" b="0"/>
                <wp:wrapTight wrapText="bothSides">
                  <wp:wrapPolygon edited="0">
                    <wp:start x="0" y="0"/>
                    <wp:lineTo x="0" y="21600"/>
                    <wp:lineTo x="21600" y="21600"/>
                    <wp:lineTo x="21600" y="0"/>
                  </wp:wrapPolygon>
                </wp:wrapTight>
                <wp:docPr id="1459824150" name="Text Box 1"/>
                <wp:cNvGraphicFramePr/>
                <a:graphic xmlns:a="http://schemas.openxmlformats.org/drawingml/2006/main">
                  <a:graphicData uri="http://schemas.microsoft.com/office/word/2010/wordprocessingShape">
                    <wps:wsp>
                      <wps:cNvSpPr txBox="1"/>
                      <wps:spPr>
                        <a:xfrm>
                          <a:off x="0" y="0"/>
                          <a:ext cx="2576195" cy="635"/>
                        </a:xfrm>
                        <a:prstGeom prst="rect">
                          <a:avLst/>
                        </a:prstGeom>
                        <a:solidFill>
                          <a:prstClr val="white"/>
                        </a:solidFill>
                        <a:ln>
                          <a:noFill/>
                        </a:ln>
                      </wps:spPr>
                      <wps:txbx>
                        <w:txbxContent>
                          <w:p w14:paraId="663FDB3E" w14:textId="5A14FF1B" w:rsidR="00F10110" w:rsidRPr="007478BC" w:rsidRDefault="00F10110" w:rsidP="00F10110">
                            <w:pPr>
                              <w:pStyle w:val="Caption"/>
                              <w:rPr>
                                <w:noProof/>
                                <w:kern w:val="0"/>
                                <w:sz w:val="21"/>
                                <w:szCs w:val="21"/>
                                <w14:ligatures w14:val="none"/>
                              </w:rPr>
                            </w:pPr>
                            <w:r>
                              <w:t xml:space="preserve">Figure </w:t>
                            </w:r>
                            <w:fldSimple w:instr=" SEQ Figure \* ARABIC ">
                              <w:r w:rsidR="0084157F">
                                <w:rPr>
                                  <w:noProof/>
                                </w:rPr>
                                <w:t>3</w:t>
                              </w:r>
                            </w:fldSimple>
                            <w:r>
                              <w:t xml:space="preserve"> Sherlock Holms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77B985" id="_x0000_s1029" type="#_x0000_t202" style="position:absolute;margin-left:301.05pt;margin-top:213.85pt;width:202.85pt;height:.05pt;z-index:-25163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HNGwIAAD8EAAAOAAAAZHJzL2Uyb0RvYy54bWysU8Fu2zAMvQ/YPwi6L05SJFu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p7ON8cjvjTFJsfjO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" stroked="f">
                <v:textbox style="mso-fit-shape-to-text:t" inset="0,0,0,0">
                  <w:txbxContent>
                    <w:p w14:paraId="663FDB3E" w14:textId="5A14FF1B" w:rsidR="00F10110" w:rsidRPr="007478BC" w:rsidRDefault="00F10110" w:rsidP="00F10110">
                      <w:pPr>
                        <w:pStyle w:val="Caption"/>
                        <w:rPr>
                          <w:noProof/>
                          <w:kern w:val="0"/>
                          <w:sz w:val="21"/>
                          <w:szCs w:val="21"/>
                          <w14:ligatures w14:val="none"/>
                        </w:rPr>
                      </w:pPr>
                      <w:r>
                        <w:t xml:space="preserve">Figure </w:t>
                      </w:r>
                      <w:fldSimple w:instr=" SEQ Figure \* ARABIC ">
                        <w:r w:rsidR="0084157F">
                          <w:rPr>
                            <w:noProof/>
                          </w:rPr>
                          <w:t>3</w:t>
                        </w:r>
                      </w:fldSimple>
                      <w:r>
                        <w:t xml:space="preserve"> Sherlock Holms (2020)</w:t>
                      </w:r>
                    </w:p>
                  </w:txbxContent>
                </v:textbox>
                <w10:wrap type="tight"/>
              </v:shape>
            </w:pict>
          </mc:Fallback>
        </mc:AlternateContent>
      </w:r>
      <w:r>
        <w:rPr>
          <w:noProof/>
        </w:rPr>
        <w:drawing>
          <wp:anchor distT="0" distB="0" distL="114300" distR="114300" simplePos="0" relativeHeight="251683328" behindDoc="1" locked="0" layoutInCell="1" allowOverlap="1" wp14:anchorId="6E0C21FA" wp14:editId="62807897">
            <wp:simplePos x="0" y="0"/>
            <wp:positionH relativeFrom="column">
              <wp:posOffset>3823335</wp:posOffset>
            </wp:positionH>
            <wp:positionV relativeFrom="paragraph">
              <wp:posOffset>677545</wp:posOffset>
            </wp:positionV>
            <wp:extent cx="2576195" cy="2041525"/>
            <wp:effectExtent l="0" t="0" r="0" b="0"/>
            <wp:wrapTight wrapText="bothSides">
              <wp:wrapPolygon edited="0">
                <wp:start x="0" y="0"/>
                <wp:lineTo x="0" y="21365"/>
                <wp:lineTo x="21403" y="21365"/>
                <wp:lineTo x="21403" y="0"/>
                <wp:lineTo x="0" y="0"/>
              </wp:wrapPolygon>
            </wp:wrapTight>
            <wp:docPr id="1712405701" name="Picture 7" descr="Sherlock Holmes and the Curious Case of Several Million Chinese Fa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erlock Holmes and the Curious Case of Several Million Chinese Fans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76195" cy="2041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692E">
        <w:rPr>
          <w:rFonts w:cs="Times New Roman"/>
          <w:sz w:val="28"/>
          <w:szCs w:val="28"/>
        </w:rPr>
        <w:t>Interdisciplinary Planning for numeracy is like sneaking beetroot into your brownie, your giving your pupils something healthy without them realising it. By weaving maths into subjects like science, art, and even geography, students start seeing numbers everywhere, whether they’re calculating chemical reactions, analysing population trends, or figuring out how many hexagons can fit in their doodle masterpiece (Coffey and Sharpe, 2021). Suddenly, maths isn’t just something that lives in its own corner of the classroom, it’s out there partying with all the other subjects. And, as Doig et al. (2019) pointed out, when students see maths in action, they’re more engaged and less likely to give you that glazed-over look, win-win</w:t>
      </w:r>
      <w:r>
        <w:rPr>
          <w:rFonts w:cs="Times New Roman"/>
          <w:sz w:val="28"/>
          <w:szCs w:val="28"/>
        </w:rPr>
        <w:t xml:space="preserve">, So, </w:t>
      </w:r>
      <w:r w:rsidRPr="006E692E">
        <w:rPr>
          <w:rFonts w:cs="Times New Roman"/>
          <w:sz w:val="28"/>
          <w:szCs w:val="28"/>
        </w:rPr>
        <w:t xml:space="preserve">teachers </w:t>
      </w:r>
      <w:r>
        <w:rPr>
          <w:rFonts w:cs="Times New Roman"/>
          <w:sz w:val="28"/>
          <w:szCs w:val="28"/>
        </w:rPr>
        <w:t xml:space="preserve">lets </w:t>
      </w:r>
      <w:r w:rsidRPr="006E692E">
        <w:rPr>
          <w:rFonts w:cs="Times New Roman"/>
          <w:sz w:val="28"/>
          <w:szCs w:val="28"/>
        </w:rPr>
        <w:t xml:space="preserve">don </w:t>
      </w:r>
      <w:r>
        <w:rPr>
          <w:rFonts w:cs="Times New Roman"/>
          <w:sz w:val="28"/>
          <w:szCs w:val="28"/>
        </w:rPr>
        <w:t>our</w:t>
      </w:r>
      <w:r w:rsidRPr="006E692E">
        <w:rPr>
          <w:rFonts w:cs="Times New Roman"/>
          <w:sz w:val="28"/>
          <w:szCs w:val="28"/>
        </w:rPr>
        <w:t xml:space="preserve"> detective hats and uncover numeracy links across subjects. </w:t>
      </w:r>
    </w:p>
    <w:p w14:paraId="65521F0F" w14:textId="77777777" w:rsidR="00F10110" w:rsidRDefault="00F10110" w:rsidP="00F10110">
      <w:pPr>
        <w:spacing w:line="360" w:lineRule="auto"/>
        <w:jc w:val="center"/>
        <w:rPr>
          <w:rFonts w:cs="Times New Roman"/>
          <w:sz w:val="36"/>
          <w:szCs w:val="36"/>
          <w:u w:val="single"/>
        </w:rPr>
      </w:pPr>
      <w:r>
        <w:rPr>
          <w:noProof/>
        </w:rPr>
        <w:lastRenderedPageBreak/>
        <w:drawing>
          <wp:anchor distT="0" distB="0" distL="114300" distR="114300" simplePos="0" relativeHeight="251686400" behindDoc="1" locked="0" layoutInCell="1" allowOverlap="1" wp14:anchorId="0261529A" wp14:editId="6AAA9936">
            <wp:simplePos x="0" y="0"/>
            <wp:positionH relativeFrom="margin">
              <wp:posOffset>-581891</wp:posOffset>
            </wp:positionH>
            <wp:positionV relativeFrom="paragraph">
              <wp:posOffset>457167</wp:posOffset>
            </wp:positionV>
            <wp:extent cx="2516505" cy="1886585"/>
            <wp:effectExtent l="0" t="0" r="0" b="0"/>
            <wp:wrapTight wrapText="bothSides">
              <wp:wrapPolygon edited="0">
                <wp:start x="0" y="0"/>
                <wp:lineTo x="0" y="21375"/>
                <wp:lineTo x="21420" y="21375"/>
                <wp:lineTo x="21420" y="0"/>
                <wp:lineTo x="0" y="0"/>
              </wp:wrapPolygon>
            </wp:wrapTight>
            <wp:docPr id="1679650137" name="Picture 7" descr="The 5 Senses plus 3 more | MooMooMath and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5 Senses plus 3 more | MooMooMath and Sci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16505" cy="1886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692E">
        <w:rPr>
          <w:rFonts w:cs="Times New Roman"/>
          <w:color w:val="0070C0"/>
          <w:sz w:val="36"/>
          <w:szCs w:val="36"/>
          <w:u w:val="single"/>
        </w:rPr>
        <w:t>Hands-On Learning: Math You Can Touch</w:t>
      </w:r>
    </w:p>
    <w:p w14:paraId="1A7E8281" w14:textId="77777777" w:rsidR="00F10110" w:rsidRPr="003B1F6D" w:rsidRDefault="00F10110" w:rsidP="00F10110">
      <w:pPr>
        <w:spacing w:line="360" w:lineRule="auto"/>
        <w:rPr>
          <w:rFonts w:cs="Times New Roman"/>
          <w:sz w:val="36"/>
          <w:szCs w:val="36"/>
          <w:u w:val="single"/>
        </w:rPr>
      </w:pPr>
      <w:r>
        <w:rPr>
          <w:noProof/>
        </w:rPr>
        <mc:AlternateContent>
          <mc:Choice Requires="wps">
            <w:drawing>
              <wp:anchor distT="0" distB="0" distL="114300" distR="114300" simplePos="0" relativeHeight="251687424" behindDoc="1" locked="0" layoutInCell="1" allowOverlap="1" wp14:anchorId="2DC4A076" wp14:editId="6B4C924D">
                <wp:simplePos x="0" y="0"/>
                <wp:positionH relativeFrom="column">
                  <wp:posOffset>-522284</wp:posOffset>
                </wp:positionH>
                <wp:positionV relativeFrom="paragraph">
                  <wp:posOffset>1557564</wp:posOffset>
                </wp:positionV>
                <wp:extent cx="2516505" cy="635"/>
                <wp:effectExtent l="0" t="0" r="0" b="0"/>
                <wp:wrapTight wrapText="bothSides">
                  <wp:wrapPolygon edited="0">
                    <wp:start x="0" y="0"/>
                    <wp:lineTo x="0" y="21600"/>
                    <wp:lineTo x="21600" y="21600"/>
                    <wp:lineTo x="21600" y="0"/>
                  </wp:wrapPolygon>
                </wp:wrapTight>
                <wp:docPr id="1604991769" name="Text Box 1"/>
                <wp:cNvGraphicFramePr/>
                <a:graphic xmlns:a="http://schemas.openxmlformats.org/drawingml/2006/main">
                  <a:graphicData uri="http://schemas.microsoft.com/office/word/2010/wordprocessingShape">
                    <wps:wsp>
                      <wps:cNvSpPr txBox="1"/>
                      <wps:spPr>
                        <a:xfrm>
                          <a:off x="0" y="0"/>
                          <a:ext cx="2516505" cy="635"/>
                        </a:xfrm>
                        <a:prstGeom prst="rect">
                          <a:avLst/>
                        </a:prstGeom>
                        <a:solidFill>
                          <a:prstClr val="white"/>
                        </a:solidFill>
                        <a:ln>
                          <a:noFill/>
                        </a:ln>
                      </wps:spPr>
                      <wps:txbx>
                        <w:txbxContent>
                          <w:p w14:paraId="517DE45A" w14:textId="3E3CA1CB" w:rsidR="00F10110" w:rsidRPr="005979E6" w:rsidRDefault="00F10110" w:rsidP="00F10110">
                            <w:pPr>
                              <w:pStyle w:val="Caption"/>
                              <w:rPr>
                                <w:noProof/>
                                <w:sz w:val="21"/>
                                <w:szCs w:val="21"/>
                              </w:rPr>
                            </w:pPr>
                            <w:r>
                              <w:t xml:space="preserve">Figure </w:t>
                            </w:r>
                            <w:fldSimple w:instr=" SEQ Figure \* ARABIC ">
                              <w:r w:rsidR="0084157F">
                                <w:rPr>
                                  <w:noProof/>
                                </w:rPr>
                                <w:t>4</w:t>
                              </w:r>
                            </w:fldSimple>
                            <w:r>
                              <w:t xml:space="preserve"> The five sense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4A076" id="_x0000_s1030" type="#_x0000_t202" style="position:absolute;margin-left:-41.1pt;margin-top:122.65pt;width:198.15pt;height:.05pt;z-index:-25162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PCGGgIAAD8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" stroked="f">
                <v:textbox style="mso-fit-shape-to-text:t" inset="0,0,0,0">
                  <w:txbxContent>
                    <w:p w14:paraId="517DE45A" w14:textId="3E3CA1CB" w:rsidR="00F10110" w:rsidRPr="005979E6" w:rsidRDefault="00F10110" w:rsidP="00F10110">
                      <w:pPr>
                        <w:pStyle w:val="Caption"/>
                        <w:rPr>
                          <w:noProof/>
                          <w:sz w:val="21"/>
                          <w:szCs w:val="21"/>
                        </w:rPr>
                      </w:pPr>
                      <w:r>
                        <w:t xml:space="preserve">Figure </w:t>
                      </w:r>
                      <w:fldSimple w:instr=" SEQ Figure \* ARABIC ">
                        <w:r w:rsidR="0084157F">
                          <w:rPr>
                            <w:noProof/>
                          </w:rPr>
                          <w:t>4</w:t>
                        </w:r>
                      </w:fldSimple>
                      <w:r>
                        <w:t xml:space="preserve"> The five sense (2021)</w:t>
                      </w:r>
                    </w:p>
                  </w:txbxContent>
                </v:textbox>
                <w10:wrap type="tight"/>
              </v:shape>
            </w:pict>
          </mc:Fallback>
        </mc:AlternateContent>
      </w:r>
      <w:r w:rsidRPr="009E4CCA">
        <w:rPr>
          <w:rFonts w:cs="Times New Roman"/>
          <w:sz w:val="28"/>
          <w:szCs w:val="28"/>
        </w:rPr>
        <w:t>Teaching numeracy isn’t just about numbers- it’s about making numbers stick. And what better way than by using all five senses? Imagin this: you’re teaching</w:t>
      </w:r>
      <w:r w:rsidRPr="0048290D">
        <w:t xml:space="preserve"> </w:t>
      </w:r>
      <w:r w:rsidRPr="009E4CCA">
        <w:rPr>
          <w:rFonts w:cs="Times New Roman"/>
          <w:sz w:val="28"/>
          <w:szCs w:val="28"/>
        </w:rPr>
        <w:t>fractions, so you bring in a pizza (smell and taste). You have students clap out multiplication facts (hearing), draw number lines in sand trays (touch), and colour-code their maths problems (sight). Boom- multi-sensory in action! It’s like tricking their brains into learning while they’re too busy having fun to notice (</w:t>
      </w:r>
      <w:r w:rsidRPr="00235688">
        <w:rPr>
          <w:rFonts w:cs="Times New Roman"/>
          <w:sz w:val="28"/>
          <w:szCs w:val="28"/>
        </w:rPr>
        <w:t>Turner,</w:t>
      </w:r>
      <w:r w:rsidRPr="009E4CCA">
        <w:rPr>
          <w:rFonts w:cs="Times New Roman"/>
          <w:sz w:val="28"/>
          <w:szCs w:val="28"/>
        </w:rPr>
        <w:t xml:space="preserve"> </w:t>
      </w:r>
      <w:r w:rsidRPr="00235688">
        <w:rPr>
          <w:rFonts w:cs="Times New Roman"/>
          <w:sz w:val="28"/>
          <w:szCs w:val="28"/>
        </w:rPr>
        <w:t>2011)</w:t>
      </w:r>
      <w:r w:rsidRPr="009E4CCA">
        <w:rPr>
          <w:rFonts w:cs="Times New Roman"/>
          <w:sz w:val="28"/>
          <w:szCs w:val="28"/>
        </w:rPr>
        <w:t>. Research shows that engaging multiple senses helps reinforce memory and understanding (Aulina, et.al, 2024). If they can see it, hear it, touch it, and even taste it, they just might remember it!</w:t>
      </w:r>
    </w:p>
    <w:p w14:paraId="076ED966" w14:textId="77777777" w:rsidR="00F10110" w:rsidRPr="003B1F6D" w:rsidRDefault="00F10110" w:rsidP="00F10110">
      <w:pPr>
        <w:spacing w:line="360" w:lineRule="auto"/>
        <w:jc w:val="center"/>
        <w:rPr>
          <w:rFonts w:cs="Times New Roman"/>
          <w:color w:val="0070C0"/>
          <w:sz w:val="36"/>
          <w:szCs w:val="36"/>
          <w:u w:val="single"/>
        </w:rPr>
      </w:pPr>
      <w:r>
        <w:rPr>
          <w:noProof/>
        </w:rPr>
        <w:drawing>
          <wp:anchor distT="0" distB="0" distL="114300" distR="114300" simplePos="0" relativeHeight="251689472" behindDoc="1" locked="0" layoutInCell="1" allowOverlap="1" wp14:anchorId="2C8CDBA0" wp14:editId="32D25DF2">
            <wp:simplePos x="0" y="0"/>
            <wp:positionH relativeFrom="margin">
              <wp:posOffset>3847061</wp:posOffset>
            </wp:positionH>
            <wp:positionV relativeFrom="paragraph">
              <wp:posOffset>355839</wp:posOffset>
            </wp:positionV>
            <wp:extent cx="2654935" cy="1769110"/>
            <wp:effectExtent l="0" t="0" r="0" b="2540"/>
            <wp:wrapTight wrapText="bothSides">
              <wp:wrapPolygon edited="0">
                <wp:start x="0" y="0"/>
                <wp:lineTo x="0" y="21398"/>
                <wp:lineTo x="21388" y="21398"/>
                <wp:lineTo x="21388" y="0"/>
                <wp:lineTo x="0" y="0"/>
              </wp:wrapPolygon>
            </wp:wrapTight>
            <wp:docPr id="1668169920" name="Picture 2" descr="Free Sumdog Training for Edinburgh Schools | Digital Learning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Sumdog Training for Edinburgh Schools | Digital Learning Te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54935" cy="1769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B1F6D">
        <w:rPr>
          <w:rFonts w:cs="Times New Roman"/>
          <w:color w:val="0070C0"/>
          <w:sz w:val="36"/>
          <w:szCs w:val="36"/>
          <w:u w:val="single"/>
        </w:rPr>
        <w:t>Math Games: Turning Play into Learning</w:t>
      </w:r>
    </w:p>
    <w:p w14:paraId="4296C192" w14:textId="77777777" w:rsidR="00F10110" w:rsidRPr="002429F6" w:rsidRDefault="00F10110" w:rsidP="00F10110">
      <w:pPr>
        <w:spacing w:line="360" w:lineRule="auto"/>
        <w:jc w:val="both"/>
        <w:rPr>
          <w:rFonts w:cs="Times New Roman"/>
          <w:sz w:val="28"/>
          <w:szCs w:val="28"/>
        </w:rPr>
      </w:pPr>
      <w:r>
        <w:rPr>
          <w:noProof/>
        </w:rPr>
        <mc:AlternateContent>
          <mc:Choice Requires="wps">
            <w:drawing>
              <wp:anchor distT="0" distB="0" distL="114300" distR="114300" simplePos="0" relativeHeight="251694592" behindDoc="1" locked="0" layoutInCell="1" allowOverlap="1" wp14:anchorId="4B6AD811" wp14:editId="5CEFE522">
                <wp:simplePos x="0" y="0"/>
                <wp:positionH relativeFrom="column">
                  <wp:posOffset>4927798</wp:posOffset>
                </wp:positionH>
                <wp:positionV relativeFrom="paragraph">
                  <wp:posOffset>3916416</wp:posOffset>
                </wp:positionV>
                <wp:extent cx="1698625" cy="635"/>
                <wp:effectExtent l="0" t="0" r="0" b="0"/>
                <wp:wrapTight wrapText="bothSides">
                  <wp:wrapPolygon edited="0">
                    <wp:start x="0" y="0"/>
                    <wp:lineTo x="0" y="21600"/>
                    <wp:lineTo x="21600" y="21600"/>
                    <wp:lineTo x="21600" y="0"/>
                  </wp:wrapPolygon>
                </wp:wrapTight>
                <wp:docPr id="1369572877" name="Text Box 1"/>
                <wp:cNvGraphicFramePr/>
                <a:graphic xmlns:a="http://schemas.openxmlformats.org/drawingml/2006/main">
                  <a:graphicData uri="http://schemas.microsoft.com/office/word/2010/wordprocessingShape">
                    <wps:wsp>
                      <wps:cNvSpPr txBox="1"/>
                      <wps:spPr>
                        <a:xfrm>
                          <a:off x="0" y="0"/>
                          <a:ext cx="1698625" cy="635"/>
                        </a:xfrm>
                        <a:prstGeom prst="rect">
                          <a:avLst/>
                        </a:prstGeom>
                        <a:solidFill>
                          <a:prstClr val="white"/>
                        </a:solidFill>
                        <a:ln>
                          <a:noFill/>
                        </a:ln>
                      </wps:spPr>
                      <wps:txbx>
                        <w:txbxContent>
                          <w:p w14:paraId="75E48258" w14:textId="77777777" w:rsidR="00F10110" w:rsidRPr="00D82565" w:rsidRDefault="00F10110" w:rsidP="00F10110">
                            <w:pPr>
                              <w:pStyle w:val="Caption"/>
                              <w:rPr>
                                <w:noProof/>
                                <w:sz w:val="21"/>
                                <w:szCs w:val="21"/>
                              </w:rPr>
                            </w:pPr>
                            <w:r>
                              <w:t>Figure 7 Pop to the Shops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AD811" id="_x0000_s1031" type="#_x0000_t202" style="position:absolute;left:0;text-align:left;margin-left:388pt;margin-top:308.4pt;width:133.75pt;height:.05pt;z-index:-25162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" stroked="f">
                <v:textbox style="mso-fit-shape-to-text:t" inset="0,0,0,0">
                  <w:txbxContent>
                    <w:p w14:paraId="75E48258" w14:textId="77777777" w:rsidR="00F10110" w:rsidRPr="00D82565" w:rsidRDefault="00F10110" w:rsidP="00F10110">
                      <w:pPr>
                        <w:pStyle w:val="Caption"/>
                        <w:rPr>
                          <w:noProof/>
                          <w:sz w:val="21"/>
                          <w:szCs w:val="21"/>
                        </w:rPr>
                      </w:pPr>
                      <w:r>
                        <w:t>Figure 7 Pop to the Shops (ND)</w:t>
                      </w:r>
                    </w:p>
                  </w:txbxContent>
                </v:textbox>
                <w10:wrap type="tight"/>
              </v:shape>
            </w:pict>
          </mc:Fallback>
        </mc:AlternateContent>
      </w:r>
      <w:r>
        <w:rPr>
          <w:noProof/>
        </w:rPr>
        <w:drawing>
          <wp:anchor distT="0" distB="0" distL="114300" distR="114300" simplePos="0" relativeHeight="251693568" behindDoc="1" locked="0" layoutInCell="1" allowOverlap="1" wp14:anchorId="7A3624D6" wp14:editId="0A301DA2">
            <wp:simplePos x="0" y="0"/>
            <wp:positionH relativeFrom="column">
              <wp:posOffset>4821382</wp:posOffset>
            </wp:positionH>
            <wp:positionV relativeFrom="paragraph">
              <wp:posOffset>2506147</wp:posOffset>
            </wp:positionV>
            <wp:extent cx="1698625" cy="1496060"/>
            <wp:effectExtent l="0" t="0" r="0" b="8890"/>
            <wp:wrapTight wrapText="bothSides">
              <wp:wrapPolygon edited="0">
                <wp:start x="0" y="0"/>
                <wp:lineTo x="0" y="21453"/>
                <wp:lineTo x="21317" y="21453"/>
                <wp:lineTo x="21317" y="0"/>
                <wp:lineTo x="0" y="0"/>
              </wp:wrapPolygon>
            </wp:wrapTight>
            <wp:docPr id="1304492617" name="Picture 4" descr="Orchard Toys Pop to the Shops - Puzzles &amp;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chard Toys Pop to the Shops - Puzzles &amp; Gam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98625" cy="1496060"/>
                    </a:xfrm>
                    <a:prstGeom prst="rect">
                      <a:avLst/>
                    </a:prstGeom>
                    <a:noFill/>
                    <a:ln>
                      <a:noFill/>
                    </a:ln>
                  </pic:spPr>
                </pic:pic>
              </a:graphicData>
            </a:graphic>
          </wp:anchor>
        </w:drawing>
      </w:r>
      <w:r>
        <w:rPr>
          <w:noProof/>
        </w:rPr>
        <mc:AlternateContent>
          <mc:Choice Requires="wps">
            <w:drawing>
              <wp:anchor distT="0" distB="0" distL="114300" distR="114300" simplePos="0" relativeHeight="251692544" behindDoc="1" locked="0" layoutInCell="1" allowOverlap="1" wp14:anchorId="72ED74F0" wp14:editId="1AAC1805">
                <wp:simplePos x="0" y="0"/>
                <wp:positionH relativeFrom="column">
                  <wp:posOffset>-450578</wp:posOffset>
                </wp:positionH>
                <wp:positionV relativeFrom="paragraph">
                  <wp:posOffset>2957954</wp:posOffset>
                </wp:positionV>
                <wp:extent cx="2399030" cy="635"/>
                <wp:effectExtent l="0" t="0" r="0" b="0"/>
                <wp:wrapTight wrapText="bothSides">
                  <wp:wrapPolygon edited="0">
                    <wp:start x="0" y="0"/>
                    <wp:lineTo x="0" y="21600"/>
                    <wp:lineTo x="21600" y="21600"/>
                    <wp:lineTo x="21600" y="0"/>
                  </wp:wrapPolygon>
                </wp:wrapTight>
                <wp:docPr id="861696896" name="Text Box 1"/>
                <wp:cNvGraphicFramePr/>
                <a:graphic xmlns:a="http://schemas.openxmlformats.org/drawingml/2006/main">
                  <a:graphicData uri="http://schemas.microsoft.com/office/word/2010/wordprocessingShape">
                    <wps:wsp>
                      <wps:cNvSpPr txBox="1"/>
                      <wps:spPr>
                        <a:xfrm>
                          <a:off x="0" y="0"/>
                          <a:ext cx="2399030" cy="635"/>
                        </a:xfrm>
                        <a:prstGeom prst="rect">
                          <a:avLst/>
                        </a:prstGeom>
                        <a:solidFill>
                          <a:prstClr val="white"/>
                        </a:solidFill>
                        <a:ln>
                          <a:noFill/>
                        </a:ln>
                      </wps:spPr>
                      <wps:txbx>
                        <w:txbxContent>
                          <w:p w14:paraId="15FEAFA2" w14:textId="77777777" w:rsidR="00F10110" w:rsidRPr="001F4DD3" w:rsidRDefault="00F10110" w:rsidP="00F10110">
                            <w:pPr>
                              <w:pStyle w:val="Caption"/>
                              <w:rPr>
                                <w:noProof/>
                                <w:sz w:val="21"/>
                                <w:szCs w:val="21"/>
                              </w:rPr>
                            </w:pPr>
                            <w:r>
                              <w:t>Figure 6 Maths Bingo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D74F0" id="_x0000_s1032" type="#_x0000_t202" style="position:absolute;left:0;text-align:left;margin-left:-35.5pt;margin-top:232.9pt;width:188.9pt;height:.05pt;z-index:-25162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" stroked="f">
                <v:textbox style="mso-fit-shape-to-text:t" inset="0,0,0,0">
                  <w:txbxContent>
                    <w:p w14:paraId="15FEAFA2" w14:textId="77777777" w:rsidR="00F10110" w:rsidRPr="001F4DD3" w:rsidRDefault="00F10110" w:rsidP="00F10110">
                      <w:pPr>
                        <w:pStyle w:val="Caption"/>
                        <w:rPr>
                          <w:noProof/>
                          <w:sz w:val="21"/>
                          <w:szCs w:val="21"/>
                        </w:rPr>
                      </w:pPr>
                      <w:r>
                        <w:t>Figure 6 Maths Bingo (2025)</w:t>
                      </w:r>
                    </w:p>
                  </w:txbxContent>
                </v:textbox>
                <w10:wrap type="tight"/>
              </v:shape>
            </w:pict>
          </mc:Fallback>
        </mc:AlternateContent>
      </w:r>
      <w:r>
        <w:rPr>
          <w:noProof/>
        </w:rPr>
        <w:drawing>
          <wp:anchor distT="0" distB="0" distL="114300" distR="114300" simplePos="0" relativeHeight="251691520" behindDoc="1" locked="0" layoutInCell="1" allowOverlap="1" wp14:anchorId="572242F8" wp14:editId="5870050D">
            <wp:simplePos x="0" y="0"/>
            <wp:positionH relativeFrom="margin">
              <wp:posOffset>-545291</wp:posOffset>
            </wp:positionH>
            <wp:positionV relativeFrom="paragraph">
              <wp:posOffset>1636816</wp:posOffset>
            </wp:positionV>
            <wp:extent cx="2399030" cy="1470660"/>
            <wp:effectExtent l="0" t="0" r="1270" b="0"/>
            <wp:wrapTight wrapText="bothSides">
              <wp:wrapPolygon edited="0">
                <wp:start x="0" y="0"/>
                <wp:lineTo x="0" y="21264"/>
                <wp:lineTo x="21440" y="21264"/>
                <wp:lineTo x="21440" y="0"/>
                <wp:lineTo x="0" y="0"/>
              </wp:wrapPolygon>
            </wp:wrapTight>
            <wp:docPr id="91233598" name="Picture 3" descr="Math Bingo Sheets Prin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h Bingo Sheets Printabl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99030" cy="14706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0496" behindDoc="1" locked="0" layoutInCell="1" allowOverlap="1" wp14:anchorId="5C7E9F35" wp14:editId="00AEAC25">
                <wp:simplePos x="0" y="0"/>
                <wp:positionH relativeFrom="page">
                  <wp:align>right</wp:align>
                </wp:positionH>
                <wp:positionV relativeFrom="paragraph">
                  <wp:posOffset>1612256</wp:posOffset>
                </wp:positionV>
                <wp:extent cx="2654935" cy="635"/>
                <wp:effectExtent l="0" t="0" r="0" b="3175"/>
                <wp:wrapTight wrapText="bothSides">
                  <wp:wrapPolygon edited="0">
                    <wp:start x="0" y="0"/>
                    <wp:lineTo x="0" y="20079"/>
                    <wp:lineTo x="21388" y="20079"/>
                    <wp:lineTo x="21388" y="0"/>
                    <wp:lineTo x="0" y="0"/>
                  </wp:wrapPolygon>
                </wp:wrapTight>
                <wp:docPr id="724123103" name="Text Box 1"/>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526CBA13" w14:textId="77777777" w:rsidR="00F10110" w:rsidRPr="00DC79C4" w:rsidRDefault="00F10110" w:rsidP="00F10110">
                            <w:pPr>
                              <w:pStyle w:val="Caption"/>
                              <w:rPr>
                                <w:noProof/>
                                <w:sz w:val="21"/>
                                <w:szCs w:val="21"/>
                              </w:rPr>
                            </w:pPr>
                            <w:r>
                              <w:t>Figure 5 SumDog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E9F35" id="_x0000_s1033" type="#_x0000_t202" style="position:absolute;left:0;text-align:left;margin-left:157.85pt;margin-top:126.95pt;width:209.05pt;height:.05pt;z-index:-25162598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2DBGgIAAD8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" stroked="f">
                <v:textbox style="mso-fit-shape-to-text:t" inset="0,0,0,0">
                  <w:txbxContent>
                    <w:p w14:paraId="526CBA13" w14:textId="77777777" w:rsidR="00F10110" w:rsidRPr="00DC79C4" w:rsidRDefault="00F10110" w:rsidP="00F10110">
                      <w:pPr>
                        <w:pStyle w:val="Caption"/>
                        <w:rPr>
                          <w:noProof/>
                          <w:sz w:val="21"/>
                          <w:szCs w:val="21"/>
                        </w:rPr>
                      </w:pPr>
                      <w:r>
                        <w:t>Figure 5 SumDog (2025)</w:t>
                      </w:r>
                    </w:p>
                  </w:txbxContent>
                </v:textbox>
                <w10:wrap type="tight" anchorx="page"/>
              </v:shape>
            </w:pict>
          </mc:Fallback>
        </mc:AlternateContent>
      </w:r>
      <w:r w:rsidRPr="002429F6">
        <w:rPr>
          <w:rFonts w:cs="Times New Roman"/>
          <w:sz w:val="28"/>
          <w:szCs w:val="28"/>
        </w:rPr>
        <w:t xml:space="preserve">Maths games in the classroom aren’t just a sneaky way to get children to practice their numbers, they are a survival tool for teachers who want to keep their sanity while boosting student engagement. Research by Russo &amp; Bragg (2021) shows that games can transform Maths from a dreaded chore into something children enjoy (yes! really). Digital platforms like SumDog adjust to students’ levels, making them feel like maths wizards, while classics like Maths bingo turns multiplication into a high-stakes event. Plus, </w:t>
      </w:r>
      <w:r w:rsidRPr="002429F6">
        <w:rPr>
          <w:rFonts w:cs="Times New Roman"/>
          <w:sz w:val="28"/>
          <w:szCs w:val="28"/>
        </w:rPr>
        <w:lastRenderedPageBreak/>
        <w:t>culturally relevant games</w:t>
      </w:r>
      <w:r>
        <w:rPr>
          <w:rFonts w:cs="Times New Roman"/>
          <w:sz w:val="28"/>
          <w:szCs w:val="28"/>
        </w:rPr>
        <w:t xml:space="preserve"> such as Pop to the Shops</w:t>
      </w:r>
      <w:r w:rsidRPr="002429F6">
        <w:rPr>
          <w:rFonts w:cs="Times New Roman"/>
          <w:sz w:val="28"/>
          <w:szCs w:val="28"/>
        </w:rPr>
        <w:t xml:space="preserve"> help students see Maths in the real world, whether it’s budgeting for snacks or figuring out if they have enough pocket money to buy the latest gadget. And let’s not forget our youngest learners, who thrive on playful Maths activities-because nothing says “fun” like sneaking in some learning while they think they’re just playing.</w:t>
      </w:r>
    </w:p>
    <w:p w14:paraId="24125C84" w14:textId="59BB47A6" w:rsidR="00F10110" w:rsidRPr="00371811" w:rsidRDefault="00F10110" w:rsidP="00F10110">
      <w:pPr>
        <w:spacing w:line="360" w:lineRule="auto"/>
        <w:jc w:val="center"/>
        <w:rPr>
          <w:rFonts w:cs="Times New Roman"/>
          <w:color w:val="0070C0"/>
          <w:sz w:val="36"/>
          <w:szCs w:val="36"/>
          <w:u w:val="single"/>
        </w:rPr>
      </w:pPr>
      <w:r w:rsidRPr="00371811">
        <w:rPr>
          <w:rFonts w:cs="Times New Roman"/>
          <w:color w:val="0070C0"/>
          <w:sz w:val="36"/>
          <w:szCs w:val="36"/>
          <w:u w:val="single"/>
        </w:rPr>
        <w:t>Visual Aids: Picture This</w:t>
      </w:r>
    </w:p>
    <w:p w14:paraId="6F73F79C" w14:textId="7EC822AB" w:rsidR="00F10110" w:rsidRPr="00313566" w:rsidRDefault="00F10110" w:rsidP="00F10110">
      <w:pPr>
        <w:spacing w:line="360" w:lineRule="auto"/>
        <w:jc w:val="both"/>
        <w:rPr>
          <w:rFonts w:ascii="Times New Roman" w:hAnsi="Times New Roman" w:cs="Times New Roman"/>
        </w:rPr>
      </w:pPr>
    </w:p>
    <w:p w14:paraId="4EEF1CB3" w14:textId="21CBE1D9" w:rsidR="00F10110" w:rsidRPr="005B0A9F" w:rsidRDefault="00917B03" w:rsidP="00F10110">
      <w:pPr>
        <w:spacing w:line="360" w:lineRule="auto"/>
        <w:rPr>
          <w:rFonts w:cs="Times New Roman"/>
          <w:sz w:val="28"/>
          <w:szCs w:val="28"/>
        </w:rPr>
      </w:pPr>
      <w:r>
        <w:rPr>
          <w:noProof/>
        </w:rPr>
        <mc:AlternateContent>
          <mc:Choice Requires="wps">
            <w:drawing>
              <wp:anchor distT="0" distB="0" distL="114300" distR="114300" simplePos="0" relativeHeight="251697664" behindDoc="1" locked="0" layoutInCell="1" allowOverlap="1" wp14:anchorId="0517D218" wp14:editId="45F6F2C9">
                <wp:simplePos x="0" y="0"/>
                <wp:positionH relativeFrom="margin">
                  <wp:posOffset>2121544</wp:posOffset>
                </wp:positionH>
                <wp:positionV relativeFrom="paragraph">
                  <wp:posOffset>737977</wp:posOffset>
                </wp:positionV>
                <wp:extent cx="3087370" cy="237490"/>
                <wp:effectExtent l="0" t="0" r="0" b="0"/>
                <wp:wrapTight wrapText="bothSides">
                  <wp:wrapPolygon edited="0">
                    <wp:start x="0" y="0"/>
                    <wp:lineTo x="0" y="19059"/>
                    <wp:lineTo x="21458" y="19059"/>
                    <wp:lineTo x="21458" y="0"/>
                    <wp:lineTo x="0" y="0"/>
                  </wp:wrapPolygon>
                </wp:wrapTight>
                <wp:docPr id="1984609224" name="Text Box 1"/>
                <wp:cNvGraphicFramePr/>
                <a:graphic xmlns:a="http://schemas.openxmlformats.org/drawingml/2006/main">
                  <a:graphicData uri="http://schemas.microsoft.com/office/word/2010/wordprocessingShape">
                    <wps:wsp>
                      <wps:cNvSpPr txBox="1"/>
                      <wps:spPr>
                        <a:xfrm>
                          <a:off x="0" y="0"/>
                          <a:ext cx="3087370" cy="237490"/>
                        </a:xfrm>
                        <a:prstGeom prst="rect">
                          <a:avLst/>
                        </a:prstGeom>
                        <a:solidFill>
                          <a:prstClr val="white"/>
                        </a:solidFill>
                        <a:ln>
                          <a:noFill/>
                        </a:ln>
                      </wps:spPr>
                      <wps:txbx>
                        <w:txbxContent>
                          <w:p w14:paraId="1A756A65" w14:textId="77777777" w:rsidR="00F10110" w:rsidRPr="00684B6A" w:rsidRDefault="00F10110" w:rsidP="00F10110">
                            <w:pPr>
                              <w:pStyle w:val="Caption"/>
                              <w:rPr>
                                <w:noProof/>
                                <w:kern w:val="0"/>
                                <w:sz w:val="21"/>
                                <w:szCs w:val="21"/>
                                <w14:ligatures w14:val="none"/>
                              </w:rPr>
                            </w:pPr>
                            <w:r>
                              <w:t>Figure 8 Number line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7D218" id="_x0000_s1034" type="#_x0000_t202" style="position:absolute;margin-left:167.05pt;margin-top:58.1pt;width:243.1pt;height:18.7pt;z-index:-25161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" stroked="f">
                <v:textbox inset="0,0,0,0">
                  <w:txbxContent>
                    <w:p w14:paraId="1A756A65" w14:textId="77777777" w:rsidR="00F10110" w:rsidRPr="00684B6A" w:rsidRDefault="00F10110" w:rsidP="00F10110">
                      <w:pPr>
                        <w:pStyle w:val="Caption"/>
                        <w:rPr>
                          <w:noProof/>
                          <w:kern w:val="0"/>
                          <w:sz w:val="21"/>
                          <w:szCs w:val="21"/>
                          <w14:ligatures w14:val="none"/>
                        </w:rPr>
                      </w:pPr>
                      <w:r>
                        <w:t>Figure 8 Number line (No Date)</w:t>
                      </w:r>
                    </w:p>
                  </w:txbxContent>
                </v:textbox>
                <w10:wrap type="tight" anchorx="margin"/>
              </v:shape>
            </w:pict>
          </mc:Fallback>
        </mc:AlternateContent>
      </w:r>
      <w:r>
        <w:rPr>
          <w:noProof/>
        </w:rPr>
        <w:drawing>
          <wp:anchor distT="0" distB="0" distL="114300" distR="114300" simplePos="0" relativeHeight="251696640" behindDoc="1" locked="0" layoutInCell="1" allowOverlap="1" wp14:anchorId="1CFD90BE" wp14:editId="5B2678F6">
            <wp:simplePos x="0" y="0"/>
            <wp:positionH relativeFrom="page">
              <wp:posOffset>2768864</wp:posOffset>
            </wp:positionH>
            <wp:positionV relativeFrom="paragraph">
              <wp:posOffset>20345</wp:posOffset>
            </wp:positionV>
            <wp:extent cx="4013835" cy="715010"/>
            <wp:effectExtent l="0" t="0" r="5715" b="8890"/>
            <wp:wrapTight wrapText="bothSides">
              <wp:wrapPolygon edited="0">
                <wp:start x="0" y="0"/>
                <wp:lineTo x="0" y="21293"/>
                <wp:lineTo x="21528" y="21293"/>
                <wp:lineTo x="21528" y="0"/>
                <wp:lineTo x="0" y="0"/>
              </wp:wrapPolygon>
            </wp:wrapTight>
            <wp:docPr id="423230126" name="Picture 8" descr="Number Line 0 to 20 within Guide Lines (0-20 numberline) - Printa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mber Line 0 to 20 within Guide Lines (0-20 numberline) - Printable ..."/>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74819"/>
                    <a:stretch/>
                  </pic:blipFill>
                  <pic:spPr bwMode="auto">
                    <a:xfrm>
                      <a:off x="0" y="0"/>
                      <a:ext cx="4013835" cy="7150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9712" behindDoc="1" locked="0" layoutInCell="1" allowOverlap="1" wp14:anchorId="29140CFD" wp14:editId="4DECABE2">
                <wp:simplePos x="0" y="0"/>
                <wp:positionH relativeFrom="column">
                  <wp:posOffset>-82567</wp:posOffset>
                </wp:positionH>
                <wp:positionV relativeFrom="paragraph">
                  <wp:posOffset>3214238</wp:posOffset>
                </wp:positionV>
                <wp:extent cx="2262505" cy="635"/>
                <wp:effectExtent l="0" t="0" r="0" b="0"/>
                <wp:wrapTight wrapText="bothSides">
                  <wp:wrapPolygon edited="0">
                    <wp:start x="0" y="0"/>
                    <wp:lineTo x="0" y="21600"/>
                    <wp:lineTo x="21600" y="21600"/>
                    <wp:lineTo x="21600" y="0"/>
                  </wp:wrapPolygon>
                </wp:wrapTight>
                <wp:docPr id="1411039014" name="Text Box 1"/>
                <wp:cNvGraphicFramePr/>
                <a:graphic xmlns:a="http://schemas.openxmlformats.org/drawingml/2006/main">
                  <a:graphicData uri="http://schemas.microsoft.com/office/word/2010/wordprocessingShape">
                    <wps:wsp>
                      <wps:cNvSpPr txBox="1"/>
                      <wps:spPr>
                        <a:xfrm>
                          <a:off x="0" y="0"/>
                          <a:ext cx="2262505" cy="635"/>
                        </a:xfrm>
                        <a:prstGeom prst="rect">
                          <a:avLst/>
                        </a:prstGeom>
                        <a:solidFill>
                          <a:prstClr val="white"/>
                        </a:solidFill>
                        <a:ln>
                          <a:noFill/>
                        </a:ln>
                      </wps:spPr>
                      <wps:txbx>
                        <w:txbxContent>
                          <w:p w14:paraId="487A8DE7" w14:textId="77777777" w:rsidR="00F10110" w:rsidRPr="008B4C7F" w:rsidRDefault="00F10110" w:rsidP="00F10110">
                            <w:pPr>
                              <w:pStyle w:val="Caption"/>
                              <w:rPr>
                                <w:noProof/>
                                <w:kern w:val="0"/>
                                <w:sz w:val="21"/>
                                <w:szCs w:val="21"/>
                                <w14:ligatures w14:val="none"/>
                              </w:rPr>
                            </w:pPr>
                            <w:r>
                              <w:t>Figure 9 Place Value Cards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140CFD" id="_x0000_s1035" type="#_x0000_t202" style="position:absolute;margin-left:-6.5pt;margin-top:253.1pt;width:178.15pt;height:.05pt;z-index:-25161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" stroked="f">
                <v:textbox style="mso-fit-shape-to-text:t" inset="0,0,0,0">
                  <w:txbxContent>
                    <w:p w14:paraId="487A8DE7" w14:textId="77777777" w:rsidR="00F10110" w:rsidRPr="008B4C7F" w:rsidRDefault="00F10110" w:rsidP="00F10110">
                      <w:pPr>
                        <w:pStyle w:val="Caption"/>
                        <w:rPr>
                          <w:noProof/>
                          <w:kern w:val="0"/>
                          <w:sz w:val="21"/>
                          <w:szCs w:val="21"/>
                          <w14:ligatures w14:val="none"/>
                        </w:rPr>
                      </w:pPr>
                      <w:r>
                        <w:t>Figure 9 Place Value Cards (No Date)</w:t>
                      </w:r>
                    </w:p>
                  </w:txbxContent>
                </v:textbox>
                <w10:wrap type="tight"/>
              </v:shape>
            </w:pict>
          </mc:Fallback>
        </mc:AlternateContent>
      </w:r>
      <w:r w:rsidR="00F10110">
        <w:rPr>
          <w:noProof/>
        </w:rPr>
        <w:drawing>
          <wp:anchor distT="0" distB="0" distL="114300" distR="114300" simplePos="0" relativeHeight="251698688" behindDoc="1" locked="0" layoutInCell="1" allowOverlap="1" wp14:anchorId="462CD0C6" wp14:editId="4FAA8112">
            <wp:simplePos x="0" y="0"/>
            <wp:positionH relativeFrom="page">
              <wp:posOffset>748145</wp:posOffset>
            </wp:positionH>
            <wp:positionV relativeFrom="paragraph">
              <wp:posOffset>1899153</wp:posOffset>
            </wp:positionV>
            <wp:extent cx="2262505" cy="1448435"/>
            <wp:effectExtent l="0" t="0" r="4445" b="0"/>
            <wp:wrapTight wrapText="bothSides">
              <wp:wrapPolygon edited="0">
                <wp:start x="0" y="0"/>
                <wp:lineTo x="0" y="21306"/>
                <wp:lineTo x="21461" y="21306"/>
                <wp:lineTo x="21461" y="0"/>
                <wp:lineTo x="0" y="0"/>
              </wp:wrapPolygon>
            </wp:wrapTight>
            <wp:docPr id="937929949" name="Picture 9" descr="Place Value Chart Millions To Thousand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ce Value Chart Millions To Thousandth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17007"/>
                    <a:stretch/>
                  </pic:blipFill>
                  <pic:spPr bwMode="auto">
                    <a:xfrm>
                      <a:off x="0" y="0"/>
                      <a:ext cx="2262505" cy="14484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10110" w:rsidRPr="005B0A9F">
        <w:rPr>
          <w:rFonts w:cs="Times New Roman"/>
          <w:sz w:val="28"/>
          <w:szCs w:val="28"/>
        </w:rPr>
        <w:t>Let’s face it-numbers can feel like a foreign language to some students, but visual aids are like the subtitles that make everything click</w:t>
      </w:r>
      <w:r w:rsidR="00F10110">
        <w:rPr>
          <w:rFonts w:cs="Times New Roman"/>
          <w:sz w:val="28"/>
          <w:szCs w:val="28"/>
        </w:rPr>
        <w:t xml:space="preserve"> </w:t>
      </w:r>
      <w:r w:rsidR="00F10110" w:rsidRPr="005B0A9F">
        <w:rPr>
          <w:rFonts w:cs="Times New Roman"/>
          <w:sz w:val="28"/>
          <w:szCs w:val="28"/>
        </w:rPr>
        <w:t>(Available Light Productions,2007</w:t>
      </w:r>
      <w:r w:rsidR="00F10110" w:rsidRPr="00235688">
        <w:rPr>
          <w:rFonts w:ascii="Times New Roman" w:hAnsi="Times New Roman" w:cs="Times New Roman"/>
        </w:rPr>
        <w:t>)</w:t>
      </w:r>
      <w:r w:rsidR="00F10110" w:rsidRPr="005B0A9F">
        <w:rPr>
          <w:rFonts w:cs="Times New Roman"/>
          <w:sz w:val="28"/>
          <w:szCs w:val="28"/>
        </w:rPr>
        <w:t>. A simple number line can stop children from guessing their way through addition and subtraction, while ten frames and place value charts help them realize numbers aren’t just some random squiggles. Manipulatives like counters and base-ten blocks let students’ “see” maths in action, and graphic tools turn dull data into colourful, digestible visuals</w:t>
      </w:r>
      <w:r w:rsidR="00F10110">
        <w:rPr>
          <w:rFonts w:cs="Times New Roman"/>
          <w:sz w:val="28"/>
          <w:szCs w:val="28"/>
        </w:rPr>
        <w:t xml:space="preserve"> </w:t>
      </w:r>
      <w:r w:rsidR="00F10110" w:rsidRPr="00F92956">
        <w:rPr>
          <w:rFonts w:cs="Times New Roman"/>
          <w:sz w:val="28"/>
          <w:szCs w:val="28"/>
        </w:rPr>
        <w:t>(Colango, 2024).</w:t>
      </w:r>
      <w:r w:rsidR="00F10110" w:rsidRPr="005B0A9F">
        <w:rPr>
          <w:rFonts w:cs="Times New Roman"/>
          <w:sz w:val="28"/>
          <w:szCs w:val="28"/>
        </w:rPr>
        <w:t xml:space="preserve"> For the tech-savvy crowd, interactive whiteboards and digital apps make learning feel like less work and more like a game. And let’s not forget real world visuals – money, clocks and even maps can show </w:t>
      </w:r>
      <w:r w:rsidR="00F10110">
        <w:rPr>
          <w:rFonts w:cs="Times New Roman"/>
          <w:sz w:val="28"/>
          <w:szCs w:val="28"/>
        </w:rPr>
        <w:t>children</w:t>
      </w:r>
      <w:r w:rsidR="00F10110" w:rsidRPr="005B0A9F">
        <w:rPr>
          <w:rFonts w:cs="Times New Roman"/>
          <w:sz w:val="28"/>
          <w:szCs w:val="28"/>
        </w:rPr>
        <w:t xml:space="preserve"> that maths isn’t just for school, </w:t>
      </w:r>
      <w:r w:rsidR="00F10110">
        <w:rPr>
          <w:rFonts w:cs="Times New Roman"/>
          <w:sz w:val="28"/>
          <w:szCs w:val="28"/>
        </w:rPr>
        <w:t>it’s</w:t>
      </w:r>
      <w:r w:rsidR="00F10110" w:rsidRPr="005B0A9F">
        <w:rPr>
          <w:rFonts w:cs="Times New Roman"/>
          <w:sz w:val="28"/>
          <w:szCs w:val="28"/>
        </w:rPr>
        <w:t xml:space="preserve"> how the world runs, because sometimes seeing is believing. </w:t>
      </w:r>
    </w:p>
    <w:p w14:paraId="3C810D6F" w14:textId="77777777" w:rsidR="00F10110" w:rsidRPr="00673077" w:rsidRDefault="00F10110" w:rsidP="00F10110">
      <w:pPr>
        <w:spacing w:line="360" w:lineRule="auto"/>
        <w:jc w:val="center"/>
        <w:rPr>
          <w:rFonts w:cs="Times New Roman"/>
          <w:color w:val="0070C0"/>
          <w:sz w:val="32"/>
          <w:szCs w:val="32"/>
          <w:u w:val="single"/>
        </w:rPr>
      </w:pPr>
      <w:r w:rsidRPr="00673077">
        <w:rPr>
          <w:rFonts w:cs="Times New Roman"/>
          <w:color w:val="0070C0"/>
          <w:sz w:val="32"/>
          <w:szCs w:val="32"/>
          <w:u w:val="single"/>
        </w:rPr>
        <w:t>Parental Engagement: Math Beyond the Classroom</w:t>
      </w:r>
    </w:p>
    <w:p w14:paraId="3DED20C8" w14:textId="110B1063" w:rsidR="00F10110" w:rsidRPr="00ED0DC4" w:rsidRDefault="00F10110" w:rsidP="00F10110">
      <w:pPr>
        <w:spacing w:line="360" w:lineRule="auto"/>
        <w:jc w:val="both"/>
        <w:rPr>
          <w:rFonts w:cs="Times New Roman"/>
          <w:sz w:val="28"/>
          <w:szCs w:val="28"/>
        </w:rPr>
      </w:pPr>
      <w:r w:rsidRPr="00ED0DC4">
        <w:rPr>
          <w:rFonts w:cs="Times New Roman"/>
          <w:sz w:val="28"/>
          <w:szCs w:val="28"/>
        </w:rPr>
        <w:lastRenderedPageBreak/>
        <w:t>Nothing sharpens</w:t>
      </w:r>
      <w:r>
        <w:rPr>
          <w:rFonts w:cs="Times New Roman"/>
          <w:sz w:val="28"/>
          <w:szCs w:val="28"/>
        </w:rPr>
        <w:t xml:space="preserve"> a</w:t>
      </w:r>
      <w:r w:rsidRPr="00ED0DC4">
        <w:rPr>
          <w:rFonts w:cs="Times New Roman"/>
          <w:sz w:val="28"/>
          <w:szCs w:val="28"/>
        </w:rPr>
        <w:t xml:space="preserve"> child’s numeracy skill quite like a parent who suddenly realizes they have no idea how to explain long division. Parental engagement is key-whether it’s through helping with homework, counting change at the shop, or frantically goggling “what even is a denominator?”. When parents </w:t>
      </w:r>
      <w:r>
        <w:rPr>
          <w:noProof/>
        </w:rPr>
        <mc:AlternateContent>
          <mc:Choice Requires="wps">
            <w:drawing>
              <wp:anchor distT="0" distB="0" distL="114300" distR="114300" simplePos="0" relativeHeight="251702784" behindDoc="1" locked="0" layoutInCell="1" allowOverlap="1" wp14:anchorId="4D0F811B" wp14:editId="66D8CA97">
                <wp:simplePos x="0" y="0"/>
                <wp:positionH relativeFrom="column">
                  <wp:posOffset>2681605</wp:posOffset>
                </wp:positionH>
                <wp:positionV relativeFrom="paragraph">
                  <wp:posOffset>2098040</wp:posOffset>
                </wp:positionV>
                <wp:extent cx="3049905" cy="635"/>
                <wp:effectExtent l="0" t="0" r="0" b="0"/>
                <wp:wrapTight wrapText="bothSides">
                  <wp:wrapPolygon edited="0">
                    <wp:start x="0" y="0"/>
                    <wp:lineTo x="0" y="21600"/>
                    <wp:lineTo x="21600" y="21600"/>
                    <wp:lineTo x="21600" y="0"/>
                  </wp:wrapPolygon>
                </wp:wrapTight>
                <wp:docPr id="951199027" name="Text Box 1"/>
                <wp:cNvGraphicFramePr/>
                <a:graphic xmlns:a="http://schemas.openxmlformats.org/drawingml/2006/main">
                  <a:graphicData uri="http://schemas.microsoft.com/office/word/2010/wordprocessingShape">
                    <wps:wsp>
                      <wps:cNvSpPr txBox="1"/>
                      <wps:spPr>
                        <a:xfrm>
                          <a:off x="0" y="0"/>
                          <a:ext cx="3049905" cy="635"/>
                        </a:xfrm>
                        <a:prstGeom prst="rect">
                          <a:avLst/>
                        </a:prstGeom>
                        <a:solidFill>
                          <a:prstClr val="white"/>
                        </a:solidFill>
                        <a:ln>
                          <a:noFill/>
                        </a:ln>
                      </wps:spPr>
                      <wps:txbx>
                        <w:txbxContent>
                          <w:p w14:paraId="2012F08E" w14:textId="77777777" w:rsidR="00F10110" w:rsidRPr="00546D32" w:rsidRDefault="00F10110" w:rsidP="00F10110">
                            <w:pPr>
                              <w:pStyle w:val="Caption"/>
                              <w:rPr>
                                <w:rFonts w:cs="Times New Roman"/>
                                <w:kern w:val="0"/>
                                <w:sz w:val="28"/>
                                <w:szCs w:val="28"/>
                                <w14:ligatures w14:val="none"/>
                              </w:rPr>
                            </w:pPr>
                            <w:r>
                              <w:t>Figure 10 Child paying for Groceries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0F811B" id="_x0000_s1036" type="#_x0000_t202" style="position:absolute;left:0;text-align:left;margin-left:211.15pt;margin-top:165.2pt;width:240.15pt;height:.05pt;z-index:-25161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" stroked="f">
                <v:textbox style="mso-fit-shape-to-text:t" inset="0,0,0,0">
                  <w:txbxContent>
                    <w:p w14:paraId="2012F08E" w14:textId="77777777" w:rsidR="00F10110" w:rsidRPr="00546D32" w:rsidRDefault="00F10110" w:rsidP="00F10110">
                      <w:pPr>
                        <w:pStyle w:val="Caption"/>
                        <w:rPr>
                          <w:rFonts w:cs="Times New Roman"/>
                          <w:kern w:val="0"/>
                          <w:sz w:val="28"/>
                          <w:szCs w:val="28"/>
                          <w14:ligatures w14:val="none"/>
                        </w:rPr>
                      </w:pPr>
                      <w:r>
                        <w:t>Figure 10 Child paying for Groceries (2021)</w:t>
                      </w:r>
                    </w:p>
                  </w:txbxContent>
                </v:textbox>
                <w10:wrap type="tight"/>
              </v:shape>
            </w:pict>
          </mc:Fallback>
        </mc:AlternateContent>
      </w:r>
      <w:r>
        <w:rPr>
          <w:noProof/>
        </w:rPr>
        <w:drawing>
          <wp:anchor distT="0" distB="0" distL="114300" distR="114300" simplePos="0" relativeHeight="251701760" behindDoc="1" locked="0" layoutInCell="1" allowOverlap="1" wp14:anchorId="25E0DE45" wp14:editId="3EBBC79F">
            <wp:simplePos x="0" y="0"/>
            <wp:positionH relativeFrom="margin">
              <wp:align>right</wp:align>
            </wp:positionH>
            <wp:positionV relativeFrom="paragraph">
              <wp:posOffset>11282</wp:posOffset>
            </wp:positionV>
            <wp:extent cx="3049905" cy="2030095"/>
            <wp:effectExtent l="0" t="0" r="0" b="8255"/>
            <wp:wrapTight wrapText="bothSides">
              <wp:wrapPolygon edited="0">
                <wp:start x="0" y="0"/>
                <wp:lineTo x="0" y="21485"/>
                <wp:lineTo x="21452" y="21485"/>
                <wp:lineTo x="21452" y="0"/>
                <wp:lineTo x="0" y="0"/>
              </wp:wrapPolygon>
            </wp:wrapTight>
            <wp:docPr id="902728428" name="Picture 10" descr="Kids Paying For Groc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ds Paying For Groceri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49905" cy="203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D0DC4">
        <w:rPr>
          <w:rFonts w:cs="Times New Roman"/>
          <w:sz w:val="28"/>
          <w:szCs w:val="28"/>
        </w:rPr>
        <w:t>get involved children see Maths in real life, making numbers less intimidating and more practical</w:t>
      </w:r>
      <w:r>
        <w:rPr>
          <w:rFonts w:cs="Times New Roman"/>
          <w:sz w:val="28"/>
          <w:szCs w:val="28"/>
        </w:rPr>
        <w:t xml:space="preserve"> </w:t>
      </w:r>
      <w:r w:rsidRPr="00653D92">
        <w:rPr>
          <w:rFonts w:cs="Times New Roman"/>
          <w:sz w:val="28"/>
          <w:szCs w:val="28"/>
        </w:rPr>
        <w:t>(Elliott, et, al 2021).</w:t>
      </w:r>
      <w:r w:rsidRPr="00ED0DC4">
        <w:rPr>
          <w:rFonts w:cs="Times New Roman"/>
          <w:sz w:val="28"/>
          <w:szCs w:val="28"/>
        </w:rPr>
        <w:t xml:space="preserve"> Plus, nothing motivates a student more than proving their parents wrong about a maths problem. Research from the Education Endowment Foundation (</w:t>
      </w:r>
      <w:r>
        <w:rPr>
          <w:rFonts w:cs="Times New Roman"/>
          <w:sz w:val="28"/>
          <w:szCs w:val="28"/>
        </w:rPr>
        <w:t>2021</w:t>
      </w:r>
      <w:r w:rsidRPr="00ED0DC4">
        <w:rPr>
          <w:rFonts w:cs="Times New Roman"/>
          <w:sz w:val="28"/>
          <w:szCs w:val="28"/>
        </w:rPr>
        <w:t>) indicates that parental engagement can lead to an additional four months’ progress in a child’s learning over a year. Similarly, National Numeracy (</w:t>
      </w:r>
      <w:r>
        <w:rPr>
          <w:rFonts w:cs="Times New Roman"/>
          <w:sz w:val="28"/>
          <w:szCs w:val="28"/>
        </w:rPr>
        <w:t>No Date</w:t>
      </w:r>
      <w:r w:rsidRPr="00ED0DC4">
        <w:rPr>
          <w:rFonts w:cs="Times New Roman"/>
          <w:sz w:val="28"/>
          <w:szCs w:val="28"/>
        </w:rPr>
        <w:t>) highlights that children are more motivated to learn about maths when their parents discuss numeracy in everyday life. So, even if parents are brushing up on their own maths skills, their involvement can significantly boost their children’s numeracy development.</w:t>
      </w:r>
    </w:p>
    <w:p w14:paraId="4A4FFF52" w14:textId="44A172DA" w:rsidR="00F10110" w:rsidRDefault="00F10110" w:rsidP="00F10110">
      <w:pPr>
        <w:spacing w:line="360" w:lineRule="auto"/>
        <w:jc w:val="center"/>
        <w:rPr>
          <w:rFonts w:cs="Times New Roman"/>
          <w:color w:val="0070C0"/>
          <w:sz w:val="32"/>
          <w:szCs w:val="32"/>
          <w:u w:val="single"/>
        </w:rPr>
      </w:pPr>
      <w:r w:rsidRPr="00F57B46">
        <w:rPr>
          <w:rFonts w:cs="Times New Roman"/>
          <w:color w:val="0070C0"/>
          <w:sz w:val="32"/>
          <w:szCs w:val="32"/>
          <w:u w:val="single"/>
        </w:rPr>
        <w:t>Celebrate Mistakes: The "Aha!" Moments</w:t>
      </w:r>
    </w:p>
    <w:p w14:paraId="7A02DC81" w14:textId="125FCEF8" w:rsidR="00F10110" w:rsidRPr="00F57B46" w:rsidRDefault="00F10110" w:rsidP="00F10110">
      <w:pPr>
        <w:spacing w:line="360" w:lineRule="auto"/>
        <w:rPr>
          <w:rFonts w:cs="Times New Roman"/>
          <w:sz w:val="28"/>
          <w:szCs w:val="28"/>
        </w:rPr>
      </w:pPr>
      <w:r>
        <w:rPr>
          <w:rFonts w:cs="Times New Roman"/>
          <w:sz w:val="28"/>
          <w:szCs w:val="28"/>
        </w:rPr>
        <w:t xml:space="preserve">Making mistakes in maths is like tripping over your own shoelaces, embarrassing at first, but ultimately a great way to learn. Carol Dweck, the queen of the growth mindset (Dweck, 2016), reminds us that every misstep is just a stepping stone to getting better. A recent study by the British </w:t>
      </w:r>
      <w:r>
        <w:rPr>
          <w:noProof/>
        </w:rPr>
        <w:lastRenderedPageBreak/>
        <w:drawing>
          <wp:anchor distT="0" distB="0" distL="114300" distR="114300" simplePos="0" relativeHeight="251704832" behindDoc="1" locked="0" layoutInCell="1" allowOverlap="1" wp14:anchorId="460D19CF" wp14:editId="7034FAD9">
            <wp:simplePos x="0" y="0"/>
            <wp:positionH relativeFrom="column">
              <wp:posOffset>0</wp:posOffset>
            </wp:positionH>
            <wp:positionV relativeFrom="paragraph">
              <wp:posOffset>1086485</wp:posOffset>
            </wp:positionV>
            <wp:extent cx="1859915" cy="1804670"/>
            <wp:effectExtent l="0" t="0" r="6985" b="5080"/>
            <wp:wrapTight wrapText="bothSides">
              <wp:wrapPolygon edited="0">
                <wp:start x="0" y="0"/>
                <wp:lineTo x="0" y="21433"/>
                <wp:lineTo x="21460" y="21433"/>
                <wp:lineTo x="21460" y="0"/>
                <wp:lineTo x="0" y="0"/>
              </wp:wrapPolygon>
            </wp:wrapTight>
            <wp:docPr id="1745076705" name="Picture 11" descr="Growth Mindse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owth Mindset Logo"/>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1966" t="7761" r="22285" b="11205"/>
                    <a:stretch/>
                  </pic:blipFill>
                  <pic:spPr bwMode="auto">
                    <a:xfrm>
                      <a:off x="0" y="0"/>
                      <a:ext cx="1859915" cy="1804670"/>
                    </a:xfrm>
                    <a:prstGeom prst="rect">
                      <a:avLst/>
                    </a:prstGeom>
                    <a:noFill/>
                    <a:ln>
                      <a:noFill/>
                    </a:ln>
                    <a:extLst>
                      <a:ext uri="{53640926-AAD7-44D8-BBD7-CCE9431645EC}">
                        <a14:shadowObscured xmlns:a14="http://schemas.microsoft.com/office/drawing/2010/main"/>
                      </a:ext>
                    </a:extLst>
                  </pic:spPr>
                </pic:pic>
              </a:graphicData>
            </a:graphic>
          </wp:anchor>
        </w:drawing>
      </w:r>
      <w:r>
        <w:rPr>
          <w:rFonts w:cs="Times New Roman"/>
          <w:sz w:val="28"/>
          <w:szCs w:val="28"/>
        </w:rPr>
        <w:t xml:space="preserve">Journal of Education (2024) backed this up, highlighting the importance of a classroom environment where mistakes are viewed constructively. Showing that students who see mistakes as learning opportunities (rather than apocalyptic disasters) develop stronger numeracy skills overtime. So instead of cringing at a wrong answer, we should throw it a mini celebration, confetti, tint trumpet, the works. After all, even Einstein got things wrong…and he </w:t>
      </w:r>
      <w:r>
        <w:rPr>
          <w:noProof/>
        </w:rPr>
        <mc:AlternateContent>
          <mc:Choice Requires="wps">
            <w:drawing>
              <wp:anchor distT="0" distB="0" distL="114300" distR="114300" simplePos="0" relativeHeight="251705856" behindDoc="1" locked="0" layoutInCell="1" allowOverlap="1" wp14:anchorId="0325BAAC" wp14:editId="0093BD04">
                <wp:simplePos x="0" y="0"/>
                <wp:positionH relativeFrom="margin">
                  <wp:align>left</wp:align>
                </wp:positionH>
                <wp:positionV relativeFrom="paragraph">
                  <wp:posOffset>2896738</wp:posOffset>
                </wp:positionV>
                <wp:extent cx="1847850" cy="635"/>
                <wp:effectExtent l="0" t="0" r="0" b="0"/>
                <wp:wrapTight wrapText="bothSides">
                  <wp:wrapPolygon edited="0">
                    <wp:start x="0" y="0"/>
                    <wp:lineTo x="0" y="20282"/>
                    <wp:lineTo x="21377" y="20282"/>
                    <wp:lineTo x="21377" y="0"/>
                    <wp:lineTo x="0" y="0"/>
                  </wp:wrapPolygon>
                </wp:wrapTight>
                <wp:docPr id="520620494" name="Text Box 1"/>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14:paraId="73B4B2EF" w14:textId="77777777" w:rsidR="00F10110" w:rsidRPr="000211E3" w:rsidRDefault="00F10110" w:rsidP="00F10110">
                            <w:pPr>
                              <w:pStyle w:val="Caption"/>
                              <w:rPr>
                                <w:rFonts w:cs="Times New Roman"/>
                                <w:kern w:val="0"/>
                                <w:sz w:val="28"/>
                                <w:szCs w:val="28"/>
                                <w14:ligatures w14:val="none"/>
                              </w:rPr>
                            </w:pPr>
                            <w:r>
                              <w:t>Figure 11: Growth Mindset logo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25BAAC" id="_x0000_s1037" type="#_x0000_t202" style="position:absolute;margin-left:0;margin-top:228.1pt;width:145.5pt;height:.05pt;z-index:-2516106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" stroked="f">
                <v:textbox style="mso-fit-shape-to-text:t" inset="0,0,0,0">
                  <w:txbxContent>
                    <w:p w14:paraId="73B4B2EF" w14:textId="77777777" w:rsidR="00F10110" w:rsidRPr="000211E3" w:rsidRDefault="00F10110" w:rsidP="00F10110">
                      <w:pPr>
                        <w:pStyle w:val="Caption"/>
                        <w:rPr>
                          <w:rFonts w:cs="Times New Roman"/>
                          <w:kern w:val="0"/>
                          <w:sz w:val="28"/>
                          <w:szCs w:val="28"/>
                          <w14:ligatures w14:val="none"/>
                        </w:rPr>
                      </w:pPr>
                      <w:r>
                        <w:t>Figure 11: Growth Mindset logo (No Date)</w:t>
                      </w:r>
                    </w:p>
                  </w:txbxContent>
                </v:textbox>
                <w10:wrap type="tight" anchorx="margin"/>
              </v:shape>
            </w:pict>
          </mc:Fallback>
        </mc:AlternateContent>
      </w:r>
      <w:r>
        <w:rPr>
          <w:rFonts w:cs="Times New Roman"/>
          <w:sz w:val="28"/>
          <w:szCs w:val="28"/>
        </w:rPr>
        <w:t>turned out just fine.</w:t>
      </w:r>
    </w:p>
    <w:p w14:paraId="5AD23A65" w14:textId="77777777" w:rsidR="00F10110" w:rsidRDefault="00F10110" w:rsidP="00F10110">
      <w:pPr>
        <w:spacing w:line="360" w:lineRule="auto"/>
        <w:jc w:val="both"/>
        <w:rPr>
          <w:rFonts w:ascii="Times New Roman" w:hAnsi="Times New Roman" w:cs="Times New Roman"/>
        </w:rPr>
      </w:pPr>
    </w:p>
    <w:p w14:paraId="4E172682" w14:textId="77777777" w:rsidR="00F10110" w:rsidRPr="00E059A1" w:rsidRDefault="00F10110" w:rsidP="00F10110">
      <w:pPr>
        <w:spacing w:line="360" w:lineRule="auto"/>
        <w:jc w:val="both"/>
        <w:rPr>
          <w:rFonts w:ascii="Times New Roman" w:hAnsi="Times New Roman" w:cs="Times New Roman"/>
        </w:rPr>
      </w:pPr>
      <w:r w:rsidRPr="00F57B46">
        <w:rPr>
          <w:rFonts w:cs="Times New Roman"/>
          <w:sz w:val="28"/>
          <w:szCs w:val="28"/>
        </w:rPr>
        <w:t>In conclusion, improving numeracy in schools doesn't have to be a daunting task. By incorporating humour, interactive activities, and real-world applications, we can make maths an enjoyable and integral part of children’s lives. Remember, as teachers, our enthusiasm and creativity can transform how students perceive and engage with numbers. Happy teaching!</w:t>
      </w:r>
    </w:p>
    <w:p w14:paraId="692D1FB1" w14:textId="77777777" w:rsidR="00F10110" w:rsidRPr="0025174B" w:rsidRDefault="00F10110" w:rsidP="00F10110">
      <w:pPr>
        <w:jc w:val="both"/>
        <w:rPr>
          <w:rFonts w:ascii="Times New Roman" w:hAnsi="Times New Roman" w:cs="Times New Roman"/>
        </w:rPr>
      </w:pPr>
    </w:p>
    <w:p w14:paraId="32141C6F" w14:textId="77777777" w:rsidR="00F10110" w:rsidRPr="00A65950" w:rsidRDefault="00F10110" w:rsidP="00F10110">
      <w:pPr>
        <w:spacing w:line="360" w:lineRule="auto"/>
        <w:rPr>
          <w:rFonts w:cs="Times New Roman"/>
          <w:sz w:val="28"/>
          <w:szCs w:val="28"/>
        </w:rPr>
      </w:pPr>
    </w:p>
    <w:p w14:paraId="6FF572BB" w14:textId="77777777" w:rsidR="00F10110" w:rsidRDefault="00F10110" w:rsidP="00F10110">
      <w:pPr>
        <w:spacing w:line="360" w:lineRule="auto"/>
        <w:rPr>
          <w:rFonts w:ascii="Times New Roman" w:hAnsi="Times New Roman" w:cs="Times New Roman"/>
          <w:sz w:val="24"/>
          <w:szCs w:val="24"/>
          <w:u w:val="single"/>
        </w:rPr>
      </w:pPr>
    </w:p>
    <w:p w14:paraId="364B73AD" w14:textId="77777777" w:rsidR="00F10110" w:rsidRDefault="00F10110" w:rsidP="00F10110">
      <w:pPr>
        <w:spacing w:line="360" w:lineRule="auto"/>
        <w:rPr>
          <w:rFonts w:ascii="Times New Roman" w:hAnsi="Times New Roman" w:cs="Times New Roman"/>
          <w:sz w:val="24"/>
          <w:szCs w:val="24"/>
          <w:u w:val="single"/>
        </w:rPr>
      </w:pPr>
    </w:p>
    <w:p w14:paraId="5A191DE1" w14:textId="77777777" w:rsidR="00F10110" w:rsidRDefault="00F10110" w:rsidP="00F10110">
      <w:pPr>
        <w:spacing w:line="360" w:lineRule="auto"/>
        <w:rPr>
          <w:rFonts w:ascii="Times New Roman" w:hAnsi="Times New Roman" w:cs="Times New Roman"/>
          <w:sz w:val="24"/>
          <w:szCs w:val="24"/>
          <w:u w:val="single"/>
        </w:rPr>
      </w:pPr>
    </w:p>
    <w:p w14:paraId="4FABD1D3" w14:textId="77777777" w:rsidR="00F10110" w:rsidRDefault="00F10110" w:rsidP="00F10110">
      <w:pPr>
        <w:spacing w:line="360" w:lineRule="auto"/>
        <w:rPr>
          <w:rFonts w:ascii="Times New Roman" w:hAnsi="Times New Roman" w:cs="Times New Roman"/>
          <w:sz w:val="24"/>
          <w:szCs w:val="24"/>
          <w:u w:val="single"/>
        </w:rPr>
      </w:pPr>
    </w:p>
    <w:p w14:paraId="6C146FE1" w14:textId="77777777" w:rsidR="00F10110" w:rsidRDefault="00F10110" w:rsidP="00F10110">
      <w:pPr>
        <w:spacing w:line="360" w:lineRule="auto"/>
        <w:rPr>
          <w:rFonts w:ascii="Times New Roman" w:hAnsi="Times New Roman" w:cs="Times New Roman"/>
          <w:sz w:val="24"/>
          <w:szCs w:val="24"/>
          <w:u w:val="single"/>
        </w:rPr>
      </w:pPr>
    </w:p>
    <w:p w14:paraId="2CCA774D" w14:textId="77777777" w:rsidR="00F10110" w:rsidRDefault="00F10110" w:rsidP="00F10110">
      <w:pPr>
        <w:spacing w:line="360" w:lineRule="auto"/>
        <w:rPr>
          <w:rFonts w:ascii="Times New Roman" w:hAnsi="Times New Roman" w:cs="Times New Roman"/>
          <w:sz w:val="24"/>
          <w:szCs w:val="24"/>
          <w:u w:val="single"/>
        </w:rPr>
      </w:pPr>
    </w:p>
    <w:p w14:paraId="7FC300C6" w14:textId="77777777" w:rsidR="00F10110" w:rsidRDefault="00F10110" w:rsidP="00F10110">
      <w:pPr>
        <w:spacing w:line="360" w:lineRule="auto"/>
        <w:rPr>
          <w:rFonts w:ascii="Times New Roman" w:hAnsi="Times New Roman" w:cs="Times New Roman"/>
          <w:sz w:val="24"/>
          <w:szCs w:val="24"/>
          <w:u w:val="single"/>
        </w:rPr>
      </w:pPr>
    </w:p>
    <w:p w14:paraId="15EAA977" w14:textId="77777777" w:rsidR="00F10110" w:rsidRDefault="00F10110" w:rsidP="00F10110">
      <w:pPr>
        <w:spacing w:line="360" w:lineRule="auto"/>
        <w:rPr>
          <w:rFonts w:ascii="Times New Roman" w:hAnsi="Times New Roman" w:cs="Times New Roman"/>
          <w:sz w:val="24"/>
          <w:szCs w:val="24"/>
          <w:u w:val="single"/>
        </w:rPr>
      </w:pPr>
    </w:p>
    <w:p w14:paraId="5CC90DD9" w14:textId="7701AA2E" w:rsidR="00F10110" w:rsidRPr="00F10110" w:rsidRDefault="00F10110" w:rsidP="00F10110">
      <w:pPr>
        <w:spacing w:line="360" w:lineRule="auto"/>
        <w:rPr>
          <w:rFonts w:ascii="Times New Roman" w:hAnsi="Times New Roman" w:cs="Times New Roman"/>
          <w:sz w:val="24"/>
          <w:szCs w:val="24"/>
          <w:u w:val="single"/>
        </w:rPr>
      </w:pPr>
      <w:r w:rsidRPr="00F10110">
        <w:rPr>
          <w:rFonts w:ascii="Times New Roman" w:hAnsi="Times New Roman" w:cs="Times New Roman"/>
          <w:sz w:val="24"/>
          <w:szCs w:val="24"/>
          <w:u w:val="single"/>
        </w:rPr>
        <w:lastRenderedPageBreak/>
        <w:t>Reference List</w:t>
      </w:r>
    </w:p>
    <w:p w14:paraId="5A2864BC"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Aulina, C. N., Masitoh, S. and Arianto, F. (2024) “Whole Brain Teaching and Multi-Sensory Environments on Cognitive Science Development: Moderated by Children’s Learning Preferences”, Available at: </w:t>
      </w:r>
      <w:hyperlink r:id="rId31" w:history="1">
        <w:r w:rsidRPr="00F10110">
          <w:rPr>
            <w:rStyle w:val="Hyperlink"/>
            <w:rFonts w:ascii="Times New Roman" w:hAnsi="Times New Roman" w:cs="Times New Roman"/>
            <w:sz w:val="24"/>
            <w:szCs w:val="24"/>
          </w:rPr>
          <w:t>https://journal.ia-education.com/index.php/ijor /article/view/624</w:t>
        </w:r>
      </w:hyperlink>
      <w:r w:rsidRPr="00F10110">
        <w:rPr>
          <w:rFonts w:ascii="Times New Roman" w:hAnsi="Times New Roman" w:cs="Times New Roman"/>
          <w:sz w:val="24"/>
          <w:szCs w:val="24"/>
        </w:rPr>
        <w:t xml:space="preserve"> (accessed 17th February 2025) </w:t>
      </w:r>
    </w:p>
    <w:p w14:paraId="5AAD69A5" w14:textId="77777777" w:rsidR="00F10110" w:rsidRPr="00F10110" w:rsidRDefault="00F10110" w:rsidP="00F10110">
      <w:pPr>
        <w:spacing w:line="360" w:lineRule="auto"/>
        <w:rPr>
          <w:rFonts w:ascii="Times New Roman" w:hAnsi="Times New Roman" w:cs="Times New Roman"/>
          <w:sz w:val="24"/>
          <w:szCs w:val="24"/>
        </w:rPr>
      </w:pPr>
      <w:bookmarkStart w:id="0" w:name="_Hlk191307711"/>
      <w:r w:rsidRPr="00F10110">
        <w:rPr>
          <w:rFonts w:ascii="Times New Roman" w:hAnsi="Times New Roman" w:cs="Times New Roman"/>
          <w:sz w:val="24"/>
          <w:szCs w:val="24"/>
        </w:rPr>
        <w:t xml:space="preserve">Available Light Productions (Producer), &amp; . (2007). Dyscalculia. [Video/DVD] Teachers TV/UK Department of Education. Retrieved from </w:t>
      </w:r>
      <w:hyperlink r:id="rId32" w:history="1">
        <w:r w:rsidRPr="00F10110">
          <w:rPr>
            <w:rStyle w:val="Hyperlink"/>
            <w:rFonts w:ascii="Times New Roman" w:hAnsi="Times New Roman" w:cs="Times New Roman"/>
            <w:sz w:val="24"/>
            <w:szCs w:val="24"/>
          </w:rPr>
          <w:t>https://video.alexanderstreet.com/watch/Dyscalculia</w:t>
        </w:r>
      </w:hyperlink>
    </w:p>
    <w:bookmarkEnd w:id="0"/>
    <w:p w14:paraId="49BAC79E"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British Journal of Education, (2024), </w:t>
      </w:r>
      <w:r w:rsidRPr="00F10110">
        <w:rPr>
          <w:rFonts w:ascii="Times New Roman" w:hAnsi="Times New Roman" w:cs="Times New Roman"/>
          <w:i/>
          <w:iCs/>
          <w:sz w:val="24"/>
          <w:szCs w:val="24"/>
        </w:rPr>
        <w:t xml:space="preserve">Making mistakes easy aids teacher–student relationship, </w:t>
      </w:r>
      <w:r w:rsidRPr="00F10110">
        <w:rPr>
          <w:rFonts w:ascii="Times New Roman" w:hAnsi="Times New Roman" w:cs="Times New Roman"/>
          <w:sz w:val="24"/>
          <w:szCs w:val="24"/>
        </w:rPr>
        <w:t xml:space="preserve">Available at: </w:t>
      </w:r>
      <w:hyperlink r:id="rId33" w:history="1">
        <w:r w:rsidRPr="00F10110">
          <w:rPr>
            <w:rStyle w:val="Hyperlink"/>
            <w:rFonts w:ascii="Times New Roman" w:hAnsi="Times New Roman" w:cs="Times New Roman"/>
            <w:sz w:val="24"/>
            <w:szCs w:val="24"/>
          </w:rPr>
          <w:t>Making mistakes easy aids teacher–student relationship | BPS</w:t>
        </w:r>
      </w:hyperlink>
      <w:r w:rsidRPr="00F10110">
        <w:rPr>
          <w:rFonts w:ascii="Times New Roman" w:hAnsi="Times New Roman" w:cs="Times New Roman"/>
          <w:sz w:val="24"/>
          <w:szCs w:val="24"/>
        </w:rPr>
        <w:t xml:space="preserve"> (Accessed 19</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1D88C8B9"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Coffey, P. and Sharpe, R. (2021) ‘An investigation into the teaching of numeracy in subjects other than mathematics across the curriculum’, Available at: </w:t>
      </w:r>
      <w:hyperlink r:id="rId34" w:history="1">
        <w:r w:rsidRPr="00F10110">
          <w:rPr>
            <w:rStyle w:val="Hyperlink"/>
            <w:rFonts w:ascii="Times New Roman" w:hAnsi="Times New Roman" w:cs="Times New Roman"/>
            <w:sz w:val="24"/>
            <w:szCs w:val="24"/>
          </w:rPr>
          <w:t>An investigation into the teaching of numeracy in subjects other than mathematics across the curriculum: International Journal of Mathematical Education in Science and Technology: Vol 54, No 5</w:t>
        </w:r>
      </w:hyperlink>
      <w:r w:rsidRPr="00F10110">
        <w:rPr>
          <w:rFonts w:ascii="Times New Roman" w:hAnsi="Times New Roman" w:cs="Times New Roman"/>
          <w:sz w:val="24"/>
          <w:szCs w:val="24"/>
        </w:rPr>
        <w:t xml:space="preserve"> (Accessed 17</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23893042"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COLANGO, A., (2024). Teaching Strategies on the Use of Manipulatives and Students’ Understanding of Numeracy. Available at: </w:t>
      </w:r>
      <w:hyperlink r:id="rId35" w:history="1">
        <w:r w:rsidRPr="00F10110">
          <w:rPr>
            <w:rStyle w:val="Hyperlink"/>
            <w:rFonts w:ascii="Times New Roman" w:hAnsi="Times New Roman" w:cs="Times New Roman"/>
            <w:sz w:val="24"/>
            <w:szCs w:val="24"/>
          </w:rPr>
          <w:t>nijse.org/index.php/data/article/view/71</w:t>
        </w:r>
      </w:hyperlink>
      <w:r w:rsidRPr="00F10110">
        <w:rPr>
          <w:rFonts w:ascii="Times New Roman" w:hAnsi="Times New Roman" w:cs="Times New Roman"/>
          <w:sz w:val="24"/>
          <w:szCs w:val="24"/>
        </w:rPr>
        <w:t xml:space="preserve"> (Accessed 23</w:t>
      </w:r>
      <w:r w:rsidRPr="00F10110">
        <w:rPr>
          <w:rFonts w:ascii="Times New Roman" w:hAnsi="Times New Roman" w:cs="Times New Roman"/>
          <w:sz w:val="24"/>
          <w:szCs w:val="24"/>
          <w:vertAlign w:val="superscript"/>
        </w:rPr>
        <w:t>rd</w:t>
      </w:r>
      <w:r w:rsidRPr="00F10110">
        <w:rPr>
          <w:rFonts w:ascii="Times New Roman" w:hAnsi="Times New Roman" w:cs="Times New Roman"/>
          <w:sz w:val="24"/>
          <w:szCs w:val="24"/>
        </w:rPr>
        <w:t xml:space="preserve"> January 2025)</w:t>
      </w:r>
    </w:p>
    <w:p w14:paraId="610D1FA7" w14:textId="49244A7F"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Doig, B., Williams, J., Swanson, D., Borromeo Ferri, R., &amp; Drake, P. (2019). Interdisciplinary Mathematics Education: </w:t>
      </w:r>
      <w:r w:rsidR="00CA5487" w:rsidRPr="00F10110">
        <w:rPr>
          <w:rFonts w:ascii="Times New Roman" w:hAnsi="Times New Roman" w:cs="Times New Roman"/>
          <w:sz w:val="24"/>
          <w:szCs w:val="24"/>
        </w:rPr>
        <w:t>The</w:t>
      </w:r>
      <w:r w:rsidRPr="00F10110">
        <w:rPr>
          <w:rFonts w:ascii="Times New Roman" w:hAnsi="Times New Roman" w:cs="Times New Roman"/>
          <w:sz w:val="24"/>
          <w:szCs w:val="24"/>
        </w:rPr>
        <w:t xml:space="preserve"> State of the Art and Beyond. Available at: </w:t>
      </w:r>
      <w:hyperlink r:id="rId36" w:history="1">
        <w:dir w:val="ltr">
          <w:r w:rsidRPr="00F10110">
            <w:rPr>
              <w:rStyle w:val="Hyperlink"/>
              <w:rFonts w:ascii="Times New Roman" w:hAnsi="Times New Roman" w:cs="Times New Roman"/>
              <w:sz w:val="24"/>
              <w:szCs w:val="24"/>
            </w:rPr>
            <w:t>Interdisciplinary Mathematics Education : The State of the Art and Beyond</w:t>
          </w:r>
          <w:r w:rsidRPr="00F10110">
            <w:rPr>
              <w:rStyle w:val="Hyperlink"/>
              <w:rFonts w:ascii="Times New Roman" w:hAnsi="Times New Roman" w:cs="Times New Roman"/>
              <w:sz w:val="24"/>
              <w:szCs w:val="24"/>
            </w:rPr>
            <w:t xml:space="preserve">‬‎ - </w:t>
          </w:r>
          <w:dir w:val="ltr">
            <w:r w:rsidRPr="00F10110">
              <w:rPr>
                <w:rStyle w:val="Hyperlink"/>
                <w:rFonts w:ascii="Times New Roman" w:hAnsi="Times New Roman" w:cs="Times New Roman"/>
                <w:sz w:val="24"/>
                <w:szCs w:val="24"/>
              </w:rPr>
              <w:t>Record details</w:t>
            </w:r>
            <w:r w:rsidRPr="00F10110">
              <w:rPr>
                <w:rStyle w:val="Hyperlink"/>
                <w:rFonts w:ascii="Times New Roman" w:hAnsi="Times New Roman" w:cs="Times New Roman"/>
                <w:sz w:val="24"/>
                <w:szCs w:val="24"/>
              </w:rPr>
              <w:t xml:space="preserve">‬‎ - </w:t>
            </w:r>
            <w:dir w:val="ltr">
              <w:r w:rsidRPr="00F10110">
                <w:rPr>
                  <w:rStyle w:val="Hyperlink"/>
                  <w:rFonts w:ascii="Times New Roman" w:hAnsi="Times New Roman" w:cs="Times New Roman"/>
                  <w:sz w:val="24"/>
                  <w:szCs w:val="24"/>
                </w:rPr>
                <w:t>EBSCOhost Research Databases</w:t>
              </w:r>
              <w:r w:rsidRPr="00F10110">
                <w:rPr>
                  <w:rStyle w:val="Hyperlink"/>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rsidRPr="00F10110">
                <w:rPr>
                  <w:rFonts w:ascii="Times New Roman" w:hAnsi="Times New Roman" w:cs="Times New Roman"/>
                  <w:sz w:val="24"/>
                  <w:szCs w:val="24"/>
                </w:rPr>
                <w:t>‬</w:t>
              </w:r>
              <w:r>
                <w:t>‬</w:t>
              </w:r>
              <w:r>
                <w:t>‬</w:t>
              </w:r>
              <w:r>
                <w:t>‬</w:t>
              </w:r>
              <w:r>
                <w:t>‬</w:t>
              </w:r>
              <w:r>
                <w:t>‬</w:t>
              </w:r>
              <w:r>
                <w:t>‬</w:t>
              </w:r>
              <w:r>
                <w:t>‬</w:t>
              </w:r>
              <w:r>
                <w:t>‬</w:t>
              </w:r>
              <w:r>
                <w:t>‬</w:t>
              </w:r>
            </w:dir>
          </w:dir>
        </w:dir>
      </w:hyperlink>
      <w:r w:rsidRPr="00F10110">
        <w:rPr>
          <w:rFonts w:ascii="Times New Roman" w:hAnsi="Times New Roman" w:cs="Times New Roman"/>
          <w:sz w:val="24"/>
          <w:szCs w:val="24"/>
        </w:rPr>
        <w:t xml:space="preserve"> (Accessed 27</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January 2025)</w:t>
      </w:r>
    </w:p>
    <w:p w14:paraId="4F84350A"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Dweck, C. S, (2016). </w:t>
      </w:r>
      <w:r w:rsidRPr="00F10110">
        <w:rPr>
          <w:rFonts w:ascii="Times New Roman" w:hAnsi="Times New Roman" w:cs="Times New Roman"/>
          <w:i/>
          <w:iCs/>
          <w:sz w:val="24"/>
          <w:szCs w:val="24"/>
        </w:rPr>
        <w:t>Mindset: The New Psychology of Success</w:t>
      </w:r>
      <w:r w:rsidRPr="00F10110">
        <w:rPr>
          <w:rFonts w:ascii="Times New Roman" w:hAnsi="Times New Roman" w:cs="Times New Roman"/>
          <w:sz w:val="24"/>
          <w:szCs w:val="24"/>
        </w:rPr>
        <w:t>. Ballantine Books</w:t>
      </w:r>
    </w:p>
    <w:p w14:paraId="1DF3A5A3"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Education Endowment Foundation, (2021), </w:t>
      </w:r>
      <w:r w:rsidRPr="00F10110">
        <w:rPr>
          <w:rFonts w:ascii="Times New Roman" w:hAnsi="Times New Roman" w:cs="Times New Roman"/>
          <w:i/>
          <w:iCs/>
          <w:sz w:val="24"/>
          <w:szCs w:val="24"/>
        </w:rPr>
        <w:t xml:space="preserve">Parental engagement Moderate impact for very low cost based on extensive evidence, </w:t>
      </w:r>
      <w:r w:rsidRPr="00F10110">
        <w:rPr>
          <w:rFonts w:ascii="Times New Roman" w:hAnsi="Times New Roman" w:cs="Times New Roman"/>
          <w:sz w:val="24"/>
          <w:szCs w:val="24"/>
        </w:rPr>
        <w:t xml:space="preserve">Available at: </w:t>
      </w:r>
      <w:hyperlink r:id="rId37" w:history="1">
        <w:r w:rsidRPr="00F10110">
          <w:rPr>
            <w:rStyle w:val="Hyperlink"/>
            <w:rFonts w:ascii="Times New Roman" w:hAnsi="Times New Roman" w:cs="Times New Roman"/>
            <w:sz w:val="24"/>
            <w:szCs w:val="24"/>
          </w:rPr>
          <w:t>Parental engagement | EEF</w:t>
        </w:r>
      </w:hyperlink>
      <w:r w:rsidRPr="00F10110">
        <w:rPr>
          <w:rFonts w:ascii="Times New Roman" w:hAnsi="Times New Roman" w:cs="Times New Roman"/>
          <w:sz w:val="24"/>
          <w:szCs w:val="24"/>
        </w:rPr>
        <w:t>, (Accessed 19</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2726325C"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Elliott, L., Zheng, P., &amp; Libertus, M. (2021). Individual Differences in Parental Support for Numeracy and Literacy in Early Childhood. Available at: </w:t>
      </w:r>
      <w:hyperlink r:id="rId38" w:history="1">
        <w:r w:rsidRPr="00F10110">
          <w:rPr>
            <w:rStyle w:val="Hyperlink"/>
            <w:rFonts w:ascii="Times New Roman" w:hAnsi="Times New Roman" w:cs="Times New Roman"/>
            <w:sz w:val="24"/>
            <w:szCs w:val="24"/>
          </w:rPr>
          <w:t>Individual Differences in Parental Support for Numeracy and Literacy in Early Childhood</w:t>
        </w:r>
      </w:hyperlink>
      <w:r w:rsidRPr="00F10110">
        <w:rPr>
          <w:rFonts w:ascii="Times New Roman" w:hAnsi="Times New Roman" w:cs="Times New Roman"/>
          <w:sz w:val="24"/>
          <w:szCs w:val="24"/>
        </w:rPr>
        <w:t xml:space="preserve"> (Accessed 19</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7F66CC95"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lastRenderedPageBreak/>
        <w:t>Figure 1: Adobe firefly (2025) Children in a classroom using laptops, pens and paper, with numeracy displays: Prompted by Zoe Williams on 27</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January 2025</w:t>
      </w:r>
    </w:p>
    <w:p w14:paraId="25C3762D"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10: Child Paying for Groceries, (2021), Available at: </w:t>
      </w:r>
      <w:hyperlink r:id="rId39" w:history="1">
        <w:r w:rsidRPr="00F10110">
          <w:rPr>
            <w:rStyle w:val="Hyperlink"/>
            <w:rFonts w:ascii="Times New Roman" w:hAnsi="Times New Roman" w:cs="Times New Roman"/>
            <w:sz w:val="24"/>
            <w:szCs w:val="24"/>
          </w:rPr>
          <w:t>Kids Paying For Groceries</w:t>
        </w:r>
      </w:hyperlink>
      <w:r w:rsidRPr="00F10110">
        <w:rPr>
          <w:rFonts w:ascii="Times New Roman" w:hAnsi="Times New Roman" w:cs="Times New Roman"/>
          <w:sz w:val="24"/>
          <w:szCs w:val="24"/>
        </w:rPr>
        <w:t>, (Accessed 20</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5699748A"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11: Growth Mindset Logo (No Date), Available at: </w:t>
      </w:r>
      <w:hyperlink r:id="rId40" w:history="1">
        <w:r w:rsidRPr="00F10110">
          <w:rPr>
            <w:rStyle w:val="Hyperlink"/>
            <w:rFonts w:ascii="Times New Roman" w:hAnsi="Times New Roman" w:cs="Times New Roman"/>
            <w:sz w:val="24"/>
            <w:szCs w:val="24"/>
          </w:rPr>
          <w:t>https://mavric.com</w:t>
        </w:r>
      </w:hyperlink>
      <w:r w:rsidRPr="00F10110">
        <w:rPr>
          <w:rFonts w:ascii="Times New Roman" w:hAnsi="Times New Roman" w:cs="Times New Roman"/>
          <w:sz w:val="24"/>
          <w:szCs w:val="24"/>
        </w:rPr>
        <w:t xml:space="preserve"> (Accessed 20</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5818A3F4"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Figure 2: Adobe firefly (2025), Maths as the broccoli of education: Prompted by Zoe Williams on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4456AEF8"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3: Sherlock Holms, (2020), Available at: </w:t>
      </w:r>
      <w:hyperlink r:id="rId41" w:history="1">
        <w:r w:rsidRPr="00F10110">
          <w:rPr>
            <w:rStyle w:val="Hyperlink"/>
            <w:rFonts w:ascii="Times New Roman" w:hAnsi="Times New Roman" w:cs="Times New Roman"/>
            <w:sz w:val="24"/>
            <w:szCs w:val="24"/>
          </w:rPr>
          <w:t>Sherlock Holmes and the Curious Case of Several Million Chinese Fans - 3 Quarks Daily</w:t>
        </w:r>
      </w:hyperlink>
      <w:r w:rsidRPr="00F10110">
        <w:rPr>
          <w:rFonts w:ascii="Times New Roman" w:hAnsi="Times New Roman" w:cs="Times New Roman"/>
          <w:sz w:val="24"/>
          <w:szCs w:val="24"/>
        </w:rPr>
        <w:t xml:space="preserve"> (Accessed 20</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 </w:t>
      </w:r>
    </w:p>
    <w:p w14:paraId="4C832614"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4: The five senses, (2021) Available at: </w:t>
      </w:r>
      <w:hyperlink r:id="rId42" w:history="1">
        <w:r w:rsidRPr="00F10110">
          <w:rPr>
            <w:rStyle w:val="Hyperlink"/>
            <w:rFonts w:ascii="Times New Roman" w:hAnsi="Times New Roman" w:cs="Times New Roman"/>
            <w:sz w:val="24"/>
            <w:szCs w:val="24"/>
          </w:rPr>
          <w:t>The 5 Senses plus 3 more | MooMooMath and Science</w:t>
        </w:r>
      </w:hyperlink>
      <w:r w:rsidRPr="00F10110">
        <w:rPr>
          <w:rFonts w:ascii="Times New Roman" w:hAnsi="Times New Roman" w:cs="Times New Roman"/>
          <w:sz w:val="24"/>
          <w:szCs w:val="24"/>
        </w:rPr>
        <w:t xml:space="preserve"> (Accessed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5E5899C4"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5: SumDog Logo (2025), Available at: </w:t>
      </w:r>
      <w:hyperlink r:id="rId43" w:history="1">
        <w:r w:rsidRPr="00F10110">
          <w:rPr>
            <w:rStyle w:val="Hyperlink"/>
            <w:rFonts w:ascii="Times New Roman" w:hAnsi="Times New Roman" w:cs="Times New Roman"/>
            <w:sz w:val="24"/>
            <w:szCs w:val="24"/>
          </w:rPr>
          <w:t>Sumdog</w:t>
        </w:r>
      </w:hyperlink>
      <w:r w:rsidRPr="00F10110">
        <w:rPr>
          <w:rFonts w:ascii="Times New Roman" w:hAnsi="Times New Roman" w:cs="Times New Roman"/>
          <w:sz w:val="24"/>
          <w:szCs w:val="24"/>
        </w:rPr>
        <w:t xml:space="preserve"> (Accessed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 </w:t>
      </w:r>
    </w:p>
    <w:p w14:paraId="080FDF81"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6: Maths Bingo (2025), Available at: </w:t>
      </w:r>
      <w:hyperlink r:id="rId44" w:anchor="google_vignette" w:history="1">
        <w:r w:rsidRPr="00F10110">
          <w:rPr>
            <w:rStyle w:val="Hyperlink"/>
            <w:rFonts w:ascii="Times New Roman" w:hAnsi="Times New Roman" w:cs="Times New Roman"/>
            <w:sz w:val="24"/>
            <w:szCs w:val="24"/>
          </w:rPr>
          <w:t>Math Games: Math for Kids - Game Download for Android &amp; iOS</w:t>
        </w:r>
      </w:hyperlink>
      <w:r w:rsidRPr="00F10110">
        <w:rPr>
          <w:rFonts w:ascii="Times New Roman" w:hAnsi="Times New Roman" w:cs="Times New Roman"/>
          <w:sz w:val="24"/>
          <w:szCs w:val="24"/>
        </w:rPr>
        <w:t xml:space="preserve"> (Accessed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 </w:t>
      </w:r>
    </w:p>
    <w:p w14:paraId="63FE0F88"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7: Pop to the Shops (Date Unknown), Available at: </w:t>
      </w:r>
      <w:hyperlink r:id="rId45" w:history="1">
        <w:r w:rsidRPr="00F10110">
          <w:rPr>
            <w:rStyle w:val="Hyperlink"/>
            <w:rFonts w:ascii="Times New Roman" w:hAnsi="Times New Roman" w:cs="Times New Roman"/>
            <w:sz w:val="24"/>
            <w:szCs w:val="24"/>
          </w:rPr>
          <w:t>Orchard Toys Pop to the Shops - Children's Games</w:t>
        </w:r>
      </w:hyperlink>
      <w:r w:rsidRPr="00F10110">
        <w:rPr>
          <w:rFonts w:ascii="Times New Roman" w:hAnsi="Times New Roman" w:cs="Times New Roman"/>
          <w:sz w:val="24"/>
          <w:szCs w:val="24"/>
        </w:rPr>
        <w:t xml:space="preserve"> (Accessed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24A6D309"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8: Number Line, (No Date), Harriet and Violet, Available at: </w:t>
      </w:r>
      <w:hyperlink r:id="rId46" w:history="1">
        <w:r w:rsidRPr="00F10110">
          <w:rPr>
            <w:rStyle w:val="Hyperlink"/>
            <w:rFonts w:ascii="Times New Roman" w:hAnsi="Times New Roman" w:cs="Times New Roman"/>
            <w:sz w:val="24"/>
            <w:szCs w:val="24"/>
          </w:rPr>
          <w:t>Spring Themed Number Lines - Printable Teaching Resources - Print Play Learn</w:t>
        </w:r>
      </w:hyperlink>
      <w:r w:rsidRPr="00F10110">
        <w:rPr>
          <w:rFonts w:ascii="Times New Roman" w:hAnsi="Times New Roman" w:cs="Times New Roman"/>
          <w:sz w:val="24"/>
          <w:szCs w:val="24"/>
        </w:rPr>
        <w:t xml:space="preserve"> (Accessed 20</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2EFAD910"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Figure 9: Place Value Card, (No Date), Available at: </w:t>
      </w:r>
      <w:hyperlink r:id="rId47" w:history="1">
        <w:r w:rsidRPr="00F10110">
          <w:rPr>
            <w:rStyle w:val="Hyperlink"/>
            <w:rFonts w:ascii="Times New Roman" w:hAnsi="Times New Roman" w:cs="Times New Roman"/>
            <w:sz w:val="24"/>
            <w:szCs w:val="24"/>
          </w:rPr>
          <w:t>Place Value Grid</w:t>
        </w:r>
      </w:hyperlink>
      <w:r w:rsidRPr="00F10110">
        <w:rPr>
          <w:rFonts w:ascii="Times New Roman" w:hAnsi="Times New Roman" w:cs="Times New Roman"/>
          <w:sz w:val="24"/>
          <w:szCs w:val="24"/>
        </w:rPr>
        <w:t>, (Accessed 20</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6865F7A7"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National Numeracy, (No Date), </w:t>
      </w:r>
      <w:r w:rsidRPr="00F10110">
        <w:rPr>
          <w:rFonts w:ascii="Times New Roman" w:hAnsi="Times New Roman" w:cs="Times New Roman"/>
          <w:i/>
          <w:iCs/>
          <w:sz w:val="24"/>
          <w:szCs w:val="24"/>
        </w:rPr>
        <w:t>How to encourage parental engagement,</w:t>
      </w:r>
      <w:r w:rsidRPr="00F10110">
        <w:rPr>
          <w:rFonts w:ascii="Times New Roman" w:hAnsi="Times New Roman" w:cs="Times New Roman"/>
          <w:sz w:val="24"/>
          <w:szCs w:val="24"/>
        </w:rPr>
        <w:t xml:space="preserve"> Available at: </w:t>
      </w:r>
      <w:hyperlink r:id="rId48" w:history="1">
        <w:r w:rsidRPr="00F10110">
          <w:rPr>
            <w:rStyle w:val="Hyperlink"/>
            <w:rFonts w:ascii="Times New Roman" w:hAnsi="Times New Roman" w:cs="Times New Roman"/>
            <w:sz w:val="24"/>
            <w:szCs w:val="24"/>
          </w:rPr>
          <w:t>How to Encourage Parental Engagement | National Numeracy</w:t>
        </w:r>
      </w:hyperlink>
      <w:r w:rsidRPr="00F10110">
        <w:rPr>
          <w:rFonts w:ascii="Times New Roman" w:hAnsi="Times New Roman" w:cs="Times New Roman"/>
          <w:sz w:val="24"/>
          <w:szCs w:val="24"/>
        </w:rPr>
        <w:t xml:space="preserve"> (Accessed 19</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w:t>
      </w:r>
    </w:p>
    <w:p w14:paraId="2ADAAE64"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Russo. J, Bragg. L &amp; Russo.T, (2021), </w:t>
      </w:r>
      <w:r w:rsidRPr="00F10110">
        <w:rPr>
          <w:rFonts w:ascii="Times New Roman" w:hAnsi="Times New Roman" w:cs="Times New Roman"/>
          <w:i/>
          <w:iCs/>
          <w:sz w:val="24"/>
          <w:szCs w:val="24"/>
        </w:rPr>
        <w:t>How Primary Teachers use Games to Support their Teaching of Mathematics</w:t>
      </w:r>
      <w:r w:rsidRPr="00F10110">
        <w:rPr>
          <w:rFonts w:ascii="Times New Roman" w:hAnsi="Times New Roman" w:cs="Times New Roman"/>
          <w:sz w:val="24"/>
          <w:szCs w:val="24"/>
        </w:rPr>
        <w:t xml:space="preserve">, Available at: </w:t>
      </w:r>
      <w:hyperlink r:id="rId49" w:history="1">
        <w:r w:rsidRPr="00F10110">
          <w:rPr>
            <w:rStyle w:val="Hyperlink"/>
            <w:rFonts w:ascii="Times New Roman" w:hAnsi="Times New Roman" w:cs="Times New Roman"/>
            <w:sz w:val="24"/>
            <w:szCs w:val="24"/>
          </w:rPr>
          <w:t>How primary teachers use games to support their teaching of mathematics</w:t>
        </w:r>
      </w:hyperlink>
      <w:r w:rsidRPr="00F10110">
        <w:rPr>
          <w:rFonts w:ascii="Times New Roman" w:hAnsi="Times New Roman" w:cs="Times New Roman"/>
          <w:sz w:val="24"/>
          <w:szCs w:val="24"/>
        </w:rPr>
        <w:t xml:space="preserve"> (Accessed 18</w:t>
      </w:r>
      <w:r w:rsidRPr="00F10110">
        <w:rPr>
          <w:rFonts w:ascii="Times New Roman" w:hAnsi="Times New Roman" w:cs="Times New Roman"/>
          <w:sz w:val="24"/>
          <w:szCs w:val="24"/>
          <w:vertAlign w:val="superscript"/>
        </w:rPr>
        <w:t>th</w:t>
      </w:r>
      <w:r w:rsidRPr="00F10110">
        <w:rPr>
          <w:rFonts w:ascii="Times New Roman" w:hAnsi="Times New Roman" w:cs="Times New Roman"/>
          <w:sz w:val="24"/>
          <w:szCs w:val="24"/>
        </w:rPr>
        <w:t xml:space="preserve"> February 2025) </w:t>
      </w:r>
    </w:p>
    <w:p w14:paraId="2260FB4F"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Sover, A. (2009). Humor in the way of the Laughing person, Carmel (In Hebrew).</w:t>
      </w:r>
    </w:p>
    <w:p w14:paraId="7D95DC63"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lastRenderedPageBreak/>
        <w:t xml:space="preserve">Teaching/ Math/ Culture (2019) </w:t>
      </w:r>
      <w:r w:rsidRPr="00F10110">
        <w:rPr>
          <w:rFonts w:ascii="Times New Roman" w:hAnsi="Times New Roman" w:cs="Times New Roman"/>
          <w:i/>
          <w:iCs/>
          <w:sz w:val="24"/>
          <w:szCs w:val="24"/>
        </w:rPr>
        <w:t>Let Them Laugh: Using Humour in Math Class</w:t>
      </w:r>
      <w:r w:rsidRPr="00F10110">
        <w:rPr>
          <w:rFonts w:ascii="Times New Roman" w:hAnsi="Times New Roman" w:cs="Times New Roman"/>
          <w:sz w:val="24"/>
          <w:szCs w:val="24"/>
        </w:rPr>
        <w:t>, Available at: teachingmathculture.worldpress.com (Accessed 22</w:t>
      </w:r>
      <w:r w:rsidRPr="00F10110">
        <w:rPr>
          <w:rFonts w:ascii="Times New Roman" w:hAnsi="Times New Roman" w:cs="Times New Roman"/>
          <w:sz w:val="24"/>
          <w:szCs w:val="24"/>
          <w:vertAlign w:val="superscript"/>
        </w:rPr>
        <w:t>nd</w:t>
      </w:r>
      <w:r w:rsidRPr="00F10110">
        <w:rPr>
          <w:rFonts w:ascii="Times New Roman" w:hAnsi="Times New Roman" w:cs="Times New Roman"/>
          <w:sz w:val="24"/>
          <w:szCs w:val="24"/>
        </w:rPr>
        <w:t xml:space="preserve"> January 2025)</w:t>
      </w:r>
    </w:p>
    <w:p w14:paraId="7934C83C" w14:textId="77777777" w:rsidR="00F10110" w:rsidRPr="00F10110" w:rsidRDefault="00F10110" w:rsidP="00F10110">
      <w:pPr>
        <w:spacing w:line="360" w:lineRule="auto"/>
        <w:rPr>
          <w:rFonts w:ascii="Times New Roman" w:hAnsi="Times New Roman" w:cs="Times New Roman"/>
          <w:sz w:val="24"/>
          <w:szCs w:val="24"/>
        </w:rPr>
      </w:pPr>
      <w:r w:rsidRPr="00F10110">
        <w:rPr>
          <w:rFonts w:ascii="Times New Roman" w:hAnsi="Times New Roman" w:cs="Times New Roman"/>
          <w:sz w:val="24"/>
          <w:szCs w:val="24"/>
        </w:rPr>
        <w:t xml:space="preserve">Turner, C. (2011). </w:t>
      </w:r>
      <w:r w:rsidRPr="00F10110">
        <w:rPr>
          <w:rFonts w:ascii="Times New Roman" w:hAnsi="Times New Roman" w:cs="Times New Roman"/>
          <w:i/>
          <w:iCs/>
          <w:sz w:val="24"/>
          <w:szCs w:val="24"/>
        </w:rPr>
        <w:t>Supporting Children with Learning Difficulties : Holistic Solutions for Severe, Profound and Multiple Disabilities</w:t>
      </w:r>
      <w:r w:rsidRPr="00F10110">
        <w:rPr>
          <w:rFonts w:ascii="Times New Roman" w:hAnsi="Times New Roman" w:cs="Times New Roman"/>
          <w:sz w:val="24"/>
          <w:szCs w:val="24"/>
        </w:rPr>
        <w:t xml:space="preserve"> (1st ed.). Continuum International Publishing.</w:t>
      </w:r>
    </w:p>
    <w:p w14:paraId="5008A5EA" w14:textId="63EA41D9" w:rsidR="00501E8B" w:rsidRDefault="00501E8B"/>
    <w:p w14:paraId="50F81964" w14:textId="3927DC34" w:rsidR="002E2268" w:rsidRDefault="002E2268"/>
    <w:p w14:paraId="237CE61E" w14:textId="050F6F3E" w:rsidR="00DC394E" w:rsidRDefault="00651A1A" w:rsidP="00DC394E">
      <w:pPr>
        <w:pStyle w:val="Heading1"/>
        <w:sectPr w:rsidR="00DC394E" w:rsidSect="00861E99">
          <w:pgSz w:w="11906" w:h="16838"/>
          <w:pgMar w:top="1440" w:right="1440" w:bottom="1440" w:left="1440" w:header="708" w:footer="708" w:gutter="0"/>
          <w:pgNumType w:start="0"/>
          <w:cols w:space="708"/>
          <w:titlePg/>
          <w:docGrid w:linePitch="360"/>
        </w:sectPr>
      </w:pPr>
      <w:r>
        <w:br w:type="page"/>
      </w:r>
    </w:p>
    <w:p w14:paraId="0E7FFE10" w14:textId="77777777" w:rsidR="00DC394E" w:rsidRDefault="00DC394E" w:rsidP="00DC394E">
      <w:pPr>
        <w:pStyle w:val="Heading1"/>
        <w:jc w:val="center"/>
        <w:rPr>
          <w:rFonts w:ascii="Comic Sans MS" w:hAnsi="Comic Sans MS"/>
          <w:color w:val="FFC000"/>
          <w:sz w:val="44"/>
          <w:szCs w:val="44"/>
          <w:u w:val="single"/>
        </w:rPr>
      </w:pPr>
      <w:bookmarkStart w:id="1" w:name="_Hlk190979704"/>
      <w:r w:rsidRPr="00255FF6">
        <w:rPr>
          <w:rFonts w:ascii="Comic Sans MS" w:hAnsi="Comic Sans MS"/>
          <w:color w:val="FF0000"/>
          <w:sz w:val="44"/>
          <w:szCs w:val="44"/>
          <w:u w:val="single"/>
        </w:rPr>
        <w:lastRenderedPageBreak/>
        <w:t xml:space="preserve">Pop, </w:t>
      </w:r>
      <w:r w:rsidRPr="00255FF6">
        <w:rPr>
          <w:rFonts w:ascii="Comic Sans MS" w:hAnsi="Comic Sans MS"/>
          <w:color w:val="FFFF00"/>
          <w:sz w:val="44"/>
          <w:szCs w:val="44"/>
          <w:u w:val="single"/>
        </w:rPr>
        <w:t>Learn</w:t>
      </w:r>
      <w:r w:rsidRPr="00255FF6">
        <w:rPr>
          <w:rFonts w:ascii="Comic Sans MS" w:hAnsi="Comic Sans MS"/>
          <w:color w:val="E3F40C"/>
          <w:sz w:val="44"/>
          <w:szCs w:val="44"/>
          <w:u w:val="single"/>
        </w:rPr>
        <w:t>,</w:t>
      </w:r>
      <w:r w:rsidRPr="00255FF6">
        <w:rPr>
          <w:rFonts w:ascii="Comic Sans MS" w:hAnsi="Comic Sans MS"/>
          <w:color w:val="FFFF00"/>
          <w:sz w:val="44"/>
          <w:szCs w:val="44"/>
          <w:u w:val="single"/>
        </w:rPr>
        <w:t xml:space="preserve"> </w:t>
      </w:r>
      <w:r w:rsidRPr="00255FF6">
        <w:rPr>
          <w:rFonts w:ascii="Comic Sans MS" w:hAnsi="Comic Sans MS"/>
          <w:color w:val="F769E3"/>
          <w:sz w:val="44"/>
          <w:szCs w:val="44"/>
          <w:u w:val="single"/>
        </w:rPr>
        <w:t>Multiply:</w:t>
      </w:r>
      <w:r w:rsidRPr="00255FF6">
        <w:rPr>
          <w:rFonts w:ascii="Comic Sans MS" w:hAnsi="Comic Sans MS"/>
          <w:sz w:val="44"/>
          <w:szCs w:val="44"/>
          <w:u w:val="single"/>
        </w:rPr>
        <w:t xml:space="preserve"> </w:t>
      </w:r>
      <w:r w:rsidRPr="00255FF6">
        <w:rPr>
          <w:rFonts w:ascii="Comic Sans MS" w:hAnsi="Comic Sans MS"/>
          <w:color w:val="3A7C22" w:themeColor="accent6" w:themeShade="BF"/>
          <w:sz w:val="44"/>
          <w:szCs w:val="44"/>
          <w:u w:val="single"/>
        </w:rPr>
        <w:t>The</w:t>
      </w:r>
      <w:r w:rsidRPr="00255FF6">
        <w:rPr>
          <w:rFonts w:ascii="Comic Sans MS" w:hAnsi="Comic Sans MS"/>
          <w:sz w:val="44"/>
          <w:szCs w:val="44"/>
          <w:u w:val="single"/>
        </w:rPr>
        <w:t xml:space="preserve"> </w:t>
      </w:r>
      <w:r w:rsidRPr="00255FF6">
        <w:rPr>
          <w:rFonts w:ascii="Comic Sans MS" w:hAnsi="Comic Sans MS"/>
          <w:color w:val="FFC000"/>
          <w:sz w:val="44"/>
          <w:szCs w:val="44"/>
          <w:u w:val="single"/>
        </w:rPr>
        <w:t>Fun</w:t>
      </w:r>
      <w:r w:rsidRPr="00255FF6">
        <w:rPr>
          <w:rFonts w:ascii="Comic Sans MS" w:hAnsi="Comic Sans MS"/>
          <w:sz w:val="44"/>
          <w:szCs w:val="44"/>
          <w:u w:val="single"/>
        </w:rPr>
        <w:t xml:space="preserve"> </w:t>
      </w:r>
      <w:r w:rsidRPr="00255FF6">
        <w:rPr>
          <w:rFonts w:ascii="Comic Sans MS" w:hAnsi="Comic Sans MS"/>
          <w:color w:val="7030A0"/>
          <w:sz w:val="44"/>
          <w:szCs w:val="44"/>
          <w:u w:val="single"/>
        </w:rPr>
        <w:t>and</w:t>
      </w:r>
      <w:r w:rsidRPr="00255FF6">
        <w:rPr>
          <w:rFonts w:ascii="Comic Sans MS" w:hAnsi="Comic Sans MS"/>
          <w:sz w:val="44"/>
          <w:szCs w:val="44"/>
          <w:u w:val="single"/>
        </w:rPr>
        <w:t xml:space="preserve"> </w:t>
      </w:r>
      <w:r w:rsidRPr="00255FF6">
        <w:rPr>
          <w:rFonts w:ascii="Comic Sans MS" w:hAnsi="Comic Sans MS"/>
          <w:color w:val="4C94D8" w:themeColor="text2" w:themeTint="80"/>
          <w:sz w:val="44"/>
          <w:szCs w:val="44"/>
          <w:u w:val="single"/>
        </w:rPr>
        <w:t>Engaging</w:t>
      </w:r>
      <w:r w:rsidRPr="00255FF6">
        <w:rPr>
          <w:rFonts w:ascii="Comic Sans MS" w:hAnsi="Comic Sans MS"/>
          <w:sz w:val="44"/>
          <w:szCs w:val="44"/>
          <w:u w:val="single"/>
        </w:rPr>
        <w:t xml:space="preserve"> </w:t>
      </w:r>
      <w:r w:rsidRPr="00255FF6">
        <w:rPr>
          <w:rFonts w:ascii="Comic Sans MS" w:hAnsi="Comic Sans MS"/>
          <w:color w:val="FF0000"/>
          <w:sz w:val="44"/>
          <w:szCs w:val="44"/>
          <w:u w:val="single"/>
        </w:rPr>
        <w:t xml:space="preserve">way </w:t>
      </w:r>
      <w:r w:rsidRPr="00255FF6">
        <w:rPr>
          <w:rFonts w:ascii="Comic Sans MS" w:hAnsi="Comic Sans MS"/>
          <w:color w:val="FFFF00"/>
          <w:sz w:val="44"/>
          <w:szCs w:val="44"/>
          <w:u w:val="single"/>
        </w:rPr>
        <w:t>to</w:t>
      </w:r>
      <w:r w:rsidRPr="00255FF6">
        <w:rPr>
          <w:rFonts w:ascii="Comic Sans MS" w:hAnsi="Comic Sans MS"/>
          <w:sz w:val="44"/>
          <w:szCs w:val="44"/>
          <w:u w:val="single"/>
        </w:rPr>
        <w:t xml:space="preserve"> </w:t>
      </w:r>
      <w:r w:rsidRPr="00255FF6">
        <w:rPr>
          <w:rFonts w:ascii="Comic Sans MS" w:hAnsi="Comic Sans MS"/>
          <w:color w:val="F769E3"/>
          <w:sz w:val="44"/>
          <w:szCs w:val="44"/>
          <w:u w:val="single"/>
        </w:rPr>
        <w:t>Master</w:t>
      </w:r>
      <w:r w:rsidRPr="00255FF6">
        <w:rPr>
          <w:rFonts w:ascii="Comic Sans MS" w:hAnsi="Comic Sans MS"/>
          <w:sz w:val="44"/>
          <w:szCs w:val="44"/>
          <w:u w:val="single"/>
        </w:rPr>
        <w:t xml:space="preserve"> </w:t>
      </w:r>
      <w:r w:rsidRPr="00255FF6">
        <w:rPr>
          <w:rFonts w:ascii="Comic Sans MS" w:hAnsi="Comic Sans MS"/>
          <w:color w:val="3A7C22" w:themeColor="accent6" w:themeShade="BF"/>
          <w:sz w:val="44"/>
          <w:szCs w:val="44"/>
          <w:u w:val="single"/>
        </w:rPr>
        <w:t>Times</w:t>
      </w:r>
      <w:r w:rsidRPr="00255FF6">
        <w:rPr>
          <w:rFonts w:ascii="Comic Sans MS" w:hAnsi="Comic Sans MS"/>
          <w:sz w:val="44"/>
          <w:szCs w:val="44"/>
          <w:u w:val="single"/>
        </w:rPr>
        <w:t xml:space="preserve"> </w:t>
      </w:r>
      <w:r w:rsidRPr="00255FF6">
        <w:rPr>
          <w:rFonts w:ascii="Comic Sans MS" w:hAnsi="Comic Sans MS"/>
          <w:color w:val="FFC000"/>
          <w:sz w:val="44"/>
          <w:szCs w:val="44"/>
          <w:u w:val="single"/>
        </w:rPr>
        <w:t>Tables</w:t>
      </w:r>
      <w:r>
        <w:rPr>
          <w:rFonts w:ascii="Comic Sans MS" w:hAnsi="Comic Sans MS"/>
          <w:color w:val="FFC000"/>
          <w:sz w:val="44"/>
          <w:szCs w:val="44"/>
          <w:u w:val="single"/>
        </w:rPr>
        <w:t>.</w:t>
      </w:r>
    </w:p>
    <w:bookmarkEnd w:id="1"/>
    <w:p w14:paraId="7DEFCDE6" w14:textId="01DA85AF" w:rsidR="00DC394E" w:rsidRPr="00857BD9" w:rsidRDefault="00DC394E" w:rsidP="00DC394E">
      <w:pPr>
        <w:spacing w:line="360" w:lineRule="auto"/>
        <w:rPr>
          <w:rFonts w:ascii="Comic Sans MS" w:hAnsi="Comic Sans MS"/>
          <w:sz w:val="24"/>
          <w:szCs w:val="24"/>
        </w:rPr>
      </w:pPr>
      <w:r>
        <w:rPr>
          <w:rFonts w:ascii="Alasassy Caps" w:hAnsi="Alasassy Caps"/>
          <w:noProof/>
          <w:sz w:val="28"/>
          <w:szCs w:val="28"/>
        </w:rPr>
        <w:drawing>
          <wp:anchor distT="0" distB="0" distL="114300" distR="114300" simplePos="0" relativeHeight="251660800" behindDoc="1" locked="0" layoutInCell="1" allowOverlap="1" wp14:anchorId="6A96EED3" wp14:editId="01A72417">
            <wp:simplePos x="0" y="0"/>
            <wp:positionH relativeFrom="margin">
              <wp:align>center</wp:align>
            </wp:positionH>
            <wp:positionV relativeFrom="paragraph">
              <wp:posOffset>640781</wp:posOffset>
            </wp:positionV>
            <wp:extent cx="3819525" cy="3693160"/>
            <wp:effectExtent l="0" t="0" r="9525" b="2540"/>
            <wp:wrapTight wrapText="bothSides">
              <wp:wrapPolygon edited="0">
                <wp:start x="0" y="0"/>
                <wp:lineTo x="0" y="21503"/>
                <wp:lineTo x="21546" y="21503"/>
                <wp:lineTo x="21546" y="0"/>
                <wp:lineTo x="0" y="0"/>
              </wp:wrapPolygon>
            </wp:wrapTight>
            <wp:docPr id="1105307759" name="Picture 8" descr="A colorful plastic gam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07759" name="Picture 8" descr="A colorful plastic game with numbers&#10;&#10;Description automatically generated"/>
                    <pic:cNvPicPr/>
                  </pic:nvPicPr>
                  <pic:blipFill rotWithShape="1">
                    <a:blip r:embed="rId50" cstate="print">
                      <a:extLst>
                        <a:ext uri="{28A0092B-C50C-407E-A947-70E740481C1C}">
                          <a14:useLocalDpi xmlns:a14="http://schemas.microsoft.com/office/drawing/2010/main" val="0"/>
                        </a:ext>
                      </a:extLst>
                    </a:blip>
                    <a:srcRect l="11799" t="19143" r="8266" b="22673"/>
                    <a:stretch/>
                  </pic:blipFill>
                  <pic:spPr bwMode="auto">
                    <a:xfrm>
                      <a:off x="0" y="0"/>
                      <a:ext cx="3819525" cy="369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lasassy Caps" w:hAnsi="Alasassy Caps"/>
          <w:noProof/>
          <w:sz w:val="28"/>
          <w:szCs w:val="28"/>
        </w:rPr>
        <mc:AlternateContent>
          <mc:Choice Requires="wps">
            <w:drawing>
              <wp:anchor distT="0" distB="0" distL="114300" distR="114300" simplePos="0" relativeHeight="251661824" behindDoc="0" locked="0" layoutInCell="1" allowOverlap="1" wp14:anchorId="1A9F6C52" wp14:editId="6FBAF0CD">
                <wp:simplePos x="0" y="0"/>
                <wp:positionH relativeFrom="column">
                  <wp:posOffset>-439280</wp:posOffset>
                </wp:positionH>
                <wp:positionV relativeFrom="paragraph">
                  <wp:posOffset>700026</wp:posOffset>
                </wp:positionV>
                <wp:extent cx="2541320" cy="1674421"/>
                <wp:effectExtent l="0" t="0" r="0" b="2540"/>
                <wp:wrapNone/>
                <wp:docPr id="834946412" name="Text Box 3"/>
                <wp:cNvGraphicFramePr/>
                <a:graphic xmlns:a="http://schemas.openxmlformats.org/drawingml/2006/main">
                  <a:graphicData uri="http://schemas.microsoft.com/office/word/2010/wordprocessingShape">
                    <wps:wsp>
                      <wps:cNvSpPr txBox="1"/>
                      <wps:spPr>
                        <a:xfrm>
                          <a:off x="0" y="0"/>
                          <a:ext cx="2541320" cy="1674421"/>
                        </a:xfrm>
                        <a:prstGeom prst="rect">
                          <a:avLst/>
                        </a:prstGeom>
                        <a:solidFill>
                          <a:schemeClr val="lt1"/>
                        </a:solidFill>
                        <a:ln w="6350">
                          <a:noFill/>
                        </a:ln>
                      </wps:spPr>
                      <wps:txbx>
                        <w:txbxContent>
                          <w:p w14:paraId="56977894" w14:textId="77777777" w:rsidR="00DC394E" w:rsidRPr="00984690" w:rsidRDefault="00DC394E" w:rsidP="00DC394E">
                            <w:pPr>
                              <w:spacing w:line="360" w:lineRule="auto"/>
                              <w:rPr>
                                <w:rFonts w:ascii="Comic Sans MS" w:hAnsi="Comic Sans MS"/>
                                <w:sz w:val="18"/>
                                <w:szCs w:val="18"/>
                              </w:rPr>
                            </w:pPr>
                            <w:r w:rsidRPr="00984690">
                              <w:rPr>
                                <w:rFonts w:ascii="Comic Sans MS" w:hAnsi="Comic Sans MS"/>
                                <w:sz w:val="18"/>
                                <w:szCs w:val="18"/>
                                <w:highlight w:val="green"/>
                              </w:rPr>
                              <w:t>1.</w:t>
                            </w:r>
                            <w:r>
                              <w:rPr>
                                <w:rFonts w:ascii="Comic Sans MS" w:hAnsi="Comic Sans MS"/>
                                <w:sz w:val="18"/>
                                <w:szCs w:val="18"/>
                                <w:highlight w:val="green"/>
                              </w:rPr>
                              <w:t xml:space="preserve"> </w:t>
                            </w:r>
                            <w:r w:rsidRPr="00984690">
                              <w:rPr>
                                <w:rFonts w:ascii="Comic Sans MS" w:hAnsi="Comic Sans MS"/>
                                <w:sz w:val="18"/>
                                <w:szCs w:val="18"/>
                                <w:highlight w:val="green"/>
                              </w:rPr>
                              <w:t>Enhances Engagement and Motivation</w:t>
                            </w:r>
                          </w:p>
                          <w:p w14:paraId="0BF9B064" w14:textId="77777777" w:rsidR="00DC394E" w:rsidRPr="006962CF" w:rsidRDefault="00DC394E" w:rsidP="00DC394E">
                            <w:pPr>
                              <w:spacing w:line="360" w:lineRule="auto"/>
                              <w:rPr>
                                <w:rFonts w:ascii="Comic Sans MS" w:hAnsi="Comic Sans MS"/>
                                <w:sz w:val="18"/>
                                <w:szCs w:val="18"/>
                              </w:rPr>
                            </w:pPr>
                            <w:r w:rsidRPr="006962CF">
                              <w:rPr>
                                <w:rFonts w:ascii="Comic Sans MS" w:hAnsi="Comic Sans MS"/>
                                <w:sz w:val="18"/>
                                <w:szCs w:val="18"/>
                              </w:rPr>
                              <w:t>The Pop It feature makes learning multiplication more fun and interactive, increasing engagement for children who might otherwise struggle with traditional methods (Boaler, 2016).</w:t>
                            </w:r>
                          </w:p>
                          <w:p w14:paraId="5B0D5B6C" w14:textId="77777777" w:rsidR="00DC394E" w:rsidRDefault="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F6C52" id="Text Box 3" o:spid="_x0000_s1038" type="#_x0000_t202" style="position:absolute;margin-left:-34.6pt;margin-top:55.1pt;width:200.1pt;height:131.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" fillcolor="white [3201]" stroked="f" strokeweight=".5pt">
                <v:textbox>
                  <w:txbxContent>
                    <w:p w14:paraId="56977894" w14:textId="77777777" w:rsidR="00DC394E" w:rsidRPr="00984690" w:rsidRDefault="00DC394E" w:rsidP="00DC394E">
                      <w:pPr>
                        <w:spacing w:line="360" w:lineRule="auto"/>
                        <w:rPr>
                          <w:rFonts w:ascii="Comic Sans MS" w:hAnsi="Comic Sans MS"/>
                          <w:sz w:val="18"/>
                          <w:szCs w:val="18"/>
                        </w:rPr>
                      </w:pPr>
                      <w:r w:rsidRPr="00984690">
                        <w:rPr>
                          <w:rFonts w:ascii="Comic Sans MS" w:hAnsi="Comic Sans MS"/>
                          <w:sz w:val="18"/>
                          <w:szCs w:val="18"/>
                          <w:highlight w:val="green"/>
                        </w:rPr>
                        <w:t>1.</w:t>
                      </w:r>
                      <w:r>
                        <w:rPr>
                          <w:rFonts w:ascii="Comic Sans MS" w:hAnsi="Comic Sans MS"/>
                          <w:sz w:val="18"/>
                          <w:szCs w:val="18"/>
                          <w:highlight w:val="green"/>
                        </w:rPr>
                        <w:t xml:space="preserve"> </w:t>
                      </w:r>
                      <w:r w:rsidRPr="00984690">
                        <w:rPr>
                          <w:rFonts w:ascii="Comic Sans MS" w:hAnsi="Comic Sans MS"/>
                          <w:sz w:val="18"/>
                          <w:szCs w:val="18"/>
                          <w:highlight w:val="green"/>
                        </w:rPr>
                        <w:t>Enhances Engagement and Motivation</w:t>
                      </w:r>
                    </w:p>
                    <w:p w14:paraId="0BF9B064" w14:textId="77777777" w:rsidR="00DC394E" w:rsidRPr="006962CF" w:rsidRDefault="00DC394E" w:rsidP="00DC394E">
                      <w:pPr>
                        <w:spacing w:line="360" w:lineRule="auto"/>
                        <w:rPr>
                          <w:rFonts w:ascii="Comic Sans MS" w:hAnsi="Comic Sans MS"/>
                          <w:sz w:val="18"/>
                          <w:szCs w:val="18"/>
                        </w:rPr>
                      </w:pPr>
                      <w:r w:rsidRPr="006962CF">
                        <w:rPr>
                          <w:rFonts w:ascii="Comic Sans MS" w:hAnsi="Comic Sans MS"/>
                          <w:sz w:val="18"/>
                          <w:szCs w:val="18"/>
                        </w:rPr>
                        <w:t>The Pop It feature makes learning multiplication more fun and interactive, increasing engagement for children who might otherwise struggle with traditional methods (Boaler, 2016).</w:t>
                      </w:r>
                    </w:p>
                    <w:p w14:paraId="5B0D5B6C" w14:textId="77777777" w:rsidR="00DC394E" w:rsidRDefault="00DC394E"/>
                  </w:txbxContent>
                </v:textbox>
              </v:shape>
            </w:pict>
          </mc:Fallback>
        </mc:AlternateContent>
      </w:r>
      <w:r>
        <w:rPr>
          <w:rFonts w:ascii="Alasassy Caps" w:hAnsi="Alasassy Caps"/>
          <w:noProof/>
          <w:sz w:val="28"/>
          <w:szCs w:val="28"/>
        </w:rPr>
        <mc:AlternateContent>
          <mc:Choice Requires="wps">
            <w:drawing>
              <wp:anchor distT="0" distB="0" distL="114300" distR="114300" simplePos="0" relativeHeight="251663872" behindDoc="0" locked="0" layoutInCell="1" allowOverlap="1" wp14:anchorId="6F0A43CD" wp14:editId="4D774C6B">
                <wp:simplePos x="0" y="0"/>
                <wp:positionH relativeFrom="page">
                  <wp:posOffset>7528956</wp:posOffset>
                </wp:positionH>
                <wp:positionV relativeFrom="paragraph">
                  <wp:posOffset>639404</wp:posOffset>
                </wp:positionV>
                <wp:extent cx="3057525" cy="1365662"/>
                <wp:effectExtent l="0" t="0" r="9525" b="6350"/>
                <wp:wrapNone/>
                <wp:docPr id="1681096694" name="Text Box 2"/>
                <wp:cNvGraphicFramePr/>
                <a:graphic xmlns:a="http://schemas.openxmlformats.org/drawingml/2006/main">
                  <a:graphicData uri="http://schemas.microsoft.com/office/word/2010/wordprocessingShape">
                    <wps:wsp>
                      <wps:cNvSpPr txBox="1"/>
                      <wps:spPr>
                        <a:xfrm>
                          <a:off x="0" y="0"/>
                          <a:ext cx="3057525" cy="1365662"/>
                        </a:xfrm>
                        <a:prstGeom prst="rect">
                          <a:avLst/>
                        </a:prstGeom>
                        <a:solidFill>
                          <a:schemeClr val="lt1"/>
                        </a:solidFill>
                        <a:ln w="6350">
                          <a:noFill/>
                        </a:ln>
                      </wps:spPr>
                      <wps:txbx>
                        <w:txbxContent>
                          <w:p w14:paraId="4E2EF412" w14:textId="77777777" w:rsidR="00DC394E" w:rsidRPr="00857BD9" w:rsidRDefault="00DC394E" w:rsidP="00DC394E">
                            <w:pPr>
                              <w:spacing w:line="360" w:lineRule="auto"/>
                              <w:rPr>
                                <w:rFonts w:ascii="Comic Sans MS" w:hAnsi="Comic Sans MS"/>
                                <w:sz w:val="18"/>
                                <w:szCs w:val="18"/>
                                <w:highlight w:val="green"/>
                              </w:rPr>
                            </w:pPr>
                            <w:r w:rsidRPr="00857BD9">
                              <w:rPr>
                                <w:rFonts w:ascii="Comic Sans MS" w:hAnsi="Comic Sans MS"/>
                                <w:sz w:val="18"/>
                                <w:szCs w:val="18"/>
                                <w:highlight w:val="green"/>
                              </w:rPr>
                              <w:t>2. Supports Kinesthetic Learning</w:t>
                            </w:r>
                          </w:p>
                          <w:p w14:paraId="7A56474E"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 xml:space="preserve">Pressing the bubbles provides a physical action that reinforces number patterns, benefiting </w:t>
                            </w:r>
                            <w:r w:rsidRPr="006962CF">
                              <w:rPr>
                                <w:rFonts w:ascii="Comic Sans MS" w:hAnsi="Comic Sans MS"/>
                                <w:sz w:val="18"/>
                                <w:szCs w:val="18"/>
                              </w:rPr>
                              <w:t>kinaesthetic</w:t>
                            </w:r>
                            <w:r w:rsidRPr="00857BD9">
                              <w:rPr>
                                <w:rFonts w:ascii="Comic Sans MS" w:hAnsi="Comic Sans MS"/>
                                <w:sz w:val="18"/>
                                <w:szCs w:val="18"/>
                              </w:rPr>
                              <w:t xml:space="preserve"> learners who learn best through movement and touch (Piaget, 1952).</w:t>
                            </w:r>
                          </w:p>
                          <w:p w14:paraId="5AFA6356" w14:textId="77777777" w:rsidR="00DC394E" w:rsidRDefault="00DC394E" w:rsidP="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A43CD" id="Text Box 2" o:spid="_x0000_s1039" type="#_x0000_t202" style="position:absolute;margin-left:592.85pt;margin-top:50.35pt;width:240.75pt;height:107.55pt;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" fillcolor="white [3201]" stroked="f" strokeweight=".5pt">
                <v:textbox>
                  <w:txbxContent>
                    <w:p w14:paraId="4E2EF412" w14:textId="77777777" w:rsidR="00DC394E" w:rsidRPr="00857BD9" w:rsidRDefault="00DC394E" w:rsidP="00DC394E">
                      <w:pPr>
                        <w:spacing w:line="360" w:lineRule="auto"/>
                        <w:rPr>
                          <w:rFonts w:ascii="Comic Sans MS" w:hAnsi="Comic Sans MS"/>
                          <w:sz w:val="18"/>
                          <w:szCs w:val="18"/>
                          <w:highlight w:val="green"/>
                        </w:rPr>
                      </w:pPr>
                      <w:r w:rsidRPr="00857BD9">
                        <w:rPr>
                          <w:rFonts w:ascii="Comic Sans MS" w:hAnsi="Comic Sans MS"/>
                          <w:sz w:val="18"/>
                          <w:szCs w:val="18"/>
                          <w:highlight w:val="green"/>
                        </w:rPr>
                        <w:t>2. Supports Kinesthetic Learning</w:t>
                      </w:r>
                    </w:p>
                    <w:p w14:paraId="7A56474E"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 xml:space="preserve">Pressing the bubbles provides a physical action that reinforces number patterns, benefiting </w:t>
                      </w:r>
                      <w:r w:rsidRPr="006962CF">
                        <w:rPr>
                          <w:rFonts w:ascii="Comic Sans MS" w:hAnsi="Comic Sans MS"/>
                          <w:sz w:val="18"/>
                          <w:szCs w:val="18"/>
                        </w:rPr>
                        <w:t>kinaesthetic</w:t>
                      </w:r>
                      <w:r w:rsidRPr="00857BD9">
                        <w:rPr>
                          <w:rFonts w:ascii="Comic Sans MS" w:hAnsi="Comic Sans MS"/>
                          <w:sz w:val="18"/>
                          <w:szCs w:val="18"/>
                        </w:rPr>
                        <w:t xml:space="preserve"> learners who learn best through movement and touch (Piaget, 1952).</w:t>
                      </w:r>
                    </w:p>
                    <w:p w14:paraId="5AFA6356" w14:textId="77777777" w:rsidR="00DC394E" w:rsidRDefault="00DC394E" w:rsidP="00DC394E"/>
                  </w:txbxContent>
                </v:textbox>
                <w10:wrap anchorx="page"/>
              </v:shape>
            </w:pict>
          </mc:Fallback>
        </mc:AlternateContent>
      </w:r>
      <w:r w:rsidRPr="00857BD9">
        <w:rPr>
          <w:rFonts w:ascii="Comic Sans MS" w:hAnsi="Comic Sans MS"/>
          <w:sz w:val="24"/>
          <w:szCs w:val="24"/>
        </w:rPr>
        <w:t>A time</w:t>
      </w:r>
      <w:r>
        <w:rPr>
          <w:rFonts w:ascii="Comic Sans MS" w:hAnsi="Comic Sans MS"/>
          <w:sz w:val="24"/>
          <w:szCs w:val="24"/>
        </w:rPr>
        <w:t xml:space="preserve">s </w:t>
      </w:r>
      <w:r w:rsidRPr="00857BD9">
        <w:rPr>
          <w:rFonts w:ascii="Comic Sans MS" w:hAnsi="Comic Sans MS"/>
          <w:sz w:val="24"/>
          <w:szCs w:val="24"/>
        </w:rPr>
        <w:t>table Pop It square is a tactile, sensory-based learning tool that combines the benefits of a multiplication grid with the interactive, hands-on experience of a Pop It fidget toy. Here are some key advantages:</w:t>
      </w:r>
      <w:r>
        <w:rPr>
          <w:rFonts w:ascii="Comic Sans MS" w:hAnsi="Comic Sans MS"/>
          <w:sz w:val="24"/>
          <w:szCs w:val="24"/>
        </w:rPr>
        <w:t xml:space="preserve"> </w:t>
      </w:r>
    </w:p>
    <w:p w14:paraId="6F83B69B" w14:textId="279523C5" w:rsidR="00DC394E" w:rsidRDefault="00DC394E" w:rsidP="00DC394E">
      <w:r>
        <w:rPr>
          <w:rFonts w:ascii="Alasassy Caps" w:hAnsi="Alasassy Caps"/>
          <w:noProof/>
          <w:sz w:val="28"/>
          <w:szCs w:val="28"/>
        </w:rPr>
        <mc:AlternateContent>
          <mc:Choice Requires="wps">
            <w:drawing>
              <wp:anchor distT="0" distB="0" distL="114300" distR="114300" simplePos="0" relativeHeight="251670016" behindDoc="0" locked="0" layoutInCell="1" allowOverlap="1" wp14:anchorId="301F5F63" wp14:editId="71D3F402">
                <wp:simplePos x="0" y="0"/>
                <wp:positionH relativeFrom="margin">
                  <wp:posOffset>-486707</wp:posOffset>
                </wp:positionH>
                <wp:positionV relativeFrom="paragraph">
                  <wp:posOffset>3154045</wp:posOffset>
                </wp:positionV>
                <wp:extent cx="2362200" cy="1662546"/>
                <wp:effectExtent l="0" t="0" r="0" b="0"/>
                <wp:wrapNone/>
                <wp:docPr id="653268089" name="Text Box 5"/>
                <wp:cNvGraphicFramePr/>
                <a:graphic xmlns:a="http://schemas.openxmlformats.org/drawingml/2006/main">
                  <a:graphicData uri="http://schemas.microsoft.com/office/word/2010/wordprocessingShape">
                    <wps:wsp>
                      <wps:cNvSpPr txBox="1"/>
                      <wps:spPr>
                        <a:xfrm>
                          <a:off x="0" y="0"/>
                          <a:ext cx="2362200" cy="1662546"/>
                        </a:xfrm>
                        <a:prstGeom prst="rect">
                          <a:avLst/>
                        </a:prstGeom>
                        <a:solidFill>
                          <a:schemeClr val="lt1"/>
                        </a:solidFill>
                        <a:ln w="6350">
                          <a:noFill/>
                        </a:ln>
                      </wps:spPr>
                      <wps:txbx>
                        <w:txbxContent>
                          <w:p w14:paraId="28CA2E00"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5. Encourages Independent Learning</w:t>
                            </w:r>
                          </w:p>
                          <w:p w14:paraId="6F538A71" w14:textId="77777777" w:rsidR="00DC394E" w:rsidRDefault="00DC394E" w:rsidP="00DC394E">
                            <w:pPr>
                              <w:spacing w:line="360" w:lineRule="auto"/>
                              <w:rPr>
                                <w:rFonts w:ascii="Comic Sans MS" w:hAnsi="Comic Sans MS"/>
                                <w:sz w:val="18"/>
                                <w:szCs w:val="18"/>
                              </w:rPr>
                            </w:pPr>
                            <w:r w:rsidRPr="00857BD9">
                              <w:rPr>
                                <w:rFonts w:ascii="Comic Sans MS" w:hAnsi="Comic Sans MS"/>
                                <w:sz w:val="18"/>
                                <w:szCs w:val="18"/>
                              </w:rPr>
                              <w:t>Children can self-check their answers by popping the correct numbers, promoting independent exploration and reducing reliance on direct instruction (Montessori, 1964).</w:t>
                            </w:r>
                          </w:p>
                          <w:p w14:paraId="5FEAFDE2" w14:textId="77777777" w:rsidR="0084157F" w:rsidRPr="00857BD9" w:rsidRDefault="0084157F" w:rsidP="00DC394E">
                            <w:pPr>
                              <w:spacing w:line="360" w:lineRule="auto"/>
                              <w:rPr>
                                <w:rFonts w:ascii="Comic Sans MS" w:hAnsi="Comic Sans MS"/>
                                <w:sz w:val="18"/>
                                <w:szCs w:val="18"/>
                              </w:rPr>
                            </w:pPr>
                          </w:p>
                          <w:p w14:paraId="72F30616" w14:textId="77777777" w:rsidR="00DC394E" w:rsidRDefault="00DC394E" w:rsidP="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1F5F63" id="Text Box 5" o:spid="_x0000_s1040" type="#_x0000_t202" style="position:absolute;margin-left:-38.3pt;margin-top:248.35pt;width:186pt;height:130.9pt;z-index:251670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" fillcolor="white [3201]" stroked="f" strokeweight=".5pt">
                <v:textbox>
                  <w:txbxContent>
                    <w:p w14:paraId="28CA2E00"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5. Encourages Independent Learning</w:t>
                      </w:r>
                    </w:p>
                    <w:p w14:paraId="6F538A71" w14:textId="77777777" w:rsidR="00DC394E" w:rsidRDefault="00DC394E" w:rsidP="00DC394E">
                      <w:pPr>
                        <w:spacing w:line="360" w:lineRule="auto"/>
                        <w:rPr>
                          <w:rFonts w:ascii="Comic Sans MS" w:hAnsi="Comic Sans MS"/>
                          <w:sz w:val="18"/>
                          <w:szCs w:val="18"/>
                        </w:rPr>
                      </w:pPr>
                      <w:r w:rsidRPr="00857BD9">
                        <w:rPr>
                          <w:rFonts w:ascii="Comic Sans MS" w:hAnsi="Comic Sans MS"/>
                          <w:sz w:val="18"/>
                          <w:szCs w:val="18"/>
                        </w:rPr>
                        <w:t>Children can self-check their answers by popping the correct numbers, promoting independent exploration and reducing reliance on direct instruction (Montessori, 1964).</w:t>
                      </w:r>
                    </w:p>
                    <w:p w14:paraId="5FEAFDE2" w14:textId="77777777" w:rsidR="0084157F" w:rsidRPr="00857BD9" w:rsidRDefault="0084157F" w:rsidP="00DC394E">
                      <w:pPr>
                        <w:spacing w:line="360" w:lineRule="auto"/>
                        <w:rPr>
                          <w:rFonts w:ascii="Comic Sans MS" w:hAnsi="Comic Sans MS"/>
                          <w:sz w:val="18"/>
                          <w:szCs w:val="18"/>
                        </w:rPr>
                      </w:pPr>
                    </w:p>
                    <w:p w14:paraId="72F30616" w14:textId="77777777" w:rsidR="00DC394E" w:rsidRDefault="00DC394E" w:rsidP="00DC394E"/>
                  </w:txbxContent>
                </v:textbox>
                <w10:wrap anchorx="margin"/>
              </v:shape>
            </w:pict>
          </mc:Fallback>
        </mc:AlternateContent>
      </w:r>
      <w:r>
        <w:rPr>
          <w:rFonts w:ascii="Alasassy Caps" w:hAnsi="Alasassy Caps"/>
          <w:noProof/>
          <w:sz w:val="28"/>
          <w:szCs w:val="28"/>
        </w:rPr>
        <mc:AlternateContent>
          <mc:Choice Requires="wps">
            <w:drawing>
              <wp:anchor distT="0" distB="0" distL="114300" distR="114300" simplePos="0" relativeHeight="251665920" behindDoc="0" locked="0" layoutInCell="1" allowOverlap="1" wp14:anchorId="47EDD66B" wp14:editId="5C4D142E">
                <wp:simplePos x="0" y="0"/>
                <wp:positionH relativeFrom="column">
                  <wp:posOffset>-415084</wp:posOffset>
                </wp:positionH>
                <wp:positionV relativeFrom="paragraph">
                  <wp:posOffset>1526986</wp:posOffset>
                </wp:positionV>
                <wp:extent cx="2219325" cy="1603169"/>
                <wp:effectExtent l="0" t="0" r="9525" b="0"/>
                <wp:wrapNone/>
                <wp:docPr id="598794328" name="Text Box 3"/>
                <wp:cNvGraphicFramePr/>
                <a:graphic xmlns:a="http://schemas.openxmlformats.org/drawingml/2006/main">
                  <a:graphicData uri="http://schemas.microsoft.com/office/word/2010/wordprocessingShape">
                    <wps:wsp>
                      <wps:cNvSpPr txBox="1"/>
                      <wps:spPr>
                        <a:xfrm>
                          <a:off x="0" y="0"/>
                          <a:ext cx="2219325" cy="1603169"/>
                        </a:xfrm>
                        <a:prstGeom prst="rect">
                          <a:avLst/>
                        </a:prstGeom>
                        <a:solidFill>
                          <a:schemeClr val="lt1"/>
                        </a:solidFill>
                        <a:ln w="6350">
                          <a:noFill/>
                        </a:ln>
                      </wps:spPr>
                      <wps:txbx>
                        <w:txbxContent>
                          <w:p w14:paraId="2FC56E6F"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3. Improves Memory Retention</w:t>
                            </w:r>
                          </w:p>
                          <w:p w14:paraId="442A6CC5"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The combination of visual cues (the grid) and physical interaction (pressing bubbles) strengthens memory recall of multiplication facts (</w:t>
                            </w:r>
                            <w:r>
                              <w:rPr>
                                <w:rFonts w:ascii="Comic Sans MS" w:hAnsi="Comic Sans MS"/>
                                <w:sz w:val="18"/>
                                <w:szCs w:val="18"/>
                              </w:rPr>
                              <w:t>Dickson, et.al 2022</w:t>
                            </w:r>
                            <w:r w:rsidRPr="00857BD9">
                              <w:rPr>
                                <w:rFonts w:ascii="Comic Sans MS" w:hAnsi="Comic Sans MS"/>
                                <w:sz w:val="18"/>
                                <w:szCs w:val="18"/>
                              </w:rPr>
                              <w:t>).</w:t>
                            </w:r>
                          </w:p>
                          <w:p w14:paraId="2A9B903E" w14:textId="77777777" w:rsidR="00DC394E" w:rsidRDefault="00DC394E" w:rsidP="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DD66B" id="_x0000_s1041" type="#_x0000_t202" style="position:absolute;margin-left:-32.7pt;margin-top:120.25pt;width:174.75pt;height:126.2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" fillcolor="white [3201]" stroked="f" strokeweight=".5pt">
                <v:textbox>
                  <w:txbxContent>
                    <w:p w14:paraId="2FC56E6F"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3. Improves Memory Retention</w:t>
                      </w:r>
                    </w:p>
                    <w:p w14:paraId="442A6CC5"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The combination of visual cues (the grid) and physical interaction (pressing bubbles) strengthens memory recall of multiplication facts (</w:t>
                      </w:r>
                      <w:r>
                        <w:rPr>
                          <w:rFonts w:ascii="Comic Sans MS" w:hAnsi="Comic Sans MS"/>
                          <w:sz w:val="18"/>
                          <w:szCs w:val="18"/>
                        </w:rPr>
                        <w:t>Dickson, et.al 2022</w:t>
                      </w:r>
                      <w:r w:rsidRPr="00857BD9">
                        <w:rPr>
                          <w:rFonts w:ascii="Comic Sans MS" w:hAnsi="Comic Sans MS"/>
                          <w:sz w:val="18"/>
                          <w:szCs w:val="18"/>
                        </w:rPr>
                        <w:t>).</w:t>
                      </w:r>
                    </w:p>
                    <w:p w14:paraId="2A9B903E" w14:textId="77777777" w:rsidR="00DC394E" w:rsidRDefault="00DC394E" w:rsidP="00DC394E"/>
                  </w:txbxContent>
                </v:textbox>
              </v:shape>
            </w:pict>
          </mc:Fallback>
        </mc:AlternateContent>
      </w:r>
      <w:r>
        <w:rPr>
          <w:rFonts w:ascii="Alasassy Caps" w:hAnsi="Alasassy Caps"/>
          <w:noProof/>
          <w:sz w:val="28"/>
          <w:szCs w:val="28"/>
        </w:rPr>
        <mc:AlternateContent>
          <mc:Choice Requires="wps">
            <w:drawing>
              <wp:anchor distT="0" distB="0" distL="114300" distR="114300" simplePos="0" relativeHeight="251672064" behindDoc="0" locked="0" layoutInCell="1" allowOverlap="1" wp14:anchorId="7421535A" wp14:editId="23835790">
                <wp:simplePos x="0" y="0"/>
                <wp:positionH relativeFrom="margin">
                  <wp:posOffset>6685808</wp:posOffset>
                </wp:positionH>
                <wp:positionV relativeFrom="paragraph">
                  <wp:posOffset>2999723</wp:posOffset>
                </wp:positionV>
                <wp:extent cx="2781300" cy="1496291"/>
                <wp:effectExtent l="0" t="0" r="0" b="8890"/>
                <wp:wrapNone/>
                <wp:docPr id="301476636" name="Text Box 6"/>
                <wp:cNvGraphicFramePr/>
                <a:graphic xmlns:a="http://schemas.openxmlformats.org/drawingml/2006/main">
                  <a:graphicData uri="http://schemas.microsoft.com/office/word/2010/wordprocessingShape">
                    <wps:wsp>
                      <wps:cNvSpPr txBox="1"/>
                      <wps:spPr>
                        <a:xfrm>
                          <a:off x="0" y="0"/>
                          <a:ext cx="2781300" cy="1496291"/>
                        </a:xfrm>
                        <a:prstGeom prst="rect">
                          <a:avLst/>
                        </a:prstGeom>
                        <a:solidFill>
                          <a:schemeClr val="lt1"/>
                        </a:solidFill>
                        <a:ln w="6350">
                          <a:noFill/>
                        </a:ln>
                      </wps:spPr>
                      <wps:txbx>
                        <w:txbxContent>
                          <w:p w14:paraId="79DDF61D"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6. Develops Pattern Recognition</w:t>
                            </w:r>
                          </w:p>
                          <w:p w14:paraId="5337A85A"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By repeatedly using the Pop It square, children naturally identify multiplication patterns, such as doubles and square numbers (</w:t>
                            </w:r>
                            <w:r w:rsidRPr="0039338C">
                              <w:rPr>
                                <w:rFonts w:ascii="Comic Sans MS" w:hAnsi="Comic Sans MS"/>
                                <w:sz w:val="18"/>
                                <w:szCs w:val="18"/>
                              </w:rPr>
                              <w:t>SanGiovanni</w:t>
                            </w:r>
                            <w:r>
                              <w:rPr>
                                <w:rFonts w:ascii="Comic Sans MS" w:hAnsi="Comic Sans MS"/>
                                <w:sz w:val="18"/>
                                <w:szCs w:val="18"/>
                              </w:rPr>
                              <w:t xml:space="preserve"> </w:t>
                            </w:r>
                            <w:r>
                              <w:t xml:space="preserve">&amp; </w:t>
                            </w:r>
                            <w:r w:rsidRPr="0039338C">
                              <w:rPr>
                                <w:rFonts w:ascii="Comic Sans MS" w:hAnsi="Comic Sans MS"/>
                                <w:sz w:val="18"/>
                                <w:szCs w:val="18"/>
                              </w:rPr>
                              <w:t>Bay-Williams,</w:t>
                            </w:r>
                            <w:r w:rsidRPr="00857BD9">
                              <w:rPr>
                                <w:rFonts w:ascii="Comic Sans MS" w:hAnsi="Comic Sans MS"/>
                                <w:sz w:val="18"/>
                                <w:szCs w:val="18"/>
                              </w:rPr>
                              <w:t>20</w:t>
                            </w:r>
                            <w:r>
                              <w:rPr>
                                <w:rFonts w:ascii="Comic Sans MS" w:hAnsi="Comic Sans MS"/>
                                <w:sz w:val="18"/>
                                <w:szCs w:val="18"/>
                              </w:rPr>
                              <w:t>22</w:t>
                            </w:r>
                            <w:r w:rsidRPr="00857BD9">
                              <w:rPr>
                                <w:rFonts w:ascii="Comic Sans MS" w:hAnsi="Comic Sans MS"/>
                                <w:sz w:val="18"/>
                                <w:szCs w:val="18"/>
                              </w:rPr>
                              <w:t>).</w:t>
                            </w:r>
                          </w:p>
                          <w:p w14:paraId="19425B3D" w14:textId="77777777" w:rsidR="00DC394E" w:rsidRDefault="00DC394E" w:rsidP="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21535A" id="Text Box 6" o:spid="_x0000_s1042" type="#_x0000_t202" style="position:absolute;margin-left:526.45pt;margin-top:236.2pt;width:219pt;height:117.8pt;z-index:251672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" fillcolor="white [3201]" stroked="f" strokeweight=".5pt">
                <v:textbox>
                  <w:txbxContent>
                    <w:p w14:paraId="79DDF61D"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6. Develops Pattern Recognition</w:t>
                      </w:r>
                    </w:p>
                    <w:p w14:paraId="5337A85A"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By repeatedly using the Pop It square, children naturally identify multiplication patterns, such as doubles and square numbers (</w:t>
                      </w:r>
                      <w:r w:rsidRPr="0039338C">
                        <w:rPr>
                          <w:rFonts w:ascii="Comic Sans MS" w:hAnsi="Comic Sans MS"/>
                          <w:sz w:val="18"/>
                          <w:szCs w:val="18"/>
                        </w:rPr>
                        <w:t>SanGiovanni</w:t>
                      </w:r>
                      <w:r>
                        <w:rPr>
                          <w:rFonts w:ascii="Comic Sans MS" w:hAnsi="Comic Sans MS"/>
                          <w:sz w:val="18"/>
                          <w:szCs w:val="18"/>
                        </w:rPr>
                        <w:t xml:space="preserve"> </w:t>
                      </w:r>
                      <w:r>
                        <w:t xml:space="preserve">&amp; </w:t>
                      </w:r>
                      <w:r w:rsidRPr="0039338C">
                        <w:rPr>
                          <w:rFonts w:ascii="Comic Sans MS" w:hAnsi="Comic Sans MS"/>
                          <w:sz w:val="18"/>
                          <w:szCs w:val="18"/>
                        </w:rPr>
                        <w:t>Bay-Williams,</w:t>
                      </w:r>
                      <w:r w:rsidRPr="00857BD9">
                        <w:rPr>
                          <w:rFonts w:ascii="Comic Sans MS" w:hAnsi="Comic Sans MS"/>
                          <w:sz w:val="18"/>
                          <w:szCs w:val="18"/>
                        </w:rPr>
                        <w:t>20</w:t>
                      </w:r>
                      <w:r>
                        <w:rPr>
                          <w:rFonts w:ascii="Comic Sans MS" w:hAnsi="Comic Sans MS"/>
                          <w:sz w:val="18"/>
                          <w:szCs w:val="18"/>
                        </w:rPr>
                        <w:t>22</w:t>
                      </w:r>
                      <w:r w:rsidRPr="00857BD9">
                        <w:rPr>
                          <w:rFonts w:ascii="Comic Sans MS" w:hAnsi="Comic Sans MS"/>
                          <w:sz w:val="18"/>
                          <w:szCs w:val="18"/>
                        </w:rPr>
                        <w:t>).</w:t>
                      </w:r>
                    </w:p>
                    <w:p w14:paraId="19425B3D" w14:textId="77777777" w:rsidR="00DC394E" w:rsidRDefault="00DC394E" w:rsidP="00DC394E"/>
                  </w:txbxContent>
                </v:textbox>
                <w10:wrap anchorx="margin"/>
              </v:shape>
            </w:pict>
          </mc:Fallback>
        </mc:AlternateContent>
      </w:r>
      <w:r>
        <w:rPr>
          <w:rFonts w:ascii="Alasassy Caps" w:hAnsi="Alasassy Caps"/>
          <w:noProof/>
          <w:sz w:val="28"/>
          <w:szCs w:val="28"/>
        </w:rPr>
        <mc:AlternateContent>
          <mc:Choice Requires="wps">
            <w:drawing>
              <wp:anchor distT="0" distB="0" distL="114300" distR="114300" simplePos="0" relativeHeight="251667968" behindDoc="0" locked="0" layoutInCell="1" allowOverlap="1" wp14:anchorId="4E396164" wp14:editId="71DF8BB5">
                <wp:simplePos x="0" y="0"/>
                <wp:positionH relativeFrom="page">
                  <wp:posOffset>7576457</wp:posOffset>
                </wp:positionH>
                <wp:positionV relativeFrom="paragraph">
                  <wp:posOffset>1325303</wp:posOffset>
                </wp:positionV>
                <wp:extent cx="2819400" cy="1543050"/>
                <wp:effectExtent l="0" t="0" r="0" b="0"/>
                <wp:wrapNone/>
                <wp:docPr id="727640833" name="Text Box 4"/>
                <wp:cNvGraphicFramePr/>
                <a:graphic xmlns:a="http://schemas.openxmlformats.org/drawingml/2006/main">
                  <a:graphicData uri="http://schemas.microsoft.com/office/word/2010/wordprocessingShape">
                    <wps:wsp>
                      <wps:cNvSpPr txBox="1"/>
                      <wps:spPr>
                        <a:xfrm>
                          <a:off x="0" y="0"/>
                          <a:ext cx="2819400" cy="1543050"/>
                        </a:xfrm>
                        <a:prstGeom prst="rect">
                          <a:avLst/>
                        </a:prstGeom>
                        <a:solidFill>
                          <a:schemeClr val="lt1"/>
                        </a:solidFill>
                        <a:ln w="6350">
                          <a:noFill/>
                        </a:ln>
                      </wps:spPr>
                      <wps:txbx>
                        <w:txbxContent>
                          <w:p w14:paraId="7F5B9AB9"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4. Reduces Math Anxiety</w:t>
                            </w:r>
                          </w:p>
                          <w:p w14:paraId="784BB00D"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Fidget tools like Pop It toys have been shown to help with focus and reduce anxiety, making multiplication practice less stressful for children with math-related anxiety (</w:t>
                            </w:r>
                            <w:r w:rsidRPr="006A2722">
                              <w:rPr>
                                <w:rFonts w:ascii="Comic Sans MS" w:hAnsi="Comic Sans MS"/>
                                <w:sz w:val="18"/>
                                <w:szCs w:val="18"/>
                              </w:rPr>
                              <w:t>Kriescher, et al, 2023).</w:t>
                            </w:r>
                          </w:p>
                          <w:p w14:paraId="0AADE4E0" w14:textId="77777777" w:rsidR="00DC394E" w:rsidRDefault="00DC394E" w:rsidP="00DC39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96164" id="Text Box 4" o:spid="_x0000_s1043" type="#_x0000_t202" style="position:absolute;margin-left:596.55pt;margin-top:104.35pt;width:222pt;height:121.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" fillcolor="white [3201]" stroked="f" strokeweight=".5pt">
                <v:textbox>
                  <w:txbxContent>
                    <w:p w14:paraId="7F5B9AB9"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highlight w:val="green"/>
                        </w:rPr>
                        <w:t>4. Reduces Math Anxiety</w:t>
                      </w:r>
                    </w:p>
                    <w:p w14:paraId="784BB00D" w14:textId="77777777" w:rsidR="00DC394E" w:rsidRPr="00857BD9" w:rsidRDefault="00DC394E" w:rsidP="00DC394E">
                      <w:pPr>
                        <w:spacing w:line="360" w:lineRule="auto"/>
                        <w:rPr>
                          <w:rFonts w:ascii="Comic Sans MS" w:hAnsi="Comic Sans MS"/>
                          <w:sz w:val="18"/>
                          <w:szCs w:val="18"/>
                        </w:rPr>
                      </w:pPr>
                      <w:r w:rsidRPr="00857BD9">
                        <w:rPr>
                          <w:rFonts w:ascii="Comic Sans MS" w:hAnsi="Comic Sans MS"/>
                          <w:sz w:val="18"/>
                          <w:szCs w:val="18"/>
                        </w:rPr>
                        <w:t>Fidget tools like Pop It toys have been shown to help with focus and reduce anxiety, making multiplication practice less stressful for children with math-related anxiety (</w:t>
                      </w:r>
                      <w:r w:rsidRPr="006A2722">
                        <w:rPr>
                          <w:rFonts w:ascii="Comic Sans MS" w:hAnsi="Comic Sans MS"/>
                          <w:sz w:val="18"/>
                          <w:szCs w:val="18"/>
                        </w:rPr>
                        <w:t>Kriescher, et al, 2023).</w:t>
                      </w:r>
                    </w:p>
                    <w:p w14:paraId="0AADE4E0" w14:textId="77777777" w:rsidR="00DC394E" w:rsidRDefault="00DC394E" w:rsidP="00DC394E"/>
                  </w:txbxContent>
                </v:textbox>
                <w10:wrap anchorx="page"/>
              </v:shape>
            </w:pict>
          </mc:Fallback>
        </mc:AlternateContent>
      </w:r>
    </w:p>
    <w:p w14:paraId="0994D342" w14:textId="4FB3E2F5" w:rsidR="00DC394E" w:rsidRDefault="00DC394E">
      <w:r>
        <w:rPr>
          <w:noProof/>
        </w:rPr>
        <mc:AlternateContent>
          <mc:Choice Requires="wps">
            <w:drawing>
              <wp:anchor distT="0" distB="0" distL="114300" distR="114300" simplePos="0" relativeHeight="251674112" behindDoc="0" locked="0" layoutInCell="1" allowOverlap="1" wp14:anchorId="26109744" wp14:editId="53C4DB6B">
                <wp:simplePos x="0" y="0"/>
                <wp:positionH relativeFrom="margin">
                  <wp:posOffset>2514600</wp:posOffset>
                </wp:positionH>
                <wp:positionV relativeFrom="paragraph">
                  <wp:posOffset>3288030</wp:posOffset>
                </wp:positionV>
                <wp:extent cx="3590925" cy="247650"/>
                <wp:effectExtent l="0" t="0" r="9525" b="0"/>
                <wp:wrapThrough wrapText="bothSides">
                  <wp:wrapPolygon edited="0">
                    <wp:start x="0" y="0"/>
                    <wp:lineTo x="0" y="19938"/>
                    <wp:lineTo x="21543" y="19938"/>
                    <wp:lineTo x="21543" y="0"/>
                    <wp:lineTo x="0" y="0"/>
                  </wp:wrapPolygon>
                </wp:wrapThrough>
                <wp:docPr id="1023998917" name="Text Box 1"/>
                <wp:cNvGraphicFramePr/>
                <a:graphic xmlns:a="http://schemas.openxmlformats.org/drawingml/2006/main">
                  <a:graphicData uri="http://schemas.microsoft.com/office/word/2010/wordprocessingShape">
                    <wps:wsp>
                      <wps:cNvSpPr txBox="1"/>
                      <wps:spPr>
                        <a:xfrm>
                          <a:off x="0" y="0"/>
                          <a:ext cx="3590925" cy="247650"/>
                        </a:xfrm>
                        <a:prstGeom prst="rect">
                          <a:avLst/>
                        </a:prstGeom>
                        <a:solidFill>
                          <a:prstClr val="white"/>
                        </a:solidFill>
                        <a:ln>
                          <a:noFill/>
                        </a:ln>
                      </wps:spPr>
                      <wps:txbx>
                        <w:txbxContent>
                          <w:p w14:paraId="3397E620" w14:textId="76C06A45" w:rsidR="00DC394E" w:rsidRDefault="00DC394E" w:rsidP="00DC394E">
                            <w:pPr>
                              <w:pStyle w:val="Caption"/>
                            </w:pPr>
                            <w:r>
                              <w:t xml:space="preserve">Figure </w:t>
                            </w:r>
                            <w:r w:rsidR="00285E9E">
                              <w:t xml:space="preserve">1 </w:t>
                            </w:r>
                            <w:r>
                              <w:t>Times Table Pop-it Square 2025</w:t>
                            </w:r>
                          </w:p>
                          <w:p w14:paraId="7C4090D4" w14:textId="77777777" w:rsidR="0084157F" w:rsidRPr="0084157F" w:rsidRDefault="0084157F" w:rsidP="0084157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109744" id="_x0000_s1044" type="#_x0000_t202" style="position:absolute;margin-left:198pt;margin-top:258.9pt;width:282.75pt;height:19.5pt;z-index:2516741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" stroked="f">
                <v:textbox inset="0,0,0,0">
                  <w:txbxContent>
                    <w:p w14:paraId="3397E620" w14:textId="76C06A45" w:rsidR="00DC394E" w:rsidRDefault="00DC394E" w:rsidP="00DC394E">
                      <w:pPr>
                        <w:pStyle w:val="Caption"/>
                      </w:pPr>
                      <w:r>
                        <w:t xml:space="preserve">Figure </w:t>
                      </w:r>
                      <w:r w:rsidR="00285E9E">
                        <w:t xml:space="preserve">1 </w:t>
                      </w:r>
                      <w:r>
                        <w:t>Times Table Pop-it Square 2025</w:t>
                      </w:r>
                    </w:p>
                    <w:p w14:paraId="7C4090D4" w14:textId="77777777" w:rsidR="0084157F" w:rsidRPr="0084157F" w:rsidRDefault="0084157F" w:rsidP="0084157F"/>
                  </w:txbxContent>
                </v:textbox>
                <w10:wrap type="through" anchorx="margin"/>
              </v:shape>
            </w:pict>
          </mc:Fallback>
        </mc:AlternateContent>
      </w:r>
      <w:r>
        <w:br w:type="page"/>
      </w:r>
    </w:p>
    <w:p w14:paraId="7AEFEE6A" w14:textId="77777777" w:rsidR="0084157F" w:rsidRDefault="0084157F" w:rsidP="0084157F">
      <w:pPr>
        <w:pStyle w:val="Heading1"/>
        <w:jc w:val="center"/>
        <w:rPr>
          <w:rFonts w:ascii="Comic Sans MS" w:hAnsi="Comic Sans MS"/>
          <w:color w:val="FFC000"/>
          <w:sz w:val="44"/>
          <w:szCs w:val="44"/>
          <w:u w:val="single"/>
        </w:rPr>
      </w:pPr>
      <w:r w:rsidRPr="00255FF6">
        <w:rPr>
          <w:rFonts w:ascii="Comic Sans MS" w:hAnsi="Comic Sans MS"/>
          <w:color w:val="FF0000"/>
          <w:sz w:val="44"/>
          <w:szCs w:val="44"/>
          <w:u w:val="single"/>
        </w:rPr>
        <w:lastRenderedPageBreak/>
        <w:t xml:space="preserve">Pop, </w:t>
      </w:r>
      <w:r w:rsidRPr="00255FF6">
        <w:rPr>
          <w:rFonts w:ascii="Comic Sans MS" w:hAnsi="Comic Sans MS"/>
          <w:color w:val="FFFF00"/>
          <w:sz w:val="44"/>
          <w:szCs w:val="44"/>
          <w:u w:val="single"/>
        </w:rPr>
        <w:t>Learn</w:t>
      </w:r>
      <w:r w:rsidRPr="00255FF6">
        <w:rPr>
          <w:rFonts w:ascii="Comic Sans MS" w:hAnsi="Comic Sans MS"/>
          <w:color w:val="E3F40C"/>
          <w:sz w:val="44"/>
          <w:szCs w:val="44"/>
          <w:u w:val="single"/>
        </w:rPr>
        <w:t>,</w:t>
      </w:r>
      <w:r w:rsidRPr="00255FF6">
        <w:rPr>
          <w:rFonts w:ascii="Comic Sans MS" w:hAnsi="Comic Sans MS"/>
          <w:color w:val="FFFF00"/>
          <w:sz w:val="44"/>
          <w:szCs w:val="44"/>
          <w:u w:val="single"/>
        </w:rPr>
        <w:t xml:space="preserve"> </w:t>
      </w:r>
      <w:r w:rsidRPr="00255FF6">
        <w:rPr>
          <w:rFonts w:ascii="Comic Sans MS" w:hAnsi="Comic Sans MS"/>
          <w:color w:val="F769E3"/>
          <w:sz w:val="44"/>
          <w:szCs w:val="44"/>
          <w:u w:val="single"/>
        </w:rPr>
        <w:t>Multiply:</w:t>
      </w:r>
      <w:r w:rsidRPr="00255FF6">
        <w:rPr>
          <w:rFonts w:ascii="Comic Sans MS" w:hAnsi="Comic Sans MS"/>
          <w:sz w:val="44"/>
          <w:szCs w:val="44"/>
          <w:u w:val="single"/>
        </w:rPr>
        <w:t xml:space="preserve"> </w:t>
      </w:r>
      <w:r w:rsidRPr="00255FF6">
        <w:rPr>
          <w:rFonts w:ascii="Comic Sans MS" w:hAnsi="Comic Sans MS"/>
          <w:color w:val="3A7C22" w:themeColor="accent6" w:themeShade="BF"/>
          <w:sz w:val="44"/>
          <w:szCs w:val="44"/>
          <w:u w:val="single"/>
        </w:rPr>
        <w:t>The</w:t>
      </w:r>
      <w:r w:rsidRPr="00255FF6">
        <w:rPr>
          <w:rFonts w:ascii="Comic Sans MS" w:hAnsi="Comic Sans MS"/>
          <w:sz w:val="44"/>
          <w:szCs w:val="44"/>
          <w:u w:val="single"/>
        </w:rPr>
        <w:t xml:space="preserve"> </w:t>
      </w:r>
      <w:r w:rsidRPr="00255FF6">
        <w:rPr>
          <w:rFonts w:ascii="Comic Sans MS" w:hAnsi="Comic Sans MS"/>
          <w:color w:val="FFC000"/>
          <w:sz w:val="44"/>
          <w:szCs w:val="44"/>
          <w:u w:val="single"/>
        </w:rPr>
        <w:t>Fun</w:t>
      </w:r>
      <w:r w:rsidRPr="00255FF6">
        <w:rPr>
          <w:rFonts w:ascii="Comic Sans MS" w:hAnsi="Comic Sans MS"/>
          <w:sz w:val="44"/>
          <w:szCs w:val="44"/>
          <w:u w:val="single"/>
        </w:rPr>
        <w:t xml:space="preserve"> </w:t>
      </w:r>
      <w:r w:rsidRPr="00255FF6">
        <w:rPr>
          <w:rFonts w:ascii="Comic Sans MS" w:hAnsi="Comic Sans MS"/>
          <w:color w:val="7030A0"/>
          <w:sz w:val="44"/>
          <w:szCs w:val="44"/>
          <w:u w:val="single"/>
        </w:rPr>
        <w:t>and</w:t>
      </w:r>
      <w:r w:rsidRPr="00255FF6">
        <w:rPr>
          <w:rFonts w:ascii="Comic Sans MS" w:hAnsi="Comic Sans MS"/>
          <w:sz w:val="44"/>
          <w:szCs w:val="44"/>
          <w:u w:val="single"/>
        </w:rPr>
        <w:t xml:space="preserve"> </w:t>
      </w:r>
      <w:r w:rsidRPr="00255FF6">
        <w:rPr>
          <w:rFonts w:ascii="Comic Sans MS" w:hAnsi="Comic Sans MS"/>
          <w:color w:val="4C94D8" w:themeColor="text2" w:themeTint="80"/>
          <w:sz w:val="44"/>
          <w:szCs w:val="44"/>
          <w:u w:val="single"/>
        </w:rPr>
        <w:t>Engaging</w:t>
      </w:r>
      <w:r w:rsidRPr="00255FF6">
        <w:rPr>
          <w:rFonts w:ascii="Comic Sans MS" w:hAnsi="Comic Sans MS"/>
          <w:sz w:val="44"/>
          <w:szCs w:val="44"/>
          <w:u w:val="single"/>
        </w:rPr>
        <w:t xml:space="preserve"> </w:t>
      </w:r>
      <w:r w:rsidRPr="00255FF6">
        <w:rPr>
          <w:rFonts w:ascii="Comic Sans MS" w:hAnsi="Comic Sans MS"/>
          <w:color w:val="FF0000"/>
          <w:sz w:val="44"/>
          <w:szCs w:val="44"/>
          <w:u w:val="single"/>
        </w:rPr>
        <w:t xml:space="preserve">way </w:t>
      </w:r>
      <w:r w:rsidRPr="00255FF6">
        <w:rPr>
          <w:rFonts w:ascii="Comic Sans MS" w:hAnsi="Comic Sans MS"/>
          <w:color w:val="FFFF00"/>
          <w:sz w:val="44"/>
          <w:szCs w:val="44"/>
          <w:u w:val="single"/>
        </w:rPr>
        <w:t>to</w:t>
      </w:r>
      <w:r w:rsidRPr="00255FF6">
        <w:rPr>
          <w:rFonts w:ascii="Comic Sans MS" w:hAnsi="Comic Sans MS"/>
          <w:sz w:val="44"/>
          <w:szCs w:val="44"/>
          <w:u w:val="single"/>
        </w:rPr>
        <w:t xml:space="preserve"> </w:t>
      </w:r>
      <w:r w:rsidRPr="00255FF6">
        <w:rPr>
          <w:rFonts w:ascii="Comic Sans MS" w:hAnsi="Comic Sans MS"/>
          <w:color w:val="F769E3"/>
          <w:sz w:val="44"/>
          <w:szCs w:val="44"/>
          <w:u w:val="single"/>
        </w:rPr>
        <w:t>Master</w:t>
      </w:r>
      <w:r w:rsidRPr="00255FF6">
        <w:rPr>
          <w:rFonts w:ascii="Comic Sans MS" w:hAnsi="Comic Sans MS"/>
          <w:sz w:val="44"/>
          <w:szCs w:val="44"/>
          <w:u w:val="single"/>
        </w:rPr>
        <w:t xml:space="preserve"> </w:t>
      </w:r>
      <w:r w:rsidRPr="00255FF6">
        <w:rPr>
          <w:rFonts w:ascii="Comic Sans MS" w:hAnsi="Comic Sans MS"/>
          <w:color w:val="3A7C22" w:themeColor="accent6" w:themeShade="BF"/>
          <w:sz w:val="44"/>
          <w:szCs w:val="44"/>
          <w:u w:val="single"/>
        </w:rPr>
        <w:t>Times</w:t>
      </w:r>
      <w:r w:rsidRPr="00255FF6">
        <w:rPr>
          <w:rFonts w:ascii="Comic Sans MS" w:hAnsi="Comic Sans MS"/>
          <w:sz w:val="44"/>
          <w:szCs w:val="44"/>
          <w:u w:val="single"/>
        </w:rPr>
        <w:t xml:space="preserve"> </w:t>
      </w:r>
      <w:r w:rsidRPr="00255FF6">
        <w:rPr>
          <w:rFonts w:ascii="Comic Sans MS" w:hAnsi="Comic Sans MS"/>
          <w:color w:val="FFC000"/>
          <w:sz w:val="44"/>
          <w:szCs w:val="44"/>
          <w:u w:val="single"/>
        </w:rPr>
        <w:t>Tables</w:t>
      </w:r>
      <w:r>
        <w:rPr>
          <w:rFonts w:ascii="Comic Sans MS" w:hAnsi="Comic Sans MS"/>
          <w:color w:val="FFC000"/>
          <w:sz w:val="44"/>
          <w:szCs w:val="44"/>
          <w:u w:val="single"/>
        </w:rPr>
        <w:t>.</w:t>
      </w:r>
    </w:p>
    <w:p w14:paraId="1FEBDDA5" w14:textId="0597AB19" w:rsidR="0084157F" w:rsidRDefault="0084157F" w:rsidP="00DC394E">
      <w:r>
        <w:rPr>
          <w:rFonts w:ascii="Alasassy Caps" w:hAnsi="Alasassy Caps"/>
          <w:noProof/>
          <w:sz w:val="28"/>
          <w:szCs w:val="28"/>
        </w:rPr>
        <w:drawing>
          <wp:anchor distT="0" distB="0" distL="114300" distR="114300" simplePos="0" relativeHeight="251707904" behindDoc="1" locked="0" layoutInCell="1" allowOverlap="1" wp14:anchorId="3F1D8DB5" wp14:editId="18EAC801">
            <wp:simplePos x="0" y="0"/>
            <wp:positionH relativeFrom="margin">
              <wp:posOffset>-428625</wp:posOffset>
            </wp:positionH>
            <wp:positionV relativeFrom="paragraph">
              <wp:posOffset>17780</wp:posOffset>
            </wp:positionV>
            <wp:extent cx="3819525" cy="3693160"/>
            <wp:effectExtent l="0" t="0" r="9525" b="2540"/>
            <wp:wrapTight wrapText="bothSides">
              <wp:wrapPolygon edited="0">
                <wp:start x="0" y="0"/>
                <wp:lineTo x="0" y="21503"/>
                <wp:lineTo x="21546" y="21503"/>
                <wp:lineTo x="21546" y="0"/>
                <wp:lineTo x="0" y="0"/>
              </wp:wrapPolygon>
            </wp:wrapTight>
            <wp:docPr id="1931876357" name="Picture 8" descr="A colorful plastic gam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07759" name="Picture 8" descr="A colorful plastic game with numbers&#10;&#10;Description automatically generated"/>
                    <pic:cNvPicPr/>
                  </pic:nvPicPr>
                  <pic:blipFill rotWithShape="1">
                    <a:blip r:embed="rId50" cstate="print">
                      <a:extLst>
                        <a:ext uri="{28A0092B-C50C-407E-A947-70E740481C1C}">
                          <a14:useLocalDpi xmlns:a14="http://schemas.microsoft.com/office/drawing/2010/main" val="0"/>
                        </a:ext>
                      </a:extLst>
                    </a:blip>
                    <a:srcRect l="11799" t="19143" r="8266" b="22673"/>
                    <a:stretch/>
                  </pic:blipFill>
                  <pic:spPr bwMode="auto">
                    <a:xfrm>
                      <a:off x="0" y="0"/>
                      <a:ext cx="3819525" cy="369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A658DC" w14:textId="268BA019" w:rsidR="0084157F" w:rsidRDefault="00FB3B54">
      <w:r>
        <w:rPr>
          <w:rFonts w:ascii="Alasassy Caps" w:hAnsi="Alasassy Caps"/>
          <w:noProof/>
          <w:sz w:val="28"/>
          <w:szCs w:val="28"/>
        </w:rPr>
        <mc:AlternateContent>
          <mc:Choice Requires="wps">
            <w:drawing>
              <wp:anchor distT="0" distB="0" distL="114300" distR="114300" simplePos="0" relativeHeight="251710976" behindDoc="0" locked="0" layoutInCell="1" allowOverlap="1" wp14:anchorId="5A6DB74D" wp14:editId="22E7E0CB">
                <wp:simplePos x="0" y="0"/>
                <wp:positionH relativeFrom="page">
                  <wp:posOffset>4634230</wp:posOffset>
                </wp:positionH>
                <wp:positionV relativeFrom="paragraph">
                  <wp:posOffset>13970</wp:posOffset>
                </wp:positionV>
                <wp:extent cx="5895975" cy="1819275"/>
                <wp:effectExtent l="0" t="0" r="9525" b="9525"/>
                <wp:wrapNone/>
                <wp:docPr id="1941133362" name="Text Box 20"/>
                <wp:cNvGraphicFramePr/>
                <a:graphic xmlns:a="http://schemas.openxmlformats.org/drawingml/2006/main">
                  <a:graphicData uri="http://schemas.microsoft.com/office/word/2010/wordprocessingShape">
                    <wps:wsp>
                      <wps:cNvSpPr txBox="1"/>
                      <wps:spPr>
                        <a:xfrm>
                          <a:off x="0" y="0"/>
                          <a:ext cx="5895975" cy="1819275"/>
                        </a:xfrm>
                        <a:prstGeom prst="rect">
                          <a:avLst/>
                        </a:prstGeom>
                        <a:solidFill>
                          <a:schemeClr val="lt1"/>
                        </a:solidFill>
                        <a:ln w="6350">
                          <a:noFill/>
                        </a:ln>
                      </wps:spPr>
                      <wps:txbx>
                        <w:txbxContent>
                          <w:p w14:paraId="7352EF97" w14:textId="10871A8A" w:rsidR="00061636" w:rsidRDefault="00285E9E">
                            <w:r w:rsidRPr="00285E9E">
                              <w:rPr>
                                <w:highlight w:val="green"/>
                              </w:rPr>
                              <w:t>Who is the times table pop it square aimed at?</w:t>
                            </w:r>
                            <w:r w:rsidR="00061636">
                              <w:br/>
                              <w:t>Although a T</w:t>
                            </w:r>
                            <w:r w:rsidR="00777F2E">
                              <w:t xml:space="preserve">imes table pop-it square is typically aimed at primary aged children (ages 6-11), children </w:t>
                            </w:r>
                            <w:r w:rsidR="00461FB0">
                              <w:t xml:space="preserve">with an ALN would also benefit from a Times Table pop-it square, as it provides a multi-sensory approach to </w:t>
                            </w:r>
                            <w:r w:rsidR="00461FB0" w:rsidRPr="0056340F">
                              <w:t>learning</w:t>
                            </w:r>
                            <w:r w:rsidR="00FC5877" w:rsidRPr="0056340F">
                              <w:t xml:space="preserve"> (</w:t>
                            </w:r>
                            <w:r w:rsidR="0056340F" w:rsidRPr="0056340F">
                              <w:t>Brunnhuber, 2017</w:t>
                            </w:r>
                            <w:r w:rsidR="00FC5877" w:rsidRPr="0056340F">
                              <w:t>)</w:t>
                            </w:r>
                            <w:r w:rsidR="00461FB0" w:rsidRPr="0056340F">
                              <w:t>.</w:t>
                            </w:r>
                            <w:r w:rsidR="0056340F" w:rsidRPr="0056340F">
                              <w:t xml:space="preserve"> </w:t>
                            </w:r>
                            <w:r w:rsidR="0056340F">
                              <w:t>As the Curriculum for Wales promotes inclusivity, this tool is particularly beneficial for learners with dyscalculia, ADHD or ASD, making numeracy more accessible and engaging</w:t>
                            </w:r>
                            <w:r w:rsidR="00D00149">
                              <w:t xml:space="preserve"> (Curriculum for Wales, No date)</w:t>
                            </w:r>
                            <w:r w:rsidR="0056340F">
                              <w:t xml:space="preserve">. </w:t>
                            </w:r>
                            <w:r w:rsidR="00461FB0">
                              <w:t xml:space="preserve"> Children with Dyscalculia would especially benefit from this resource</w:t>
                            </w:r>
                            <w:r w:rsidR="00D57C63">
                              <w:t>. Children with dyscalculia often have difficulty understanding number relationships (</w:t>
                            </w:r>
                            <w:r w:rsidR="00D57C63" w:rsidRPr="00D57C63">
                              <w:t>Available Light Productions,2007</w:t>
                            </w:r>
                            <w:r w:rsidR="00D57C63">
                              <w:t>)</w:t>
                            </w:r>
                            <w:r w:rsidR="00055851">
                              <w:t>.</w:t>
                            </w:r>
                            <w:r w:rsidR="00D57C63">
                              <w:t xml:space="preserve"> The pop-it allows them to physically count, group, and visualize multiplication in a hands-on way.</w:t>
                            </w:r>
                            <w:r w:rsidR="00FC5877">
                              <w:t xml:space="preserve"> </w:t>
                            </w:r>
                          </w:p>
                          <w:p w14:paraId="39119243" w14:textId="70C43B34" w:rsidR="00285E9E" w:rsidRDefault="00D57C63">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DB74D" id="Text Box 20" o:spid="_x0000_s1045" type="#_x0000_t202" style="position:absolute;margin-left:364.9pt;margin-top:1.1pt;width:464.25pt;height:143.25pt;z-index:251710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" fillcolor="white [3201]" stroked="f" strokeweight=".5pt">
                <v:textbox>
                  <w:txbxContent>
                    <w:p w14:paraId="7352EF97" w14:textId="10871A8A" w:rsidR="00061636" w:rsidRDefault="00285E9E">
                      <w:r w:rsidRPr="00285E9E">
                        <w:rPr>
                          <w:highlight w:val="green"/>
                        </w:rPr>
                        <w:t>Who is the times table pop it square aimed at?</w:t>
                      </w:r>
                      <w:r w:rsidR="00061636">
                        <w:br/>
                        <w:t>Although a T</w:t>
                      </w:r>
                      <w:r w:rsidR="00777F2E">
                        <w:t xml:space="preserve">imes table pop-it square is typically aimed at primary aged children (ages 6-11), children </w:t>
                      </w:r>
                      <w:r w:rsidR="00461FB0">
                        <w:t xml:space="preserve">with an ALN would also benefit from a Times Table pop-it square, as it provides a multi-sensory approach to </w:t>
                      </w:r>
                      <w:r w:rsidR="00461FB0" w:rsidRPr="0056340F">
                        <w:t>learning</w:t>
                      </w:r>
                      <w:r w:rsidR="00FC5877" w:rsidRPr="0056340F">
                        <w:t xml:space="preserve"> (</w:t>
                      </w:r>
                      <w:r w:rsidR="0056340F" w:rsidRPr="0056340F">
                        <w:t>Brunnhuber, 2017</w:t>
                      </w:r>
                      <w:r w:rsidR="00FC5877" w:rsidRPr="0056340F">
                        <w:t>)</w:t>
                      </w:r>
                      <w:r w:rsidR="00461FB0" w:rsidRPr="0056340F">
                        <w:t>.</w:t>
                      </w:r>
                      <w:r w:rsidR="0056340F" w:rsidRPr="0056340F">
                        <w:t xml:space="preserve"> </w:t>
                      </w:r>
                      <w:r w:rsidR="0056340F">
                        <w:t>As the Curriculum for Wales promotes inclusivity, this tool is particularly beneficial for learners with dyscalculia, ADHD or ASD, making numeracy more accessible and engaging</w:t>
                      </w:r>
                      <w:r w:rsidR="00D00149">
                        <w:t xml:space="preserve"> (Curriculum for Wales, No date)</w:t>
                      </w:r>
                      <w:r w:rsidR="0056340F">
                        <w:t xml:space="preserve">. </w:t>
                      </w:r>
                      <w:r w:rsidR="00461FB0">
                        <w:t xml:space="preserve"> Children with Dyscalculia would especially benefit from this resource</w:t>
                      </w:r>
                      <w:r w:rsidR="00D57C63">
                        <w:t>. Children with dyscalculia often have difficulty understanding number relationships (</w:t>
                      </w:r>
                      <w:r w:rsidR="00D57C63" w:rsidRPr="00D57C63">
                        <w:t>Available Light Productions,2007</w:t>
                      </w:r>
                      <w:r w:rsidR="00D57C63">
                        <w:t>)</w:t>
                      </w:r>
                      <w:r w:rsidR="00055851">
                        <w:t>.</w:t>
                      </w:r>
                      <w:r w:rsidR="00D57C63">
                        <w:t xml:space="preserve"> The pop-it allows them to physically count, group, and visualize multiplication in a hands-on way.</w:t>
                      </w:r>
                      <w:r w:rsidR="00FC5877">
                        <w:t xml:space="preserve"> </w:t>
                      </w:r>
                    </w:p>
                    <w:p w14:paraId="39119243" w14:textId="70C43B34" w:rsidR="00285E9E" w:rsidRDefault="00D57C63">
                      <w:r>
                        <w:t xml:space="preserve"> </w:t>
                      </w:r>
                    </w:p>
                  </w:txbxContent>
                </v:textbox>
                <w10:wrap anchorx="page"/>
              </v:shape>
            </w:pict>
          </mc:Fallback>
        </mc:AlternateContent>
      </w:r>
      <w:r w:rsidR="00A401C4">
        <w:rPr>
          <w:noProof/>
        </w:rPr>
        <mc:AlternateContent>
          <mc:Choice Requires="wps">
            <w:drawing>
              <wp:anchor distT="0" distB="0" distL="114300" distR="114300" simplePos="0" relativeHeight="251712000" behindDoc="0" locked="0" layoutInCell="1" allowOverlap="1" wp14:anchorId="6A6BC75D" wp14:editId="4A8531B9">
                <wp:simplePos x="0" y="0"/>
                <wp:positionH relativeFrom="column">
                  <wp:posOffset>3724275</wp:posOffset>
                </wp:positionH>
                <wp:positionV relativeFrom="paragraph">
                  <wp:posOffset>2642870</wp:posOffset>
                </wp:positionV>
                <wp:extent cx="5838825" cy="1895475"/>
                <wp:effectExtent l="0" t="0" r="0" b="0"/>
                <wp:wrapNone/>
                <wp:docPr id="1033012652" name="Text Box 21"/>
                <wp:cNvGraphicFramePr/>
                <a:graphic xmlns:a="http://schemas.openxmlformats.org/drawingml/2006/main">
                  <a:graphicData uri="http://schemas.microsoft.com/office/word/2010/wordprocessingShape">
                    <wps:wsp>
                      <wps:cNvSpPr txBox="1"/>
                      <wps:spPr>
                        <a:xfrm>
                          <a:off x="0" y="0"/>
                          <a:ext cx="5838825" cy="1895475"/>
                        </a:xfrm>
                        <a:prstGeom prst="rect">
                          <a:avLst/>
                        </a:prstGeom>
                        <a:noFill/>
                        <a:ln w="6350">
                          <a:noFill/>
                        </a:ln>
                      </wps:spPr>
                      <wps:txbx>
                        <w:txbxContent>
                          <w:p w14:paraId="332779A6" w14:textId="5B1FEDA1" w:rsidR="00D41BCD" w:rsidRDefault="00285E9E">
                            <w:r w:rsidRPr="00285E9E">
                              <w:rPr>
                                <w:highlight w:val="green"/>
                              </w:rPr>
                              <w:t xml:space="preserve">How does it </w:t>
                            </w:r>
                            <w:r w:rsidR="00D41BCD">
                              <w:rPr>
                                <w:highlight w:val="green"/>
                              </w:rPr>
                              <w:t>align</w:t>
                            </w:r>
                            <w:r w:rsidRPr="00285E9E">
                              <w:rPr>
                                <w:highlight w:val="green"/>
                              </w:rPr>
                              <w:t xml:space="preserve"> with the</w:t>
                            </w:r>
                            <w:r w:rsidR="00D41BCD">
                              <w:rPr>
                                <w:highlight w:val="green"/>
                              </w:rPr>
                              <w:t xml:space="preserve"> Curriculum for Wales</w:t>
                            </w:r>
                            <w:r w:rsidRPr="00285E9E">
                              <w:rPr>
                                <w:highlight w:val="green"/>
                              </w:rPr>
                              <w:t xml:space="preserve"> Numeracy Framework</w:t>
                            </w:r>
                            <w:r w:rsidR="00D41BCD">
                              <w:rPr>
                                <w:highlight w:val="green"/>
                              </w:rPr>
                              <w:t xml:space="preserve"> (</w:t>
                            </w:r>
                            <w:r w:rsidR="001D060A">
                              <w:rPr>
                                <w:highlight w:val="green"/>
                              </w:rPr>
                              <w:t>CWNF</w:t>
                            </w:r>
                            <w:r w:rsidR="00D41BCD">
                              <w:rPr>
                                <w:highlight w:val="green"/>
                              </w:rPr>
                              <w:t>)</w:t>
                            </w:r>
                            <w:r w:rsidRPr="00285E9E">
                              <w:rPr>
                                <w:highlight w:val="green"/>
                              </w:rPr>
                              <w:t>?</w:t>
                            </w:r>
                          </w:p>
                          <w:p w14:paraId="5427445E" w14:textId="3C013AAD" w:rsidR="00D41BCD" w:rsidRDefault="00D41BCD">
                            <w:r>
                              <w:t xml:space="preserve">The Times Table pop-it square aligns with the </w:t>
                            </w:r>
                            <w:r w:rsidR="001D060A">
                              <w:t>CW</w:t>
                            </w:r>
                            <w:r>
                              <w:t xml:space="preserve">NF by supporting </w:t>
                            </w:r>
                            <w:r w:rsidR="00A401C4">
                              <w:t>key mathematical skills in an accessible and engaging way, particularly for learners with an ALN</w:t>
                            </w:r>
                            <w:r w:rsidR="00D00149">
                              <w:t xml:space="preserve"> (</w:t>
                            </w:r>
                            <w:r w:rsidR="00D00149">
                              <w:t>Curriculum for Wales, No date</w:t>
                            </w:r>
                            <w:r w:rsidR="00D00149">
                              <w:t>)</w:t>
                            </w:r>
                            <w:r w:rsidR="00A401C4">
                              <w:t>. It enhances conceptual understanding by providing a tactile and visual representation of multiplication, reinforcing number patters and relationships</w:t>
                            </w:r>
                            <w:r w:rsidR="00D00149">
                              <w:t xml:space="preserve"> </w:t>
                            </w:r>
                            <w:r w:rsidR="00D00149" w:rsidRPr="00D00149">
                              <w:t xml:space="preserve">(Rebecca </w:t>
                            </w:r>
                            <w:r w:rsidR="00FB3B54" w:rsidRPr="00D00149">
                              <w:t>the</w:t>
                            </w:r>
                            <w:r w:rsidR="00D00149" w:rsidRPr="00D00149">
                              <w:t xml:space="preserve"> Maths Lady 2021)</w:t>
                            </w:r>
                            <w:r w:rsidR="00A401C4">
                              <w:t>. The interactive nature of the pop-it square</w:t>
                            </w:r>
                            <w:r w:rsidR="00FB3B54">
                              <w:t xml:space="preserve"> also aligns with Jean </w:t>
                            </w:r>
                            <w:r w:rsidR="00FB3B54" w:rsidRPr="00FB3B54">
                              <w:rPr>
                                <w:rFonts w:cs="Times New Roman"/>
                              </w:rPr>
                              <w:t>Piaget</w:t>
                            </w:r>
                            <w:r w:rsidR="006C1DCC">
                              <w:rPr>
                                <w:rFonts w:cs="Times New Roman"/>
                              </w:rPr>
                              <w:t xml:space="preserve">’s theory of cognitive development </w:t>
                            </w:r>
                            <w:r w:rsidR="00FB3B54" w:rsidRPr="00FB3B54">
                              <w:rPr>
                                <w:rFonts w:cs="Times New Roman"/>
                              </w:rPr>
                              <w:t>(1952</w:t>
                            </w:r>
                            <w:r w:rsidR="00FB3B54">
                              <w:rPr>
                                <w:rFonts w:cs="Times New Roman"/>
                              </w:rPr>
                              <w:t>)</w:t>
                            </w:r>
                            <w:r w:rsidR="00FB3B54" w:rsidRPr="00D366DD">
                              <w:rPr>
                                <w:rFonts w:ascii="Times New Roman" w:hAnsi="Times New Roman" w:cs="Times New Roman"/>
                                <w:sz w:val="24"/>
                                <w:szCs w:val="24"/>
                              </w:rPr>
                              <w:t xml:space="preserve"> </w:t>
                            </w:r>
                            <w:r w:rsidR="00FB3B54">
                              <w:rPr>
                                <w:rFonts w:cs="Times New Roman"/>
                              </w:rPr>
                              <w:t>as it</w:t>
                            </w:r>
                            <w:r w:rsidR="00A401C4">
                              <w:t xml:space="preserve"> helps develop numerical reasoning, supports multiplication fluency, and encourages problem-solving through active exploration of number facts.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6BC75D" id="Text Box 21" o:spid="_x0000_s1046" type="#_x0000_t202" style="position:absolute;margin-left:293.25pt;margin-top:208.1pt;width:459.75pt;height:149.25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" filled="f" stroked="f" strokeweight=".5pt">
                <v:textbox>
                  <w:txbxContent>
                    <w:p w14:paraId="332779A6" w14:textId="5B1FEDA1" w:rsidR="00D41BCD" w:rsidRDefault="00285E9E">
                      <w:r w:rsidRPr="00285E9E">
                        <w:rPr>
                          <w:highlight w:val="green"/>
                        </w:rPr>
                        <w:t xml:space="preserve">How does it </w:t>
                      </w:r>
                      <w:r w:rsidR="00D41BCD">
                        <w:rPr>
                          <w:highlight w:val="green"/>
                        </w:rPr>
                        <w:t>align</w:t>
                      </w:r>
                      <w:r w:rsidRPr="00285E9E">
                        <w:rPr>
                          <w:highlight w:val="green"/>
                        </w:rPr>
                        <w:t xml:space="preserve"> with the</w:t>
                      </w:r>
                      <w:r w:rsidR="00D41BCD">
                        <w:rPr>
                          <w:highlight w:val="green"/>
                        </w:rPr>
                        <w:t xml:space="preserve"> Curriculum for Wales</w:t>
                      </w:r>
                      <w:r w:rsidRPr="00285E9E">
                        <w:rPr>
                          <w:highlight w:val="green"/>
                        </w:rPr>
                        <w:t xml:space="preserve"> Numeracy Framework</w:t>
                      </w:r>
                      <w:r w:rsidR="00D41BCD">
                        <w:rPr>
                          <w:highlight w:val="green"/>
                        </w:rPr>
                        <w:t xml:space="preserve"> (</w:t>
                      </w:r>
                      <w:r w:rsidR="001D060A">
                        <w:rPr>
                          <w:highlight w:val="green"/>
                        </w:rPr>
                        <w:t>CWNF</w:t>
                      </w:r>
                      <w:r w:rsidR="00D41BCD">
                        <w:rPr>
                          <w:highlight w:val="green"/>
                        </w:rPr>
                        <w:t>)</w:t>
                      </w:r>
                      <w:r w:rsidRPr="00285E9E">
                        <w:rPr>
                          <w:highlight w:val="green"/>
                        </w:rPr>
                        <w:t>?</w:t>
                      </w:r>
                    </w:p>
                    <w:p w14:paraId="5427445E" w14:textId="3C013AAD" w:rsidR="00D41BCD" w:rsidRDefault="00D41BCD">
                      <w:r>
                        <w:t xml:space="preserve">The Times Table pop-it square aligns with the </w:t>
                      </w:r>
                      <w:r w:rsidR="001D060A">
                        <w:t>CW</w:t>
                      </w:r>
                      <w:r>
                        <w:t xml:space="preserve">NF by supporting </w:t>
                      </w:r>
                      <w:r w:rsidR="00A401C4">
                        <w:t>key mathematical skills in an accessible and engaging way, particularly for learners with an ALN</w:t>
                      </w:r>
                      <w:r w:rsidR="00D00149">
                        <w:t xml:space="preserve"> (</w:t>
                      </w:r>
                      <w:r w:rsidR="00D00149">
                        <w:t>Curriculum for Wales, No date</w:t>
                      </w:r>
                      <w:r w:rsidR="00D00149">
                        <w:t>)</w:t>
                      </w:r>
                      <w:r w:rsidR="00A401C4">
                        <w:t>. It enhances conceptual understanding by providing a tactile and visual representation of multiplication, reinforcing number patters and relationships</w:t>
                      </w:r>
                      <w:r w:rsidR="00D00149">
                        <w:t xml:space="preserve"> </w:t>
                      </w:r>
                      <w:r w:rsidR="00D00149" w:rsidRPr="00D00149">
                        <w:t xml:space="preserve">(Rebecca </w:t>
                      </w:r>
                      <w:r w:rsidR="00FB3B54" w:rsidRPr="00D00149">
                        <w:t>the</w:t>
                      </w:r>
                      <w:r w:rsidR="00D00149" w:rsidRPr="00D00149">
                        <w:t xml:space="preserve"> Maths Lady 2021)</w:t>
                      </w:r>
                      <w:r w:rsidR="00A401C4">
                        <w:t>. The interactive nature of the pop-it square</w:t>
                      </w:r>
                      <w:r w:rsidR="00FB3B54">
                        <w:t xml:space="preserve"> also aligns with Jean </w:t>
                      </w:r>
                      <w:r w:rsidR="00FB3B54" w:rsidRPr="00FB3B54">
                        <w:rPr>
                          <w:rFonts w:cs="Times New Roman"/>
                        </w:rPr>
                        <w:t>Piaget</w:t>
                      </w:r>
                      <w:r w:rsidR="006C1DCC">
                        <w:rPr>
                          <w:rFonts w:cs="Times New Roman"/>
                        </w:rPr>
                        <w:t xml:space="preserve">’s theory of cognitive development </w:t>
                      </w:r>
                      <w:r w:rsidR="00FB3B54" w:rsidRPr="00FB3B54">
                        <w:rPr>
                          <w:rFonts w:cs="Times New Roman"/>
                        </w:rPr>
                        <w:t>(1952</w:t>
                      </w:r>
                      <w:r w:rsidR="00FB3B54">
                        <w:rPr>
                          <w:rFonts w:cs="Times New Roman"/>
                        </w:rPr>
                        <w:t>)</w:t>
                      </w:r>
                      <w:r w:rsidR="00FB3B54" w:rsidRPr="00D366DD">
                        <w:rPr>
                          <w:rFonts w:ascii="Times New Roman" w:hAnsi="Times New Roman" w:cs="Times New Roman"/>
                          <w:sz w:val="24"/>
                          <w:szCs w:val="24"/>
                        </w:rPr>
                        <w:t xml:space="preserve"> </w:t>
                      </w:r>
                      <w:r w:rsidR="00FB3B54">
                        <w:rPr>
                          <w:rFonts w:cs="Times New Roman"/>
                        </w:rPr>
                        <w:t>as it</w:t>
                      </w:r>
                      <w:r w:rsidR="00A401C4">
                        <w:t xml:space="preserve"> helps develop numerical reasoning, supports multiplication fluency, and encourages problem-solving through active exploration of number facts. </w:t>
                      </w:r>
                    </w:p>
                  </w:txbxContent>
                </v:textbox>
              </v:shape>
            </w:pict>
          </mc:Fallback>
        </mc:AlternateContent>
      </w:r>
      <w:r w:rsidR="0084157F">
        <w:rPr>
          <w:noProof/>
        </w:rPr>
        <mc:AlternateContent>
          <mc:Choice Requires="wps">
            <w:drawing>
              <wp:anchor distT="0" distB="0" distL="114300" distR="114300" simplePos="0" relativeHeight="251709952" behindDoc="1" locked="0" layoutInCell="1" allowOverlap="1" wp14:anchorId="40BF2E4C" wp14:editId="1ECE26DF">
                <wp:simplePos x="0" y="0"/>
                <wp:positionH relativeFrom="column">
                  <wp:posOffset>-428625</wp:posOffset>
                </wp:positionH>
                <wp:positionV relativeFrom="paragraph">
                  <wp:posOffset>3434715</wp:posOffset>
                </wp:positionV>
                <wp:extent cx="3819525" cy="635"/>
                <wp:effectExtent l="0" t="0" r="0" b="0"/>
                <wp:wrapTight wrapText="bothSides">
                  <wp:wrapPolygon edited="0">
                    <wp:start x="0" y="0"/>
                    <wp:lineTo x="0" y="21600"/>
                    <wp:lineTo x="21600" y="21600"/>
                    <wp:lineTo x="21600" y="0"/>
                  </wp:wrapPolygon>
                </wp:wrapTight>
                <wp:docPr id="2086326027" name="Text Box 1"/>
                <wp:cNvGraphicFramePr/>
                <a:graphic xmlns:a="http://schemas.openxmlformats.org/drawingml/2006/main">
                  <a:graphicData uri="http://schemas.microsoft.com/office/word/2010/wordprocessingShape">
                    <wps:wsp>
                      <wps:cNvSpPr txBox="1"/>
                      <wps:spPr>
                        <a:xfrm>
                          <a:off x="0" y="0"/>
                          <a:ext cx="3819525" cy="635"/>
                        </a:xfrm>
                        <a:prstGeom prst="rect">
                          <a:avLst/>
                        </a:prstGeom>
                        <a:solidFill>
                          <a:prstClr val="white"/>
                        </a:solidFill>
                        <a:ln>
                          <a:noFill/>
                        </a:ln>
                      </wps:spPr>
                      <wps:txbx>
                        <w:txbxContent>
                          <w:p w14:paraId="6C795664" w14:textId="3F96430D" w:rsidR="0084157F" w:rsidRPr="003F25B8" w:rsidRDefault="0084157F" w:rsidP="0084157F">
                            <w:pPr>
                              <w:pStyle w:val="Caption"/>
                              <w:rPr>
                                <w:rFonts w:ascii="Alasassy Caps" w:hAnsi="Alasassy Caps"/>
                                <w:noProof/>
                                <w:sz w:val="28"/>
                                <w:szCs w:val="28"/>
                              </w:rPr>
                            </w:pPr>
                            <w:r>
                              <w:t xml:space="preserve">Figure 2 </w:t>
                            </w:r>
                            <w:r w:rsidRPr="00CC3135">
                              <w:t>Times Table Pop-it Square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BF2E4C" id="_x0000_s1047" type="#_x0000_t202" style="position:absolute;margin-left:-33.75pt;margin-top:270.45pt;width:300.75pt;height:.05pt;z-index:-25160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4C4GwIAAEA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" stroked="f">
                <v:textbox style="mso-fit-shape-to-text:t" inset="0,0,0,0">
                  <w:txbxContent>
                    <w:p w14:paraId="6C795664" w14:textId="3F96430D" w:rsidR="0084157F" w:rsidRPr="003F25B8" w:rsidRDefault="0084157F" w:rsidP="0084157F">
                      <w:pPr>
                        <w:pStyle w:val="Caption"/>
                        <w:rPr>
                          <w:rFonts w:ascii="Alasassy Caps" w:hAnsi="Alasassy Caps"/>
                          <w:noProof/>
                          <w:sz w:val="28"/>
                          <w:szCs w:val="28"/>
                        </w:rPr>
                      </w:pPr>
                      <w:r>
                        <w:t xml:space="preserve">Figure 2 </w:t>
                      </w:r>
                      <w:r w:rsidRPr="00CC3135">
                        <w:t>Times Table Pop-it Square 2025</w:t>
                      </w:r>
                    </w:p>
                  </w:txbxContent>
                </v:textbox>
                <w10:wrap type="tight"/>
              </v:shape>
            </w:pict>
          </mc:Fallback>
        </mc:AlternateContent>
      </w:r>
      <w:r w:rsidR="0084157F">
        <w:br w:type="page"/>
      </w:r>
    </w:p>
    <w:p w14:paraId="40796D62" w14:textId="0C97DFB3" w:rsidR="00DC394E" w:rsidRPr="00DC394E" w:rsidRDefault="00DC394E" w:rsidP="00DC394E">
      <w:pPr>
        <w:sectPr w:rsidR="00DC394E" w:rsidRPr="00DC394E" w:rsidSect="00DC394E">
          <w:pgSz w:w="16838" w:h="11906" w:orient="landscape"/>
          <w:pgMar w:top="1440" w:right="1440" w:bottom="1440" w:left="1440" w:header="709" w:footer="709" w:gutter="0"/>
          <w:pgNumType w:start="0"/>
          <w:cols w:space="708"/>
          <w:titlePg/>
          <w:docGrid w:linePitch="360"/>
        </w:sectPr>
      </w:pPr>
    </w:p>
    <w:p w14:paraId="1B863413" w14:textId="77777777" w:rsidR="00DC394E" w:rsidRPr="007E127D" w:rsidRDefault="00DC394E" w:rsidP="00DC394E">
      <w:pPr>
        <w:rPr>
          <w:rFonts w:ascii="Times New Roman" w:hAnsi="Times New Roman" w:cs="Times New Roman"/>
          <w:sz w:val="24"/>
          <w:szCs w:val="24"/>
        </w:rPr>
      </w:pPr>
      <w:r w:rsidRPr="007E127D">
        <w:rPr>
          <w:rFonts w:ascii="Times New Roman" w:hAnsi="Times New Roman" w:cs="Times New Roman"/>
          <w:sz w:val="24"/>
          <w:szCs w:val="24"/>
        </w:rPr>
        <w:lastRenderedPageBreak/>
        <w:t>References</w:t>
      </w:r>
    </w:p>
    <w:p w14:paraId="06886B23" w14:textId="77777777" w:rsidR="00DC394E" w:rsidRPr="007E127D" w:rsidRDefault="00DC394E" w:rsidP="00DC394E">
      <w:pPr>
        <w:spacing w:line="360" w:lineRule="auto"/>
        <w:rPr>
          <w:rFonts w:ascii="Times New Roman" w:hAnsi="Times New Roman" w:cs="Times New Roman"/>
          <w:sz w:val="24"/>
          <w:szCs w:val="24"/>
        </w:rPr>
      </w:pPr>
    </w:p>
    <w:p w14:paraId="69800303" w14:textId="77777777" w:rsidR="006C1DCC" w:rsidRDefault="006C1DCC" w:rsidP="00D57C63">
      <w:pPr>
        <w:spacing w:line="360" w:lineRule="auto"/>
      </w:pPr>
      <w:r w:rsidRPr="00F10110">
        <w:rPr>
          <w:rFonts w:ascii="Times New Roman" w:hAnsi="Times New Roman" w:cs="Times New Roman"/>
          <w:sz w:val="24"/>
          <w:szCs w:val="24"/>
        </w:rPr>
        <w:t xml:space="preserve">Available Light Productions (Producer), &amp; . (2007). Dyscalculia. [Video/DVD] Teachers TV/UK Department of Education. Retrieved from </w:t>
      </w:r>
      <w:hyperlink r:id="rId51" w:history="1">
        <w:r w:rsidRPr="00F10110">
          <w:rPr>
            <w:rStyle w:val="Hyperlink"/>
            <w:rFonts w:ascii="Times New Roman" w:hAnsi="Times New Roman" w:cs="Times New Roman"/>
            <w:sz w:val="24"/>
            <w:szCs w:val="24"/>
          </w:rPr>
          <w:t>https://video.alexanderstreet.com/watch/Dyscalculia</w:t>
        </w:r>
      </w:hyperlink>
    </w:p>
    <w:p w14:paraId="6F007AA1" w14:textId="77777777" w:rsidR="006C1DCC" w:rsidRPr="007E127D" w:rsidRDefault="006C1DCC" w:rsidP="00DC394E">
      <w:pPr>
        <w:spacing w:line="360" w:lineRule="auto"/>
        <w:rPr>
          <w:rFonts w:ascii="Times New Roman" w:hAnsi="Times New Roman" w:cs="Times New Roman"/>
          <w:sz w:val="24"/>
          <w:szCs w:val="24"/>
        </w:rPr>
      </w:pPr>
      <w:r w:rsidRPr="007E127D">
        <w:rPr>
          <w:rFonts w:ascii="Times New Roman" w:hAnsi="Times New Roman" w:cs="Times New Roman"/>
          <w:sz w:val="24"/>
          <w:szCs w:val="24"/>
        </w:rPr>
        <w:t xml:space="preserve">Boaler, J. (2016). Mathematical Mindsets: Unleashing Students' Potential through Creative Math, Inspiring Messages, and Innovative Teaching. Available at: </w:t>
      </w:r>
      <w:hyperlink r:id="rId52" w:history="1">
        <w:r w:rsidRPr="007E127D">
          <w:rPr>
            <w:rStyle w:val="Hyperlink"/>
            <w:rFonts w:ascii="Times New Roman" w:hAnsi="Times New Roman" w:cs="Times New Roman"/>
            <w:sz w:val="24"/>
            <w:szCs w:val="24"/>
          </w:rPr>
          <w:t>L-17997039-66b985d022.pdf</w:t>
        </w:r>
      </w:hyperlink>
      <w:r w:rsidRPr="007E127D">
        <w:rPr>
          <w:rFonts w:ascii="Times New Roman" w:hAnsi="Times New Roman" w:cs="Times New Roman"/>
          <w:sz w:val="24"/>
          <w:szCs w:val="24"/>
        </w:rPr>
        <w:t xml:space="preserve"> (Accessed 31</w:t>
      </w:r>
      <w:r w:rsidRPr="007E127D">
        <w:rPr>
          <w:rFonts w:ascii="Times New Roman" w:hAnsi="Times New Roman" w:cs="Times New Roman"/>
          <w:sz w:val="24"/>
          <w:szCs w:val="24"/>
          <w:vertAlign w:val="superscript"/>
        </w:rPr>
        <w:t>st</w:t>
      </w:r>
      <w:r w:rsidRPr="007E127D">
        <w:rPr>
          <w:rFonts w:ascii="Times New Roman" w:hAnsi="Times New Roman" w:cs="Times New Roman"/>
          <w:sz w:val="24"/>
          <w:szCs w:val="24"/>
        </w:rPr>
        <w:t xml:space="preserve"> January 2025)</w:t>
      </w:r>
    </w:p>
    <w:p w14:paraId="006D6BF4" w14:textId="77777777" w:rsidR="006C1DCC" w:rsidRDefault="006C1DCC" w:rsidP="00D57C63">
      <w:pPr>
        <w:spacing w:line="360" w:lineRule="auto"/>
      </w:pPr>
      <w:r w:rsidRPr="0056340F">
        <w:t>Brunnhuber, S. (2017). Education Isn’t Education: The Creativity Response or How to Improve the Learning Curve in Our Society. </w:t>
      </w:r>
      <w:r w:rsidRPr="0056340F">
        <w:rPr>
          <w:i/>
          <w:iCs/>
        </w:rPr>
        <w:t>Cadmus (Trieste, Italy)</w:t>
      </w:r>
      <w:r w:rsidRPr="0056340F">
        <w:t>, </w:t>
      </w:r>
      <w:r w:rsidRPr="0056340F">
        <w:rPr>
          <w:i/>
          <w:iCs/>
        </w:rPr>
        <w:t>3</w:t>
      </w:r>
      <w:r w:rsidRPr="0056340F">
        <w:t>(2), 58–67.</w:t>
      </w:r>
      <w:r>
        <w:t xml:space="preserve"> </w:t>
      </w:r>
    </w:p>
    <w:p w14:paraId="00D30DB1" w14:textId="77777777" w:rsidR="006C1DCC" w:rsidRDefault="006C1DCC" w:rsidP="00D57C63">
      <w:pPr>
        <w:spacing w:line="360" w:lineRule="auto"/>
      </w:pPr>
      <w:r>
        <w:t xml:space="preserve">Curriculum For Wales, (No Date), Literacy and Numeracy Framework, Available at : </w:t>
      </w:r>
      <w:hyperlink r:id="rId53" w:history="1">
        <w:r w:rsidRPr="00D00149">
          <w:rPr>
            <w:rStyle w:val="Hyperlink"/>
          </w:rPr>
          <w:t>Literacy and Numeracy Framework - Hwb</w:t>
        </w:r>
      </w:hyperlink>
      <w:r>
        <w:t xml:space="preserve"> (Accessed 26</w:t>
      </w:r>
      <w:r w:rsidRPr="00D00149">
        <w:rPr>
          <w:vertAlign w:val="superscript"/>
        </w:rPr>
        <w:t>th</w:t>
      </w:r>
      <w:r>
        <w:t xml:space="preserve"> February 2025) </w:t>
      </w:r>
    </w:p>
    <w:p w14:paraId="3BC0EC8F" w14:textId="77777777" w:rsidR="006C1DCC" w:rsidRPr="007E127D" w:rsidRDefault="006C1DCC" w:rsidP="00DC394E">
      <w:pPr>
        <w:spacing w:line="360" w:lineRule="auto"/>
        <w:rPr>
          <w:rFonts w:ascii="Times New Roman" w:hAnsi="Times New Roman" w:cs="Times New Roman"/>
          <w:sz w:val="24"/>
          <w:szCs w:val="24"/>
        </w:rPr>
      </w:pPr>
      <w:r w:rsidRPr="007E127D">
        <w:rPr>
          <w:rFonts w:ascii="Times New Roman" w:hAnsi="Times New Roman" w:cs="Times New Roman"/>
          <w:sz w:val="24"/>
          <w:szCs w:val="24"/>
        </w:rPr>
        <w:t xml:space="preserve"> Dickson. D, Grenier. A, Obinyan. B, Wicha. N, (2022). </w:t>
      </w:r>
      <w:r w:rsidRPr="007E127D">
        <w:rPr>
          <w:rFonts w:ascii="Times New Roman" w:hAnsi="Times New Roman" w:cs="Times New Roman"/>
          <w:i/>
          <w:iCs/>
          <w:sz w:val="24"/>
          <w:szCs w:val="24"/>
        </w:rPr>
        <w:t xml:space="preserve">When multiplying is meaningful in memory, </w:t>
      </w:r>
      <w:r w:rsidRPr="007E127D">
        <w:rPr>
          <w:rFonts w:ascii="Times New Roman" w:hAnsi="Times New Roman" w:cs="Times New Roman"/>
          <w:sz w:val="24"/>
          <w:szCs w:val="24"/>
        </w:rPr>
        <w:t xml:space="preserve">Available at: </w:t>
      </w:r>
      <w:hyperlink r:id="rId54" w:history="1">
        <w:r w:rsidRPr="007E127D">
          <w:rPr>
            <w:rStyle w:val="Hyperlink"/>
            <w:rFonts w:ascii="Times New Roman" w:hAnsi="Times New Roman" w:cs="Times New Roman"/>
            <w:sz w:val="24"/>
            <w:szCs w:val="24"/>
          </w:rPr>
          <w:t>When multiplying is meaningful in memory: Electrophysiological signature of the problem size effect in children - ScienceDirect</w:t>
        </w:r>
      </w:hyperlink>
      <w:r w:rsidRPr="007E127D">
        <w:rPr>
          <w:rFonts w:ascii="Times New Roman" w:hAnsi="Times New Roman" w:cs="Times New Roman"/>
          <w:sz w:val="24"/>
          <w:szCs w:val="24"/>
        </w:rPr>
        <w:t xml:space="preserve"> (Accessed 03</w:t>
      </w:r>
      <w:r w:rsidRPr="007E127D">
        <w:rPr>
          <w:rFonts w:ascii="Times New Roman" w:hAnsi="Times New Roman" w:cs="Times New Roman"/>
          <w:sz w:val="24"/>
          <w:szCs w:val="24"/>
          <w:vertAlign w:val="superscript"/>
        </w:rPr>
        <w:t>rd</w:t>
      </w:r>
      <w:r w:rsidRPr="007E127D">
        <w:rPr>
          <w:rFonts w:ascii="Times New Roman" w:hAnsi="Times New Roman" w:cs="Times New Roman"/>
          <w:sz w:val="24"/>
          <w:szCs w:val="24"/>
        </w:rPr>
        <w:t xml:space="preserve"> February 2025)</w:t>
      </w:r>
    </w:p>
    <w:p w14:paraId="73400432" w14:textId="77777777" w:rsidR="006C1DCC" w:rsidRDefault="006C1DCC" w:rsidP="00DC394E">
      <w:pPr>
        <w:spacing w:line="360" w:lineRule="auto"/>
        <w:rPr>
          <w:rFonts w:ascii="Times New Roman" w:hAnsi="Times New Roman" w:cs="Times New Roman"/>
          <w:sz w:val="24"/>
          <w:szCs w:val="24"/>
        </w:rPr>
      </w:pPr>
      <w:r w:rsidRPr="007E127D">
        <w:rPr>
          <w:rFonts w:ascii="Times New Roman" w:hAnsi="Times New Roman" w:cs="Times New Roman"/>
          <w:sz w:val="24"/>
          <w:szCs w:val="24"/>
        </w:rPr>
        <w:t>Figure 1</w:t>
      </w:r>
      <w:r w:rsidRPr="007E127D">
        <w:rPr>
          <w:rFonts w:ascii="Times New Roman" w:hAnsi="Times New Roman" w:cs="Times New Roman"/>
          <w:i/>
          <w:iCs/>
          <w:sz w:val="24"/>
          <w:szCs w:val="24"/>
        </w:rPr>
        <w:t xml:space="preserve">: Times Table Popit Square, </w:t>
      </w:r>
      <w:r w:rsidRPr="007E127D">
        <w:rPr>
          <w:rFonts w:ascii="Times New Roman" w:hAnsi="Times New Roman" w:cs="Times New Roman"/>
          <w:sz w:val="24"/>
          <w:szCs w:val="24"/>
        </w:rPr>
        <w:t>(Photographed by Zoe Williams, 2025)</w:t>
      </w:r>
    </w:p>
    <w:p w14:paraId="79EDE660" w14:textId="77777777" w:rsidR="006C1DCC" w:rsidRPr="007E127D" w:rsidRDefault="006C1DCC" w:rsidP="0084157F">
      <w:pPr>
        <w:spacing w:line="360" w:lineRule="auto"/>
        <w:rPr>
          <w:rFonts w:ascii="Times New Roman" w:hAnsi="Times New Roman" w:cs="Times New Roman"/>
          <w:i/>
          <w:iCs/>
          <w:sz w:val="24"/>
          <w:szCs w:val="24"/>
        </w:rPr>
      </w:pPr>
      <w:r w:rsidRPr="007E127D">
        <w:rPr>
          <w:rFonts w:ascii="Times New Roman" w:hAnsi="Times New Roman" w:cs="Times New Roman"/>
          <w:sz w:val="24"/>
          <w:szCs w:val="24"/>
        </w:rPr>
        <w:t xml:space="preserve">Figure </w:t>
      </w:r>
      <w:r>
        <w:rPr>
          <w:rFonts w:ascii="Times New Roman" w:hAnsi="Times New Roman" w:cs="Times New Roman"/>
          <w:sz w:val="24"/>
          <w:szCs w:val="24"/>
        </w:rPr>
        <w:t>2</w:t>
      </w:r>
      <w:r w:rsidRPr="007E127D">
        <w:rPr>
          <w:rFonts w:ascii="Times New Roman" w:hAnsi="Times New Roman" w:cs="Times New Roman"/>
          <w:i/>
          <w:iCs/>
          <w:sz w:val="24"/>
          <w:szCs w:val="24"/>
        </w:rPr>
        <w:t xml:space="preserve">: Times Table Popit Square, </w:t>
      </w:r>
      <w:r w:rsidRPr="007E127D">
        <w:rPr>
          <w:rFonts w:ascii="Times New Roman" w:hAnsi="Times New Roman" w:cs="Times New Roman"/>
          <w:sz w:val="24"/>
          <w:szCs w:val="24"/>
        </w:rPr>
        <w:t>(Photographed by Zoe Williams, 2025)</w:t>
      </w:r>
    </w:p>
    <w:p w14:paraId="36ABE697" w14:textId="77777777" w:rsidR="006C1DCC" w:rsidRPr="007E127D" w:rsidRDefault="006C1DCC" w:rsidP="00DC394E">
      <w:pPr>
        <w:spacing w:line="360" w:lineRule="auto"/>
        <w:rPr>
          <w:rFonts w:ascii="Times New Roman" w:hAnsi="Times New Roman" w:cs="Times New Roman"/>
          <w:sz w:val="24"/>
          <w:szCs w:val="24"/>
        </w:rPr>
      </w:pPr>
      <w:r w:rsidRPr="007E127D">
        <w:rPr>
          <w:rFonts w:ascii="Times New Roman" w:hAnsi="Times New Roman" w:cs="Times New Roman"/>
          <w:sz w:val="24"/>
          <w:szCs w:val="24"/>
        </w:rPr>
        <w:t xml:space="preserve">Kriescher, S. L., Hulac, D. M., Ryan, A. M., &amp; King, B. L. (2023). Evaluating the Evidence for Fidget Toys in the Classroom. Intervention in School and Clinic, 59(1), 66-69. </w:t>
      </w:r>
      <w:hyperlink r:id="rId55" w:history="1">
        <w:r w:rsidRPr="007E127D">
          <w:rPr>
            <w:rStyle w:val="Hyperlink"/>
            <w:rFonts w:ascii="Times New Roman" w:hAnsi="Times New Roman" w:cs="Times New Roman"/>
            <w:sz w:val="24"/>
            <w:szCs w:val="24"/>
          </w:rPr>
          <w:t>https://doi.org/10.1177/10534512221130070</w:t>
        </w:r>
      </w:hyperlink>
    </w:p>
    <w:p w14:paraId="7BB9F01D" w14:textId="77777777" w:rsidR="006C1DCC" w:rsidRPr="007E127D" w:rsidRDefault="006C1DCC" w:rsidP="00DC394E">
      <w:pPr>
        <w:spacing w:line="360" w:lineRule="auto"/>
        <w:rPr>
          <w:rFonts w:ascii="Times New Roman" w:hAnsi="Times New Roman" w:cs="Times New Roman"/>
          <w:sz w:val="24"/>
          <w:szCs w:val="24"/>
        </w:rPr>
      </w:pPr>
      <w:r w:rsidRPr="007E127D">
        <w:rPr>
          <w:rFonts w:ascii="Times New Roman" w:hAnsi="Times New Roman" w:cs="Times New Roman"/>
          <w:sz w:val="24"/>
          <w:szCs w:val="24"/>
        </w:rPr>
        <w:t>Montessori, M. (1964). The Montessori Method. Schocken Books.</w:t>
      </w:r>
    </w:p>
    <w:p w14:paraId="273D90C2" w14:textId="77777777" w:rsidR="006C1DCC" w:rsidRPr="007E127D" w:rsidRDefault="006C1DCC" w:rsidP="00DC394E">
      <w:pPr>
        <w:spacing w:line="360" w:lineRule="auto"/>
        <w:jc w:val="both"/>
        <w:rPr>
          <w:rFonts w:ascii="Times New Roman" w:hAnsi="Times New Roman" w:cs="Times New Roman"/>
          <w:sz w:val="24"/>
          <w:szCs w:val="24"/>
        </w:rPr>
      </w:pPr>
      <w:r w:rsidRPr="007E127D">
        <w:rPr>
          <w:rFonts w:ascii="Times New Roman" w:hAnsi="Times New Roman" w:cs="Times New Roman"/>
          <w:sz w:val="24"/>
          <w:szCs w:val="24"/>
        </w:rPr>
        <w:t>Piaget, J. (1952). The Origins of Intelligence in Children. International Universities Press.</w:t>
      </w:r>
    </w:p>
    <w:p w14:paraId="7FE71EA4" w14:textId="77777777" w:rsidR="006C1DCC" w:rsidRDefault="006C1DCC" w:rsidP="006C1DCC">
      <w:pPr>
        <w:spacing w:line="360" w:lineRule="auto"/>
      </w:pPr>
      <w:r>
        <w:t>Piaget, J. (1952). The Origins of Intelligence in Children. New York, NY: International University Press.</w:t>
      </w:r>
    </w:p>
    <w:p w14:paraId="608F744F" w14:textId="77777777" w:rsidR="006C1DCC" w:rsidRDefault="006C1DCC" w:rsidP="00D00149">
      <w:pPr>
        <w:spacing w:line="360" w:lineRule="auto"/>
      </w:pPr>
      <w:r>
        <w:t xml:space="preserve">Rebecca The Maths Lady (2021), Primary Maths With Poppits [YouTube Video], Available at: </w:t>
      </w:r>
      <w:hyperlink r:id="rId56" w:history="1">
        <w:r w:rsidRPr="00985A54">
          <w:rPr>
            <w:rStyle w:val="Hyperlink"/>
          </w:rPr>
          <w:t>https://youtu.be/NO9X5E0mGcw?si=R4e8OhQtdPkmM5r9</w:t>
        </w:r>
      </w:hyperlink>
      <w:r>
        <w:t xml:space="preserve"> (Accessed 11</w:t>
      </w:r>
      <w:r w:rsidRPr="00A005A8">
        <w:rPr>
          <w:vertAlign w:val="superscript"/>
        </w:rPr>
        <w:t>th</w:t>
      </w:r>
      <w:r>
        <w:t xml:space="preserve"> February 2025)</w:t>
      </w:r>
    </w:p>
    <w:p w14:paraId="7A6DE8EA" w14:textId="77777777" w:rsidR="006C1DCC" w:rsidRDefault="006C1DCC" w:rsidP="00DC394E">
      <w:pPr>
        <w:spacing w:line="360" w:lineRule="auto"/>
        <w:rPr>
          <w:rFonts w:ascii="Times New Roman" w:hAnsi="Times New Roman" w:cs="Times New Roman"/>
          <w:i/>
          <w:iCs/>
          <w:sz w:val="24"/>
          <w:szCs w:val="24"/>
        </w:rPr>
      </w:pPr>
      <w:r w:rsidRPr="007E127D">
        <w:rPr>
          <w:rFonts w:ascii="Times New Roman" w:hAnsi="Times New Roman" w:cs="Times New Roman"/>
          <w:sz w:val="24"/>
          <w:szCs w:val="24"/>
        </w:rPr>
        <w:t xml:space="preserve">SanGiovanni. J &amp; Bay-Williams. J, (2022). </w:t>
      </w:r>
      <w:r w:rsidRPr="007E127D">
        <w:rPr>
          <w:rFonts w:ascii="Times New Roman" w:hAnsi="Times New Roman" w:cs="Times New Roman"/>
          <w:i/>
          <w:iCs/>
          <w:sz w:val="24"/>
          <w:szCs w:val="24"/>
        </w:rPr>
        <w:t>Figuring Out Fluency - Multiplication and Division With Whole Numbers, Available at:</w:t>
      </w:r>
      <w:r w:rsidRPr="007E127D">
        <w:rPr>
          <w:rFonts w:ascii="Times New Roman" w:hAnsi="Times New Roman" w:cs="Times New Roman"/>
          <w:sz w:val="24"/>
          <w:szCs w:val="24"/>
        </w:rPr>
        <w:t xml:space="preserve"> </w:t>
      </w:r>
      <w:hyperlink r:id="rId57" w:anchor="v=onepage&amp;q&amp;f=false" w:history="1">
        <w:r w:rsidRPr="007E127D">
          <w:rPr>
            <w:rStyle w:val="Hyperlink"/>
            <w:rFonts w:ascii="Times New Roman" w:hAnsi="Times New Roman" w:cs="Times New Roman"/>
            <w:i/>
            <w:iCs/>
            <w:sz w:val="24"/>
            <w:szCs w:val="24"/>
          </w:rPr>
          <w:t xml:space="preserve">Figuring Out Fluency - Multiplication and </w:t>
        </w:r>
        <w:r w:rsidRPr="007E127D">
          <w:rPr>
            <w:rStyle w:val="Hyperlink"/>
            <w:rFonts w:ascii="Times New Roman" w:hAnsi="Times New Roman" w:cs="Times New Roman"/>
            <w:i/>
            <w:iCs/>
            <w:sz w:val="24"/>
            <w:szCs w:val="24"/>
          </w:rPr>
          <w:lastRenderedPageBreak/>
          <w:t>Division With Whole Numbers: A ... - John J. SanGiovanni, Jennifer M. Bay-Williams, Rosalba Serrano - Google Books</w:t>
        </w:r>
      </w:hyperlink>
      <w:r w:rsidRPr="007E127D">
        <w:rPr>
          <w:rFonts w:ascii="Times New Roman" w:hAnsi="Times New Roman" w:cs="Times New Roman"/>
          <w:i/>
          <w:iCs/>
          <w:sz w:val="24"/>
          <w:szCs w:val="24"/>
        </w:rPr>
        <w:t xml:space="preserve"> (Accessed 03</w:t>
      </w:r>
      <w:r w:rsidRPr="007E127D">
        <w:rPr>
          <w:rFonts w:ascii="Times New Roman" w:hAnsi="Times New Roman" w:cs="Times New Roman"/>
          <w:i/>
          <w:iCs/>
          <w:sz w:val="24"/>
          <w:szCs w:val="24"/>
          <w:vertAlign w:val="superscript"/>
        </w:rPr>
        <w:t>rd</w:t>
      </w:r>
      <w:r w:rsidRPr="007E127D">
        <w:rPr>
          <w:rFonts w:ascii="Times New Roman" w:hAnsi="Times New Roman" w:cs="Times New Roman"/>
          <w:i/>
          <w:iCs/>
          <w:sz w:val="24"/>
          <w:szCs w:val="24"/>
        </w:rPr>
        <w:t xml:space="preserve"> February 2025) </w:t>
      </w:r>
    </w:p>
    <w:p w14:paraId="63CB3E58" w14:textId="77777777" w:rsidR="006C1DCC" w:rsidRDefault="006C1DCC" w:rsidP="00D00149">
      <w:pPr>
        <w:spacing w:line="360" w:lineRule="auto"/>
      </w:pPr>
    </w:p>
    <w:p w14:paraId="05555F02" w14:textId="77777777" w:rsidR="006C1DCC" w:rsidRDefault="006C1DCC" w:rsidP="00D00149">
      <w:pPr>
        <w:spacing w:line="360" w:lineRule="auto"/>
      </w:pPr>
    </w:p>
    <w:p w14:paraId="06E01C90" w14:textId="77777777" w:rsidR="00D00149" w:rsidRDefault="00D00149" w:rsidP="00D57C63">
      <w:pPr>
        <w:spacing w:line="360" w:lineRule="auto"/>
      </w:pPr>
    </w:p>
    <w:p w14:paraId="15F1C98D" w14:textId="1BAF066C" w:rsidR="00FC5877" w:rsidRPr="00F10110" w:rsidRDefault="00FC5877" w:rsidP="00D57C63">
      <w:pPr>
        <w:spacing w:line="360" w:lineRule="auto"/>
        <w:rPr>
          <w:rFonts w:ascii="Times New Roman" w:hAnsi="Times New Roman" w:cs="Times New Roman"/>
          <w:sz w:val="24"/>
          <w:szCs w:val="24"/>
        </w:rPr>
      </w:pPr>
      <w:r>
        <w:t xml:space="preserve"> </w:t>
      </w:r>
    </w:p>
    <w:p w14:paraId="647E5CBD" w14:textId="77777777" w:rsidR="00D57C63" w:rsidRPr="007E127D" w:rsidRDefault="00D57C63" w:rsidP="00DC394E">
      <w:pPr>
        <w:spacing w:line="360" w:lineRule="auto"/>
        <w:rPr>
          <w:rFonts w:ascii="Times New Roman" w:hAnsi="Times New Roman" w:cs="Times New Roman"/>
          <w:i/>
          <w:iCs/>
          <w:sz w:val="24"/>
          <w:szCs w:val="24"/>
        </w:rPr>
      </w:pPr>
    </w:p>
    <w:p w14:paraId="45FA1033" w14:textId="7BDFF863" w:rsidR="00DC394E" w:rsidRPr="00255FF6" w:rsidRDefault="00DC394E" w:rsidP="00DC394E">
      <w:pPr>
        <w:pStyle w:val="Heading1"/>
        <w:rPr>
          <w:rFonts w:ascii="Comic Sans MS" w:hAnsi="Comic Sans MS"/>
          <w:sz w:val="44"/>
          <w:szCs w:val="44"/>
          <w:u w:val="single"/>
        </w:rPr>
      </w:pPr>
    </w:p>
    <w:p w14:paraId="1D1B73A4" w14:textId="254C5184" w:rsidR="00DC394E" w:rsidRDefault="00DC394E"/>
    <w:p w14:paraId="214F33A5" w14:textId="7EFFE24D" w:rsidR="00621556" w:rsidRDefault="00621556">
      <w:r>
        <w:br w:type="page"/>
      </w:r>
    </w:p>
    <w:p w14:paraId="3999A320" w14:textId="1AAFA345" w:rsidR="00651A1A" w:rsidRPr="00D91B0B" w:rsidRDefault="00D91B0B" w:rsidP="00D91B0B">
      <w:pPr>
        <w:jc w:val="center"/>
        <w:rPr>
          <w:sz w:val="44"/>
          <w:szCs w:val="44"/>
          <w:u w:val="single"/>
        </w:rPr>
      </w:pPr>
      <w:r w:rsidRPr="00D91B0B">
        <w:rPr>
          <w:rFonts w:cs="Times New Roman"/>
          <w:sz w:val="44"/>
          <w:szCs w:val="44"/>
          <w:u w:val="single"/>
          <w:lang w:val="en-US"/>
        </w:rPr>
        <w:lastRenderedPageBreak/>
        <w:t>Link to Video of Resource in Action</w:t>
      </w:r>
    </w:p>
    <w:p w14:paraId="24ED2EA4" w14:textId="77777777" w:rsidR="004163F6" w:rsidRDefault="004163F6"/>
    <w:p w14:paraId="706EB8E9" w14:textId="77777777" w:rsidR="004163F6" w:rsidRDefault="004163F6"/>
    <w:p w14:paraId="65BBA921" w14:textId="3E1DCC3F" w:rsidR="004163F6" w:rsidRDefault="00D91B0B">
      <w:hyperlink r:id="rId58" w:history="1">
        <w:r w:rsidRPr="00973E5B">
          <w:rPr>
            <w:rStyle w:val="Hyperlink"/>
          </w:rPr>
          <w:t>https://www.canva.com/design/DAGgG4Jk_Os/m_IkKlcgp-TcA2GQUr0V_g/watch?utm_content=DAGgG4Jk_Os&amp;utm_campaign=designshare&amp;utm_medium=link2&amp;utm_source=uniquelinks&amp;utlId=h789d1edcd9</w:t>
        </w:r>
      </w:hyperlink>
      <w:r>
        <w:t xml:space="preserve"> </w:t>
      </w:r>
    </w:p>
    <w:p w14:paraId="1CDB6D66" w14:textId="77777777" w:rsidR="004163F6" w:rsidRDefault="004163F6"/>
    <w:p w14:paraId="18C57971" w14:textId="77777777" w:rsidR="004163F6" w:rsidRDefault="004163F6"/>
    <w:p w14:paraId="5E82F106" w14:textId="77777777" w:rsidR="004163F6" w:rsidRDefault="004163F6"/>
    <w:p w14:paraId="2D75DA61" w14:textId="77777777" w:rsidR="004163F6" w:rsidRDefault="004163F6"/>
    <w:p w14:paraId="5E573020" w14:textId="77777777" w:rsidR="004163F6" w:rsidRDefault="004163F6"/>
    <w:p w14:paraId="52B327D4" w14:textId="77777777" w:rsidR="004163F6" w:rsidRDefault="004163F6"/>
    <w:p w14:paraId="674B5135" w14:textId="77777777" w:rsidR="004163F6" w:rsidRDefault="004163F6"/>
    <w:p w14:paraId="30AC08F9" w14:textId="77777777" w:rsidR="004163F6" w:rsidRDefault="004163F6"/>
    <w:p w14:paraId="1B772E1A" w14:textId="77777777" w:rsidR="004163F6" w:rsidRDefault="004163F6"/>
    <w:p w14:paraId="45988DAF" w14:textId="77777777" w:rsidR="004163F6" w:rsidRDefault="004163F6"/>
    <w:p w14:paraId="3C37193C" w14:textId="77777777" w:rsidR="004163F6" w:rsidRDefault="004163F6"/>
    <w:p w14:paraId="48E19B7A" w14:textId="77777777" w:rsidR="004163F6" w:rsidRDefault="004163F6"/>
    <w:p w14:paraId="02563FB1" w14:textId="77777777" w:rsidR="004163F6" w:rsidRDefault="004163F6"/>
    <w:p w14:paraId="4CC1DF7C" w14:textId="77777777" w:rsidR="004163F6" w:rsidRDefault="004163F6"/>
    <w:p w14:paraId="69892373" w14:textId="77777777" w:rsidR="004163F6" w:rsidRDefault="004163F6"/>
    <w:p w14:paraId="288D8EB7" w14:textId="77777777" w:rsidR="004163F6" w:rsidRDefault="004163F6"/>
    <w:p w14:paraId="392B203C" w14:textId="77777777" w:rsidR="004163F6" w:rsidRDefault="004163F6"/>
    <w:p w14:paraId="4A521030" w14:textId="77777777" w:rsidR="004163F6" w:rsidRDefault="004163F6"/>
    <w:p w14:paraId="4ADB68FE" w14:textId="77777777" w:rsidR="004163F6" w:rsidRDefault="004163F6"/>
    <w:p w14:paraId="63E604E3" w14:textId="0A5672C0" w:rsidR="004163F6" w:rsidRDefault="004163F6">
      <w:r>
        <w:br w:type="page"/>
      </w:r>
    </w:p>
    <w:p w14:paraId="5A6EB6A1" w14:textId="77777777" w:rsidR="004163F6" w:rsidRPr="00D366DD" w:rsidRDefault="004163F6" w:rsidP="004163F6">
      <w:pPr>
        <w:pStyle w:val="Title"/>
      </w:pPr>
      <w:bookmarkStart w:id="2" w:name="_Hlk190979926"/>
      <w:r w:rsidRPr="00D366DD">
        <w:lastRenderedPageBreak/>
        <w:t>Time</w:t>
      </w:r>
      <w:r>
        <w:t xml:space="preserve">s </w:t>
      </w:r>
      <w:r w:rsidRPr="00D366DD">
        <w:t>table Pop-It Square: A Fun and Functional Review</w:t>
      </w:r>
    </w:p>
    <w:bookmarkEnd w:id="2"/>
    <w:p w14:paraId="64611F12" w14:textId="77777777" w:rsidR="004163F6" w:rsidRPr="00D366DD" w:rsidRDefault="004163F6" w:rsidP="004163F6"/>
    <w:p w14:paraId="7CF1D48B" w14:textId="77777777" w:rsidR="004163F6" w:rsidRDefault="004163F6" w:rsidP="004163F6">
      <w:pPr>
        <w:spacing w:line="360" w:lineRule="auto"/>
        <w:rPr>
          <w:rFonts w:ascii="Times New Roman" w:hAnsi="Times New Roman" w:cs="Times New Roman"/>
          <w:sz w:val="24"/>
          <w:szCs w:val="24"/>
        </w:rPr>
      </w:pPr>
      <w:r w:rsidRPr="00D366DD">
        <w:rPr>
          <w:rFonts w:ascii="Times New Roman" w:hAnsi="Times New Roman" w:cs="Times New Roman"/>
          <w:sz w:val="24"/>
          <w:szCs w:val="24"/>
        </w:rPr>
        <w:t xml:space="preserve">The integration of sensory tools into education has gained traction in recent years, with a growing emphasis on </w:t>
      </w:r>
      <w:r w:rsidRPr="00131C6B">
        <w:rPr>
          <w:rFonts w:ascii="Times New Roman" w:hAnsi="Times New Roman" w:cs="Times New Roman"/>
          <w:sz w:val="24"/>
          <w:szCs w:val="24"/>
        </w:rPr>
        <w:t>inclusive classrooms that cater to all learning styles</w:t>
      </w:r>
      <w:r w:rsidRPr="00D366DD">
        <w:rPr>
          <w:rFonts w:ascii="Times New Roman" w:hAnsi="Times New Roman" w:cs="Times New Roman"/>
          <w:sz w:val="24"/>
          <w:szCs w:val="24"/>
        </w:rPr>
        <w:t>. One such tool is the Time</w:t>
      </w:r>
      <w:r>
        <w:rPr>
          <w:rFonts w:ascii="Times New Roman" w:hAnsi="Times New Roman" w:cs="Times New Roman"/>
          <w:sz w:val="24"/>
          <w:szCs w:val="24"/>
        </w:rPr>
        <w:t xml:space="preserve">s </w:t>
      </w:r>
      <w:r w:rsidRPr="00D366DD">
        <w:rPr>
          <w:rFonts w:ascii="Times New Roman" w:hAnsi="Times New Roman" w:cs="Times New Roman"/>
          <w:sz w:val="24"/>
          <w:szCs w:val="24"/>
        </w:rPr>
        <w:t>table Pop-It Square, a tactile, interactive aid designed to help students with</w:t>
      </w:r>
      <w:r w:rsidRPr="00131C6B">
        <w:rPr>
          <w:rFonts w:ascii="Times New Roman" w:hAnsi="Times New Roman" w:cs="Times New Roman"/>
          <w:sz w:val="24"/>
          <w:szCs w:val="24"/>
        </w:rPr>
        <w:t xml:space="preserve"> multiplication</w:t>
      </w:r>
      <w:r>
        <w:rPr>
          <w:rFonts w:ascii="Times New Roman" w:hAnsi="Times New Roman" w:cs="Times New Roman"/>
          <w:sz w:val="24"/>
          <w:szCs w:val="24"/>
        </w:rPr>
        <w:t>, division and step-counting,</w:t>
      </w:r>
      <w:r w:rsidRPr="00D366DD">
        <w:rPr>
          <w:rFonts w:ascii="Times New Roman" w:hAnsi="Times New Roman" w:cs="Times New Roman"/>
          <w:sz w:val="24"/>
          <w:szCs w:val="24"/>
        </w:rPr>
        <w:t xml:space="preserve"> while engaging with a sensory stimulus. This review evaluates its effectiveness through the lens of educational theory and recent research, exploring its impact on cognitive load, executive functioning, and student engagement.</w:t>
      </w:r>
    </w:p>
    <w:p w14:paraId="6473E4FC" w14:textId="77777777" w:rsidR="004163F6" w:rsidRPr="008D3BDF" w:rsidRDefault="004163F6" w:rsidP="004163F6">
      <w:pPr>
        <w:spacing w:line="360" w:lineRule="auto"/>
        <w:rPr>
          <w:rFonts w:ascii="Times New Roman" w:hAnsi="Times New Roman" w:cs="Times New Roman"/>
          <w:sz w:val="24"/>
          <w:szCs w:val="24"/>
        </w:rPr>
      </w:pPr>
      <w:r w:rsidRPr="008D3BDF">
        <w:rPr>
          <w:rFonts w:ascii="Times New Roman" w:hAnsi="Times New Roman" w:cs="Times New Roman"/>
          <w:sz w:val="24"/>
          <w:szCs w:val="24"/>
        </w:rPr>
        <w:t>The Times table Pop-It Square</w:t>
      </w:r>
      <w:r>
        <w:rPr>
          <w:rFonts w:ascii="Times New Roman" w:hAnsi="Times New Roman" w:cs="Times New Roman"/>
          <w:sz w:val="24"/>
          <w:szCs w:val="24"/>
        </w:rPr>
        <w:t>,</w:t>
      </w:r>
      <w:r w:rsidRPr="008D3BDF">
        <w:rPr>
          <w:rFonts w:ascii="Times New Roman" w:hAnsi="Times New Roman" w:cs="Times New Roman"/>
          <w:sz w:val="24"/>
          <w:szCs w:val="24"/>
        </w:rPr>
        <w:t xml:space="preserve"> unlike conventional approaches that often emphasize rote memorization, this interactive fidget toy offers a hands-on experience by allowing children to press bubbles corresponding to multiplication products </w:t>
      </w:r>
      <w:bookmarkStart w:id="3" w:name="_Hlk191498001"/>
      <w:r w:rsidRPr="008D3BDF">
        <w:rPr>
          <w:rFonts w:ascii="Times New Roman" w:hAnsi="Times New Roman" w:cs="Times New Roman"/>
          <w:sz w:val="24"/>
          <w:szCs w:val="24"/>
        </w:rPr>
        <w:t>(Rebecca The Maths Lady 2021).</w:t>
      </w:r>
      <w:bookmarkEnd w:id="3"/>
      <w:r w:rsidRPr="008D3BDF">
        <w:rPr>
          <w:rFonts w:ascii="Times New Roman" w:hAnsi="Times New Roman" w:cs="Times New Roman"/>
          <w:sz w:val="24"/>
          <w:szCs w:val="24"/>
        </w:rPr>
        <w:t xml:space="preserve"> This tactile engagement not only make learning more enjoyable but also caters to various learning styles, potentially enhancing retention and understanding of multiplication tables. Such innovative tools provide immediate feedback and can reduce anxiety associated with traditional drills, offering a more dynamic and supportive learning environment (Magreñán, et.al, 2022).</w:t>
      </w:r>
    </w:p>
    <w:p w14:paraId="4D248790" w14:textId="77777777" w:rsidR="004163F6" w:rsidRPr="00D366DD" w:rsidRDefault="004163F6" w:rsidP="004163F6">
      <w:pPr>
        <w:spacing w:line="360" w:lineRule="auto"/>
        <w:rPr>
          <w:rFonts w:ascii="Times New Roman" w:hAnsi="Times New Roman" w:cs="Times New Roman"/>
          <w:sz w:val="24"/>
          <w:szCs w:val="24"/>
        </w:rPr>
      </w:pPr>
      <w:r w:rsidRPr="00D366DD">
        <w:rPr>
          <w:rFonts w:ascii="Times New Roman" w:hAnsi="Times New Roman" w:cs="Times New Roman"/>
          <w:sz w:val="24"/>
          <w:szCs w:val="24"/>
        </w:rPr>
        <w:t>The Time</w:t>
      </w:r>
      <w:r>
        <w:rPr>
          <w:rFonts w:ascii="Times New Roman" w:hAnsi="Times New Roman" w:cs="Times New Roman"/>
          <w:sz w:val="24"/>
          <w:szCs w:val="24"/>
        </w:rPr>
        <w:t xml:space="preserve">s </w:t>
      </w:r>
      <w:r w:rsidRPr="00D366DD">
        <w:rPr>
          <w:rFonts w:ascii="Times New Roman" w:hAnsi="Times New Roman" w:cs="Times New Roman"/>
          <w:sz w:val="24"/>
          <w:szCs w:val="24"/>
        </w:rPr>
        <w:t>table Pop-It Square aligns with several educational theories that emphasize the role of sensory engagement in learning. Jean Piaget (1952) proposed that children construct knowledge through interaction with their environment, and sensory tools can enhance this process. Similarly, Lev Vygotsky’s (1978) sociocultural theory underscores the importance of tools and artifacts in learning, highlighting how external aids support cognitive development.</w:t>
      </w:r>
      <w:r>
        <w:rPr>
          <w:rFonts w:ascii="Times New Roman" w:hAnsi="Times New Roman" w:cs="Times New Roman"/>
          <w:sz w:val="24"/>
          <w:szCs w:val="24"/>
        </w:rPr>
        <w:t xml:space="preserve"> </w:t>
      </w:r>
      <w:r w:rsidRPr="00D366DD">
        <w:rPr>
          <w:rFonts w:ascii="Times New Roman" w:hAnsi="Times New Roman" w:cs="Times New Roman"/>
          <w:sz w:val="24"/>
          <w:szCs w:val="24"/>
        </w:rPr>
        <w:t xml:space="preserve">Sensory-based learning also draws from Maria Montessori’s (1912) approach, which advocates for hands-on, self-directed learning. Montessori classrooms often incorporate tactile learning materials, </w:t>
      </w:r>
      <w:r w:rsidRPr="00131C6B">
        <w:rPr>
          <w:rFonts w:ascii="Times New Roman" w:hAnsi="Times New Roman" w:cs="Times New Roman"/>
          <w:sz w:val="24"/>
          <w:szCs w:val="24"/>
        </w:rPr>
        <w:t>like</w:t>
      </w:r>
      <w:r w:rsidRPr="00D366DD">
        <w:rPr>
          <w:rFonts w:ascii="Times New Roman" w:hAnsi="Times New Roman" w:cs="Times New Roman"/>
          <w:sz w:val="24"/>
          <w:szCs w:val="24"/>
        </w:rPr>
        <w:t xml:space="preserve"> Pop-It tools, to encourage exploration and cognitive development. Furthermore, John Dewey (1938) emphasized the importance of experiential learning, suggesting that physical interaction with educational materials enhances comprehension and retention.</w:t>
      </w:r>
    </w:p>
    <w:p w14:paraId="0D718E5C" w14:textId="77777777" w:rsidR="004163F6" w:rsidRPr="00D366DD" w:rsidRDefault="004163F6" w:rsidP="004163F6">
      <w:pPr>
        <w:spacing w:line="360" w:lineRule="auto"/>
        <w:rPr>
          <w:rFonts w:ascii="Times New Roman" w:hAnsi="Times New Roman" w:cs="Times New Roman"/>
          <w:sz w:val="24"/>
          <w:szCs w:val="24"/>
        </w:rPr>
      </w:pPr>
      <w:r w:rsidRPr="00D366DD">
        <w:rPr>
          <w:rFonts w:ascii="Times New Roman" w:hAnsi="Times New Roman" w:cs="Times New Roman"/>
          <w:sz w:val="24"/>
          <w:szCs w:val="24"/>
        </w:rPr>
        <w:t>The Time</w:t>
      </w:r>
      <w:r w:rsidRPr="00120AE6">
        <w:rPr>
          <w:rFonts w:ascii="Times New Roman" w:hAnsi="Times New Roman" w:cs="Times New Roman"/>
          <w:sz w:val="24"/>
          <w:szCs w:val="24"/>
        </w:rPr>
        <w:t xml:space="preserve">s </w:t>
      </w:r>
      <w:r w:rsidRPr="00D366DD">
        <w:rPr>
          <w:rFonts w:ascii="Times New Roman" w:hAnsi="Times New Roman" w:cs="Times New Roman"/>
          <w:sz w:val="24"/>
          <w:szCs w:val="24"/>
        </w:rPr>
        <w:t>table Pop-It Square combines the struct</w:t>
      </w:r>
      <w:r w:rsidRPr="00120AE6">
        <w:rPr>
          <w:rFonts w:ascii="Times New Roman" w:hAnsi="Times New Roman" w:cs="Times New Roman"/>
          <w:sz w:val="24"/>
          <w:szCs w:val="24"/>
        </w:rPr>
        <w:t>ure of multiplication</w:t>
      </w:r>
      <w:r w:rsidRPr="00D366DD">
        <w:rPr>
          <w:rFonts w:ascii="Times New Roman" w:hAnsi="Times New Roman" w:cs="Times New Roman"/>
          <w:sz w:val="24"/>
          <w:szCs w:val="24"/>
        </w:rPr>
        <w:t xml:space="preserve"> with the tactile stimulation of a Pop-It fidget toy. Pop-It fidgets have been studied for their ability to reduce anxiety and improve focus, particularly among students with ADHD and autism spectrum </w:t>
      </w:r>
      <w:r w:rsidRPr="00D366DD">
        <w:rPr>
          <w:rFonts w:ascii="Times New Roman" w:hAnsi="Times New Roman" w:cs="Times New Roman"/>
          <w:sz w:val="24"/>
          <w:szCs w:val="24"/>
        </w:rPr>
        <w:lastRenderedPageBreak/>
        <w:t>disorder (ASD) (Hartanto et al., 2021). The rhythmic, repetitive nature of pressing the bubbles provides proprioceptive feedback, which can have a calming effect, helping students maintain attention and regulate emotions (Kinnealey et al., 2012).</w:t>
      </w:r>
    </w:p>
    <w:p w14:paraId="586F1A3D" w14:textId="77777777" w:rsidR="004163F6" w:rsidRPr="00D366DD" w:rsidRDefault="004163F6" w:rsidP="004163F6"/>
    <w:p w14:paraId="394E868E" w14:textId="77777777" w:rsidR="004163F6" w:rsidRPr="00100368" w:rsidRDefault="004163F6" w:rsidP="004163F6">
      <w:pPr>
        <w:spacing w:line="360" w:lineRule="auto"/>
        <w:rPr>
          <w:rFonts w:ascii="Times New Roman" w:hAnsi="Times New Roman" w:cs="Times New Roman"/>
          <w:sz w:val="24"/>
          <w:szCs w:val="24"/>
        </w:rPr>
      </w:pPr>
      <w:r w:rsidRPr="00100368">
        <w:rPr>
          <w:rFonts w:ascii="Times New Roman" w:hAnsi="Times New Roman" w:cs="Times New Roman"/>
          <w:sz w:val="24"/>
          <w:szCs w:val="24"/>
        </w:rPr>
        <w:t>Additionally, the Times table Pop-It Square provides a concrete representation of the multiplication tables. Studies have shown that concrete and visual representation of abstract mathematical equations are particularly beneficial for students with executive functioning challenges, as they reduce cognitive overload and reinforces memory by providing repetition and a tactile experience (Miller et al., 2018).</w:t>
      </w:r>
    </w:p>
    <w:p w14:paraId="148CBABF" w14:textId="77777777" w:rsidR="004163F6" w:rsidRPr="00BF0C9B" w:rsidRDefault="004163F6" w:rsidP="004163F6">
      <w:pPr>
        <w:spacing w:line="360" w:lineRule="auto"/>
        <w:rPr>
          <w:rFonts w:ascii="Times New Roman" w:hAnsi="Times New Roman" w:cs="Times New Roman"/>
          <w:sz w:val="24"/>
          <w:szCs w:val="24"/>
        </w:rPr>
      </w:pPr>
      <w:r w:rsidRPr="00BF0C9B">
        <w:rPr>
          <w:rFonts w:ascii="Times New Roman" w:hAnsi="Times New Roman" w:cs="Times New Roman"/>
          <w:sz w:val="24"/>
          <w:szCs w:val="24"/>
        </w:rPr>
        <w:t>Cognitive load theory (CLT) (Sweller, 1988) suggests that learning is most effective when unnecessary cognitive demands are minimized. The times table pop-it square supports CLT by effectively managing the cognitive demands associated with learning multiplication by providing a hands-on, engaging method to practice multiplication, thereby minimizing distractions and aiding focus (Diamond, 2013). This approach allows learners to concentrate on the core concepts without being overwhelmed by abstract representations. Additionally, the physical manipulation of the pop-it aids in schema construction and automation, facilitating the transfer of information into long-term memory, which is a key aspect of germane cognitive load (Jitendra, et. Al, 2024).</w:t>
      </w:r>
    </w:p>
    <w:p w14:paraId="75E4FDF6" w14:textId="77777777" w:rsidR="004163F6" w:rsidRPr="00D366DD" w:rsidRDefault="004163F6" w:rsidP="004163F6">
      <w:pPr>
        <w:spacing w:line="360" w:lineRule="auto"/>
        <w:rPr>
          <w:rFonts w:ascii="Times New Roman" w:hAnsi="Times New Roman" w:cs="Times New Roman"/>
          <w:sz w:val="24"/>
          <w:szCs w:val="24"/>
        </w:rPr>
      </w:pPr>
      <w:r w:rsidRPr="00D366DD">
        <w:rPr>
          <w:rFonts w:ascii="Times New Roman" w:hAnsi="Times New Roman" w:cs="Times New Roman"/>
          <w:sz w:val="24"/>
          <w:szCs w:val="24"/>
        </w:rPr>
        <w:t xml:space="preserve">Self-Determination Theory (Deci &amp; Ryan, 1985) posits that intrinsic motivation is fostered when students feel a sense of autonomy, competence, and relatedness. The interactive nature of the Pop-It Square encourages self-directed participation, making </w:t>
      </w:r>
      <w:r w:rsidRPr="00FA2415">
        <w:rPr>
          <w:rFonts w:ascii="Times New Roman" w:hAnsi="Times New Roman" w:cs="Times New Roman"/>
          <w:sz w:val="24"/>
          <w:szCs w:val="24"/>
        </w:rPr>
        <w:t>multiplication</w:t>
      </w:r>
      <w:r>
        <w:rPr>
          <w:rFonts w:ascii="Times New Roman" w:hAnsi="Times New Roman" w:cs="Times New Roman"/>
          <w:sz w:val="24"/>
          <w:szCs w:val="24"/>
        </w:rPr>
        <w:t xml:space="preserve">, </w:t>
      </w:r>
      <w:r w:rsidRPr="00FA2415">
        <w:rPr>
          <w:rFonts w:ascii="Times New Roman" w:hAnsi="Times New Roman" w:cs="Times New Roman"/>
          <w:sz w:val="24"/>
          <w:szCs w:val="24"/>
        </w:rPr>
        <w:t>division</w:t>
      </w:r>
      <w:r>
        <w:rPr>
          <w:rFonts w:ascii="Times New Roman" w:hAnsi="Times New Roman" w:cs="Times New Roman"/>
          <w:sz w:val="24"/>
          <w:szCs w:val="24"/>
        </w:rPr>
        <w:t xml:space="preserve"> and skip-counting</w:t>
      </w:r>
      <w:r w:rsidRPr="00D366DD">
        <w:rPr>
          <w:rFonts w:ascii="Times New Roman" w:hAnsi="Times New Roman" w:cs="Times New Roman"/>
          <w:sz w:val="24"/>
          <w:szCs w:val="24"/>
        </w:rPr>
        <w:t xml:space="preserve"> a more engaging and enjoyable activity.</w:t>
      </w:r>
    </w:p>
    <w:p w14:paraId="6CEFB8A1" w14:textId="77777777" w:rsidR="004163F6" w:rsidRPr="00117196" w:rsidRDefault="004163F6" w:rsidP="004163F6">
      <w:pPr>
        <w:spacing w:line="360" w:lineRule="auto"/>
        <w:rPr>
          <w:rFonts w:ascii="Times New Roman" w:hAnsi="Times New Roman" w:cs="Times New Roman"/>
          <w:color w:val="FF0000"/>
          <w:sz w:val="24"/>
          <w:szCs w:val="24"/>
        </w:rPr>
      </w:pPr>
      <w:r w:rsidRPr="00117196">
        <w:rPr>
          <w:rFonts w:ascii="Times New Roman" w:hAnsi="Times New Roman" w:cs="Times New Roman"/>
          <w:sz w:val="24"/>
          <w:szCs w:val="24"/>
        </w:rPr>
        <w:t xml:space="preserve">Additionally, gamification as defined by Ratinho &amp; Martins, (2023). </w:t>
      </w:r>
      <w:r>
        <w:rPr>
          <w:rFonts w:ascii="Times New Roman" w:hAnsi="Times New Roman" w:cs="Times New Roman"/>
          <w:sz w:val="24"/>
          <w:szCs w:val="24"/>
        </w:rPr>
        <w:t xml:space="preserve">As </w:t>
      </w:r>
      <w:r w:rsidRPr="00117196">
        <w:rPr>
          <w:rFonts w:ascii="Times New Roman" w:hAnsi="Times New Roman" w:cs="Times New Roman"/>
          <w:sz w:val="24"/>
          <w:szCs w:val="24"/>
        </w:rPr>
        <w:t>the</w:t>
      </w:r>
      <w:r w:rsidRPr="00117196">
        <w:rPr>
          <w:rFonts w:ascii="Times New Roman" w:hAnsi="Times New Roman" w:cs="Times New Roman"/>
          <w:i/>
          <w:iCs/>
          <w:sz w:val="24"/>
          <w:szCs w:val="24"/>
        </w:rPr>
        <w:t xml:space="preserve"> “integration of videogame components to promote a gameful experience”</w:t>
      </w:r>
      <w:r w:rsidRPr="00117196">
        <w:rPr>
          <w:rFonts w:ascii="Times New Roman" w:hAnsi="Times New Roman" w:cs="Times New Roman"/>
          <w:sz w:val="24"/>
          <w:szCs w:val="24"/>
        </w:rPr>
        <w:t>, In education this has been shown to improve student motivation and engagement. The act of popping bubbles improves motivation and engagement by making learning feel like play rather than work (Hamari et al., 2016).</w:t>
      </w:r>
    </w:p>
    <w:p w14:paraId="438AF8D7" w14:textId="77777777" w:rsidR="004163F6" w:rsidRPr="00D366DD" w:rsidRDefault="004163F6" w:rsidP="004163F6">
      <w:pPr>
        <w:spacing w:line="360" w:lineRule="auto"/>
        <w:rPr>
          <w:rFonts w:ascii="Times New Roman" w:hAnsi="Times New Roman" w:cs="Times New Roman"/>
          <w:sz w:val="24"/>
          <w:szCs w:val="24"/>
        </w:rPr>
      </w:pPr>
      <w:r w:rsidRPr="00D366DD">
        <w:rPr>
          <w:rFonts w:ascii="Times New Roman" w:hAnsi="Times New Roman" w:cs="Times New Roman"/>
          <w:sz w:val="24"/>
          <w:szCs w:val="24"/>
        </w:rPr>
        <w:t>Studies indicate that sensory tools like Pop-It</w:t>
      </w:r>
      <w:r>
        <w:rPr>
          <w:rFonts w:ascii="Times New Roman" w:hAnsi="Times New Roman" w:cs="Times New Roman"/>
          <w:sz w:val="24"/>
          <w:szCs w:val="24"/>
        </w:rPr>
        <w:t>s</w:t>
      </w:r>
      <w:r w:rsidRPr="00D366DD">
        <w:rPr>
          <w:rFonts w:ascii="Times New Roman" w:hAnsi="Times New Roman" w:cs="Times New Roman"/>
          <w:sz w:val="24"/>
          <w:szCs w:val="24"/>
        </w:rPr>
        <w:t xml:space="preserve"> can aid in emotional regulation, particularly for students with anxiety or neurodevelopmental disorders (Bennett &amp; Heaton, 2020). The predictable, repetitive motion of pressing the bubbles can serve as a self-soothing mechanism, helping students manage stress.</w:t>
      </w:r>
      <w:r>
        <w:rPr>
          <w:rFonts w:ascii="Times New Roman" w:hAnsi="Times New Roman" w:cs="Times New Roman"/>
          <w:sz w:val="24"/>
          <w:szCs w:val="24"/>
        </w:rPr>
        <w:t xml:space="preserve"> </w:t>
      </w:r>
      <w:r w:rsidRPr="00D366DD">
        <w:rPr>
          <w:rFonts w:ascii="Times New Roman" w:hAnsi="Times New Roman" w:cs="Times New Roman"/>
          <w:sz w:val="24"/>
          <w:szCs w:val="24"/>
        </w:rPr>
        <w:t xml:space="preserve">Furthermore, affective neuroscience research suggests that tactile stimulation activates the parasympathetic nervous system, promoting relaxation and </w:t>
      </w:r>
      <w:r w:rsidRPr="00D366DD">
        <w:rPr>
          <w:rFonts w:ascii="Times New Roman" w:hAnsi="Times New Roman" w:cs="Times New Roman"/>
          <w:sz w:val="24"/>
          <w:szCs w:val="24"/>
        </w:rPr>
        <w:lastRenderedPageBreak/>
        <w:t>reducing cortisol levels (Field, 2014). This makes the Time</w:t>
      </w:r>
      <w:r w:rsidRPr="00FA2415">
        <w:rPr>
          <w:rFonts w:ascii="Times New Roman" w:hAnsi="Times New Roman" w:cs="Times New Roman"/>
          <w:sz w:val="24"/>
          <w:szCs w:val="24"/>
        </w:rPr>
        <w:t xml:space="preserve">s </w:t>
      </w:r>
      <w:r w:rsidRPr="00D366DD">
        <w:rPr>
          <w:rFonts w:ascii="Times New Roman" w:hAnsi="Times New Roman" w:cs="Times New Roman"/>
          <w:sz w:val="24"/>
          <w:szCs w:val="24"/>
        </w:rPr>
        <w:t>table Pop-It Square a valuable tool for students who experience school-related anxiety or difficulties with transitions.</w:t>
      </w:r>
    </w:p>
    <w:p w14:paraId="45792FCA" w14:textId="77777777" w:rsidR="004163F6" w:rsidRPr="00D366DD" w:rsidRDefault="004163F6" w:rsidP="004163F6"/>
    <w:p w14:paraId="552B307F" w14:textId="77777777" w:rsidR="004163F6" w:rsidRPr="00D34E40" w:rsidRDefault="004163F6" w:rsidP="004163F6">
      <w:pPr>
        <w:spacing w:line="360" w:lineRule="auto"/>
        <w:rPr>
          <w:rFonts w:ascii="Times New Roman" w:hAnsi="Times New Roman" w:cs="Times New Roman"/>
          <w:sz w:val="24"/>
          <w:szCs w:val="24"/>
        </w:rPr>
      </w:pPr>
      <w:r w:rsidRPr="00D34E40">
        <w:rPr>
          <w:rFonts w:ascii="Times New Roman" w:hAnsi="Times New Roman" w:cs="Times New Roman"/>
          <w:sz w:val="24"/>
          <w:szCs w:val="24"/>
        </w:rPr>
        <w:t xml:space="preserve">While fidget tools can enhance focus for some students, they may become a distraction for others. A 2019 article by The British Psychological Society discussed research showing that the use of fidget spinners may impede learning. In the study, participants who used fidget spinners during an educational video reported more lapses in attention and performed worse on memory tests compared to those who did not use the devices. This suggests rather than aiding in concentration, fidget spinners can serve as a source of distraction in learning environments (The British Psychological Society 2019). Additionally, a 2018 article by Graziano, et.al states, </w:t>
      </w:r>
      <w:r w:rsidRPr="00D34E40">
        <w:rPr>
          <w:rFonts w:ascii="Times New Roman" w:hAnsi="Times New Roman" w:cs="Times New Roman"/>
          <w:i/>
          <w:iCs/>
          <w:sz w:val="24"/>
          <w:szCs w:val="24"/>
        </w:rPr>
        <w:t>“Children’s use of fidget spinners was associated with poorer attention across both phases”.</w:t>
      </w:r>
      <w:r w:rsidRPr="00D34E40">
        <w:rPr>
          <w:rFonts w:ascii="Times New Roman" w:hAnsi="Times New Roman" w:cs="Times New Roman"/>
          <w:sz w:val="24"/>
          <w:szCs w:val="24"/>
        </w:rPr>
        <w:t> They concluded</w:t>
      </w:r>
      <w:r w:rsidRPr="00D34E40">
        <w:rPr>
          <w:rFonts w:ascii="Times New Roman" w:hAnsi="Times New Roman" w:cs="Times New Roman"/>
          <w:b/>
          <w:bCs/>
          <w:sz w:val="24"/>
          <w:szCs w:val="24"/>
        </w:rPr>
        <w:t xml:space="preserve"> </w:t>
      </w:r>
      <w:r w:rsidRPr="00D34E40">
        <w:rPr>
          <w:rFonts w:ascii="Times New Roman" w:hAnsi="Times New Roman" w:cs="Times New Roman"/>
          <w:i/>
          <w:iCs/>
          <w:sz w:val="24"/>
          <w:szCs w:val="24"/>
        </w:rPr>
        <w:t xml:space="preserve">“Fidget spinners negatively influence young children with ADHD’s attentional functioning” </w:t>
      </w:r>
      <w:r w:rsidRPr="00D34E40">
        <w:rPr>
          <w:rFonts w:ascii="Times New Roman" w:hAnsi="Times New Roman" w:cs="Times New Roman"/>
          <w:sz w:val="24"/>
          <w:szCs w:val="24"/>
        </w:rPr>
        <w:t>(Graziano, et.al 2018). These insights suggest that while fidget poppers and similar tools can be beneficial for some students, their effectiveness largely depends on appropriate selection and usage within the classroom setting.</w:t>
      </w:r>
    </w:p>
    <w:p w14:paraId="74F0695A" w14:textId="77777777" w:rsidR="004163F6" w:rsidRPr="00702FDC" w:rsidRDefault="004163F6" w:rsidP="004163F6">
      <w:pPr>
        <w:spacing w:line="360" w:lineRule="auto"/>
        <w:rPr>
          <w:rFonts w:ascii="Times New Roman" w:hAnsi="Times New Roman" w:cs="Times New Roman"/>
          <w:sz w:val="24"/>
          <w:szCs w:val="24"/>
        </w:rPr>
      </w:pPr>
      <w:r w:rsidRPr="00702FDC">
        <w:rPr>
          <w:rFonts w:ascii="Times New Roman" w:hAnsi="Times New Roman" w:cs="Times New Roman"/>
          <w:sz w:val="24"/>
          <w:szCs w:val="24"/>
        </w:rPr>
        <w:t>Although the Timetable Pop-It Square is well-suited for young learners and neurodiverse students, older students may find it less engaging. Secondary school students may benefit from a multiplication pegboard where students inse</w:t>
      </w:r>
      <w:r>
        <w:rPr>
          <w:rFonts w:ascii="Times New Roman" w:hAnsi="Times New Roman" w:cs="Times New Roman"/>
          <w:sz w:val="24"/>
          <w:szCs w:val="24"/>
        </w:rPr>
        <w:t>rt</w:t>
      </w:r>
      <w:r w:rsidRPr="00702FDC">
        <w:rPr>
          <w:rFonts w:ascii="Times New Roman" w:hAnsi="Times New Roman" w:cs="Times New Roman"/>
          <w:sz w:val="24"/>
          <w:szCs w:val="24"/>
        </w:rPr>
        <w:t xml:space="preserve"> pegs into a board to complete multiplication fact, similar to Montessori-style learning tools (Montessori</w:t>
      </w:r>
      <w:r>
        <w:rPr>
          <w:rFonts w:ascii="Times New Roman" w:hAnsi="Times New Roman" w:cs="Times New Roman"/>
          <w:sz w:val="24"/>
          <w:szCs w:val="24"/>
        </w:rPr>
        <w:t>,</w:t>
      </w:r>
      <w:r w:rsidRPr="00702FDC">
        <w:rPr>
          <w:rFonts w:ascii="Times New Roman" w:hAnsi="Times New Roman" w:cs="Times New Roman"/>
          <w:sz w:val="24"/>
          <w:szCs w:val="24"/>
        </w:rPr>
        <w:t xml:space="preserve"> </w:t>
      </w:r>
      <w:r>
        <w:rPr>
          <w:rFonts w:ascii="Times New Roman" w:hAnsi="Times New Roman" w:cs="Times New Roman"/>
          <w:sz w:val="24"/>
          <w:szCs w:val="24"/>
        </w:rPr>
        <w:t>N</w:t>
      </w:r>
      <w:r w:rsidRPr="00702FDC">
        <w:rPr>
          <w:rFonts w:ascii="Times New Roman" w:hAnsi="Times New Roman" w:cs="Times New Roman"/>
          <w:sz w:val="24"/>
          <w:szCs w:val="24"/>
        </w:rPr>
        <w:t xml:space="preserve">o </w:t>
      </w:r>
      <w:r>
        <w:rPr>
          <w:rFonts w:ascii="Times New Roman" w:hAnsi="Times New Roman" w:cs="Times New Roman"/>
          <w:sz w:val="24"/>
          <w:szCs w:val="24"/>
        </w:rPr>
        <w:t>D</w:t>
      </w:r>
      <w:r w:rsidRPr="00702FDC">
        <w:rPr>
          <w:rFonts w:ascii="Times New Roman" w:hAnsi="Times New Roman" w:cs="Times New Roman"/>
          <w:sz w:val="24"/>
          <w:szCs w:val="24"/>
        </w:rPr>
        <w:t>ate). Another option is slide-and reveal multiplication cards, such as Learning Wrap-Ups, which allow students to self-check their answers (Learning Wrap-Ups, Inc 2024). Multiplication dominoes or puzzles pieces can also make learning interactive by matching problems to answers, much like math fact puzzle games (National Council of Teachers Mathematics, 2023). These alternatives provide engaging, age-appropriate ways to practice multiplication while maintaining an interactive and hands-on approach.</w:t>
      </w:r>
    </w:p>
    <w:p w14:paraId="46068D24" w14:textId="77777777" w:rsidR="004163F6" w:rsidRPr="00616CD8" w:rsidRDefault="004163F6" w:rsidP="004163F6">
      <w:pPr>
        <w:spacing w:line="360" w:lineRule="auto"/>
        <w:rPr>
          <w:rFonts w:ascii="Times New Roman" w:hAnsi="Times New Roman" w:cs="Times New Roman"/>
          <w:sz w:val="24"/>
          <w:szCs w:val="24"/>
        </w:rPr>
      </w:pPr>
      <w:r w:rsidRPr="00616CD8">
        <w:rPr>
          <w:rFonts w:ascii="Times New Roman" w:hAnsi="Times New Roman" w:cs="Times New Roman"/>
          <w:sz w:val="24"/>
          <w:szCs w:val="24"/>
        </w:rPr>
        <w:t xml:space="preserve">The Timetable Pop-It Square offers a dynamic and engaging alternative to traditional multiplication learning methods. By incorporating tactile interaction, visual reinforcement, and immediate feedback, it caters to various learning styles, making multiplication more accessible and enjoyable for students. Unlike rote memorization, which can be monotonous and stressful, this tool encourages active participation and can help reduce anxiety associated with Maths. As educational approaches continue to evolve, incorporating hand-on learning </w:t>
      </w:r>
      <w:r w:rsidRPr="00616CD8">
        <w:rPr>
          <w:rFonts w:ascii="Times New Roman" w:hAnsi="Times New Roman" w:cs="Times New Roman"/>
          <w:sz w:val="24"/>
          <w:szCs w:val="24"/>
        </w:rPr>
        <w:lastRenderedPageBreak/>
        <w:t>tools like the Timetable pop-it square can enhance mathematical understanding and retention, particularly for learners with additional learning needs.</w:t>
      </w:r>
    </w:p>
    <w:p w14:paraId="04618A34" w14:textId="77777777" w:rsidR="004163F6" w:rsidRPr="00D366DD" w:rsidRDefault="004163F6" w:rsidP="004163F6"/>
    <w:p w14:paraId="2CFFA47D" w14:textId="77777777" w:rsidR="004163F6" w:rsidRPr="00D366DD" w:rsidRDefault="004163F6" w:rsidP="004163F6"/>
    <w:p w14:paraId="665620B5" w14:textId="77777777" w:rsidR="004163F6" w:rsidRDefault="004163F6" w:rsidP="004163F6"/>
    <w:p w14:paraId="11319CAB" w14:textId="77777777" w:rsidR="004163F6" w:rsidRDefault="004163F6" w:rsidP="004163F6"/>
    <w:p w14:paraId="37540897" w14:textId="77777777" w:rsidR="004163F6" w:rsidRDefault="004163F6" w:rsidP="004163F6"/>
    <w:p w14:paraId="63BE3FB7" w14:textId="77777777" w:rsidR="004163F6" w:rsidRDefault="004163F6" w:rsidP="004163F6"/>
    <w:p w14:paraId="3B4E5CF4" w14:textId="77777777" w:rsidR="004163F6" w:rsidRDefault="004163F6" w:rsidP="004163F6"/>
    <w:p w14:paraId="5EB45033" w14:textId="77777777" w:rsidR="004163F6" w:rsidRDefault="004163F6" w:rsidP="004163F6"/>
    <w:p w14:paraId="2B8F4806" w14:textId="77777777" w:rsidR="004163F6" w:rsidRDefault="004163F6" w:rsidP="004163F6"/>
    <w:p w14:paraId="292EC7CA" w14:textId="77777777" w:rsidR="004163F6" w:rsidRDefault="004163F6" w:rsidP="004163F6"/>
    <w:p w14:paraId="34CE831C" w14:textId="77777777" w:rsidR="004163F6" w:rsidRDefault="004163F6" w:rsidP="004163F6"/>
    <w:p w14:paraId="1EFCF422" w14:textId="77777777" w:rsidR="004163F6" w:rsidRDefault="004163F6" w:rsidP="004163F6"/>
    <w:p w14:paraId="3836CAA6" w14:textId="77777777" w:rsidR="004163F6" w:rsidRDefault="004163F6" w:rsidP="004163F6"/>
    <w:p w14:paraId="5EBA3B67" w14:textId="77777777" w:rsidR="004163F6" w:rsidRDefault="004163F6" w:rsidP="004163F6"/>
    <w:p w14:paraId="0D6FE5D2" w14:textId="77777777" w:rsidR="004163F6" w:rsidRDefault="004163F6" w:rsidP="004163F6"/>
    <w:p w14:paraId="0BF3E358" w14:textId="77777777" w:rsidR="004163F6" w:rsidRDefault="004163F6" w:rsidP="004163F6"/>
    <w:p w14:paraId="1B5C814B" w14:textId="77777777" w:rsidR="004163F6" w:rsidRDefault="004163F6" w:rsidP="004163F6"/>
    <w:p w14:paraId="07A0B524" w14:textId="77777777" w:rsidR="004163F6" w:rsidRDefault="004163F6" w:rsidP="004163F6"/>
    <w:p w14:paraId="4C987F54" w14:textId="77777777" w:rsidR="004163F6" w:rsidRDefault="004163F6" w:rsidP="004163F6"/>
    <w:p w14:paraId="356E109C" w14:textId="77777777" w:rsidR="004163F6" w:rsidRDefault="004163F6" w:rsidP="004163F6"/>
    <w:p w14:paraId="7BB025D0" w14:textId="2FA792BA" w:rsidR="004163F6" w:rsidRDefault="004163F6">
      <w:r>
        <w:br w:type="page"/>
      </w:r>
    </w:p>
    <w:p w14:paraId="5F259308" w14:textId="77777777" w:rsidR="004163F6" w:rsidRPr="00D366DD" w:rsidRDefault="004163F6" w:rsidP="004163F6">
      <w:pPr>
        <w:spacing w:line="360" w:lineRule="auto"/>
      </w:pPr>
      <w:r w:rsidRPr="00D366DD">
        <w:lastRenderedPageBreak/>
        <w:t>References</w:t>
      </w:r>
    </w:p>
    <w:p w14:paraId="41645A5F" w14:textId="77777777" w:rsidR="00FB3B54" w:rsidRPr="00D366DD" w:rsidRDefault="00FB3B54" w:rsidP="004163F6">
      <w:pPr>
        <w:spacing w:line="360" w:lineRule="auto"/>
      </w:pPr>
      <w:r w:rsidRPr="00D366DD">
        <w:t>Bennett, J., &amp; Heaton, P. (2020). Sensory Processing and Anxiety in Children with Autism Spectrum Disorder. Journal of Autism and Developmental Disorders, 50(7), 2341–2353.</w:t>
      </w:r>
    </w:p>
    <w:p w14:paraId="41EBCB59" w14:textId="77777777" w:rsidR="00FB3B54" w:rsidRPr="00D366DD" w:rsidRDefault="00FB3B54" w:rsidP="004163F6">
      <w:pPr>
        <w:spacing w:line="360" w:lineRule="auto"/>
      </w:pPr>
      <w:r w:rsidRPr="00D366DD">
        <w:t>Deci, E. L., &amp; Ryan, R. M. (1985). Intrinsic Motivation and Self-Determination in Human Behaviour. Springer.</w:t>
      </w:r>
    </w:p>
    <w:p w14:paraId="0DE4F133" w14:textId="77777777" w:rsidR="00FB3B54" w:rsidRPr="00D366DD" w:rsidRDefault="00FB3B54" w:rsidP="004163F6">
      <w:pPr>
        <w:spacing w:line="360" w:lineRule="auto"/>
      </w:pPr>
      <w:r w:rsidRPr="00D366DD">
        <w:t>Diamond, A. (2013). Executive Functions. Annual Review of Psychology, 64, 135-168.</w:t>
      </w:r>
    </w:p>
    <w:p w14:paraId="2305D92B" w14:textId="77777777" w:rsidR="00FB3B54" w:rsidRPr="00D366DD" w:rsidRDefault="00FB3B54" w:rsidP="004163F6">
      <w:pPr>
        <w:spacing w:line="360" w:lineRule="auto"/>
      </w:pPr>
      <w:r w:rsidRPr="00D366DD">
        <w:t>Field, T. (2014). Touch and Emotion. Developmental Review, 34(3), 224-228.</w:t>
      </w:r>
    </w:p>
    <w:p w14:paraId="3268FD78" w14:textId="77777777" w:rsidR="00FB3B54" w:rsidRDefault="00FB3B54" w:rsidP="004163F6">
      <w:pPr>
        <w:spacing w:line="360" w:lineRule="auto"/>
      </w:pPr>
      <w:r w:rsidRPr="00972D1D">
        <w:t xml:space="preserve">Graziano, P. A., Garcia, A. M., &amp; Landis, T. D. (2020). To Fidget or Not to Fidget, That Is the Question: </w:t>
      </w:r>
      <w:r>
        <w:t xml:space="preserve">Available at: </w:t>
      </w:r>
      <w:hyperlink r:id="rId59" w:history="1">
        <w:r w:rsidRPr="006A2B57">
          <w:rPr>
            <w:rStyle w:val="Hyperlink"/>
          </w:rPr>
          <w:t>To Fidget or Not to Fidget, That Is the Question: A Systematic Classroom Evaluation of Fidget Spinners Among Young Children With ADHD - Paulo A. Graziano, Alexis M. Garcia, Taylor D. Landis, 2020</w:t>
        </w:r>
      </w:hyperlink>
      <w:r>
        <w:t xml:space="preserve"> (Accessed 10</w:t>
      </w:r>
      <w:r w:rsidRPr="006A2B57">
        <w:rPr>
          <w:vertAlign w:val="superscript"/>
        </w:rPr>
        <w:t>th</w:t>
      </w:r>
      <w:r>
        <w:t xml:space="preserve"> February 2025)</w:t>
      </w:r>
    </w:p>
    <w:p w14:paraId="00D0BCF0" w14:textId="77777777" w:rsidR="00FB3B54" w:rsidRPr="00D366DD" w:rsidRDefault="00FB3B54" w:rsidP="004163F6">
      <w:pPr>
        <w:spacing w:line="360" w:lineRule="auto"/>
      </w:pPr>
      <w:r w:rsidRPr="00D366DD">
        <w:t>Hamari, J., et al. (2016). Does Gamification Work? A Meta-Analysis. Journal of Educational Psychology, 108(4), 785-797.</w:t>
      </w:r>
    </w:p>
    <w:p w14:paraId="62ECFC95" w14:textId="77777777" w:rsidR="00FB3B54" w:rsidRPr="00D366DD" w:rsidRDefault="00FB3B54" w:rsidP="004163F6">
      <w:pPr>
        <w:spacing w:line="360" w:lineRule="auto"/>
      </w:pPr>
      <w:r w:rsidRPr="00BF0C9B">
        <w:t>Jitendra, A. K., Dougherty, B., Sanchez, V., &amp; Suchilt, L. (2024). Using Multiple Representations to Foster Multiplicative Reasoning in Students With Mathematics Learning Disabilities.</w:t>
      </w:r>
      <w:r>
        <w:t xml:space="preserve"> Available at: </w:t>
      </w:r>
      <w:hyperlink r:id="rId60" w:history="1">
        <w:r w:rsidRPr="00697811">
          <w:rPr>
            <w:rStyle w:val="Hyperlink"/>
          </w:rPr>
          <w:t>https://doi.org/10.1177/00400599221115627</w:t>
        </w:r>
      </w:hyperlink>
      <w:r>
        <w:t xml:space="preserve"> (Accessed 06th February 2025)</w:t>
      </w:r>
    </w:p>
    <w:p w14:paraId="38A2BF37" w14:textId="77777777" w:rsidR="00FB3B54" w:rsidRDefault="00FB3B54" w:rsidP="004163F6">
      <w:pPr>
        <w:spacing w:line="360" w:lineRule="auto"/>
      </w:pPr>
      <w:r>
        <w:t xml:space="preserve">Learning Wrap-Ups, Inc. (2024). Self-Checking Math Tools. Available at: </w:t>
      </w:r>
      <w:hyperlink r:id="rId61" w:history="1">
        <w:r w:rsidRPr="00985A54">
          <w:rPr>
            <w:rStyle w:val="Hyperlink"/>
          </w:rPr>
          <w:t>https://www.learningwrapups.com</w:t>
        </w:r>
      </w:hyperlink>
      <w:r>
        <w:t xml:space="preserve"> (Accessed 11</w:t>
      </w:r>
      <w:r w:rsidRPr="00702FDC">
        <w:rPr>
          <w:vertAlign w:val="superscript"/>
        </w:rPr>
        <w:t>th</w:t>
      </w:r>
      <w:r>
        <w:t xml:space="preserve"> February 2025)</w:t>
      </w:r>
    </w:p>
    <w:p w14:paraId="568E732D" w14:textId="77777777" w:rsidR="00FB3B54" w:rsidRPr="0087657F" w:rsidRDefault="00FB3B54" w:rsidP="004163F6">
      <w:pPr>
        <w:spacing w:line="360" w:lineRule="auto"/>
      </w:pPr>
      <w:r w:rsidRPr="008D3BDF">
        <w:t>Magreñán</w:t>
      </w:r>
      <w:r>
        <w:t xml:space="preserve">. A </w:t>
      </w:r>
      <w:r w:rsidRPr="008D3BDF">
        <w:t>, Orcos</w:t>
      </w:r>
      <w:r>
        <w:t>.L</w:t>
      </w:r>
      <w:r w:rsidRPr="008D3BDF">
        <w:t>, Palacios</w:t>
      </w:r>
      <w:r>
        <w:t>. I</w:t>
      </w:r>
      <w:r w:rsidRPr="008D3BDF">
        <w:t>, Lapresa</w:t>
      </w:r>
      <w:r>
        <w:t>. D,</w:t>
      </w:r>
      <w:r w:rsidRPr="008D3BDF">
        <w:t>(2022) POP-ITS IN EARLY CHILDHOOD EDUCATION TO ENCOURAGE THE DEVELOPMENT OF MATHEMATICAL LOGICAL THINKING,</w:t>
      </w:r>
      <w:r>
        <w:t xml:space="preserve"> Available at: </w:t>
      </w:r>
      <w:hyperlink r:id="rId62" w:history="1">
        <w:r w:rsidRPr="00AB41F8">
          <w:rPr>
            <w:rStyle w:val="Hyperlink"/>
          </w:rPr>
          <w:t>https://library.iated.org/view/MAGRENAN2022POP</w:t>
        </w:r>
      </w:hyperlink>
      <w:r>
        <w:t xml:space="preserve"> (Accessed 11th February 2025) </w:t>
      </w:r>
    </w:p>
    <w:p w14:paraId="31E56927" w14:textId="77777777" w:rsidR="00FB3B54" w:rsidRDefault="00FB3B54" w:rsidP="004163F6">
      <w:pPr>
        <w:spacing w:line="360" w:lineRule="auto"/>
      </w:pPr>
      <w:r>
        <w:t xml:space="preserve">Montessori, (No Date).Mathematics Learning Materials. Available at: </w:t>
      </w:r>
      <w:hyperlink r:id="rId63" w:history="1">
        <w:r w:rsidRPr="00985A54">
          <w:rPr>
            <w:rStyle w:val="Hyperlink"/>
          </w:rPr>
          <w:t>https://www.montessori-namta.org</w:t>
        </w:r>
      </w:hyperlink>
      <w:r>
        <w:t xml:space="preserve"> (Accessed 11</w:t>
      </w:r>
      <w:r w:rsidRPr="00702FDC">
        <w:rPr>
          <w:vertAlign w:val="superscript"/>
        </w:rPr>
        <w:t>th</w:t>
      </w:r>
      <w:r>
        <w:t xml:space="preserve"> February 2025)</w:t>
      </w:r>
    </w:p>
    <w:p w14:paraId="48FFD4E9" w14:textId="77777777" w:rsidR="00FB3B54" w:rsidRDefault="00FB3B54" w:rsidP="004163F6">
      <w:pPr>
        <w:spacing w:line="360" w:lineRule="auto"/>
      </w:pPr>
      <w:r>
        <w:t xml:space="preserve">National Council of Teachers of Mathematics. (2023). Games for Mathematical Learning. Available at: </w:t>
      </w:r>
      <w:hyperlink r:id="rId64" w:history="1">
        <w:r w:rsidRPr="00985A54">
          <w:rPr>
            <w:rStyle w:val="Hyperlink"/>
          </w:rPr>
          <w:t>https://www.nctm.org</w:t>
        </w:r>
      </w:hyperlink>
      <w:r>
        <w:t xml:space="preserve"> (Accessed 11</w:t>
      </w:r>
      <w:r w:rsidRPr="00702FDC">
        <w:rPr>
          <w:vertAlign w:val="superscript"/>
        </w:rPr>
        <w:t>th</w:t>
      </w:r>
      <w:r>
        <w:t xml:space="preserve"> February 2025)</w:t>
      </w:r>
    </w:p>
    <w:p w14:paraId="1997BD06" w14:textId="77777777" w:rsidR="00FB3B54" w:rsidRDefault="00FB3B54" w:rsidP="004163F6">
      <w:pPr>
        <w:spacing w:line="360" w:lineRule="auto"/>
      </w:pPr>
      <w:r>
        <w:t>Piaget, J. (1952). The Origins of Intelligence in Children. New York, NY: International University Press.</w:t>
      </w:r>
    </w:p>
    <w:p w14:paraId="6D3B4281" w14:textId="77777777" w:rsidR="00FB3B54" w:rsidRDefault="00FB3B54" w:rsidP="004163F6">
      <w:pPr>
        <w:spacing w:line="360" w:lineRule="auto"/>
      </w:pPr>
      <w:r w:rsidRPr="003840D5">
        <w:lastRenderedPageBreak/>
        <w:t>Ratinho, E., &amp; Martins, C. (2023). The role of gamified learning strategies in student's motivation in high school and higher education</w:t>
      </w:r>
      <w:r>
        <w:t xml:space="preserve">, Available at: </w:t>
      </w:r>
      <w:hyperlink r:id="rId65" w:history="1">
        <w:r w:rsidRPr="00697811">
          <w:rPr>
            <w:rStyle w:val="Hyperlink"/>
          </w:rPr>
          <w:t>https://doi.org/10.1016/j.heliyon.2023.e19033</w:t>
        </w:r>
      </w:hyperlink>
      <w:r>
        <w:t xml:space="preserve"> (Accessed 06th February 2025)</w:t>
      </w:r>
    </w:p>
    <w:p w14:paraId="157338F7" w14:textId="77777777" w:rsidR="00FB3B54" w:rsidRDefault="00FB3B54" w:rsidP="004163F6">
      <w:pPr>
        <w:spacing w:line="360" w:lineRule="auto"/>
      </w:pPr>
      <w:r>
        <w:t xml:space="preserve">Rebecca The Maths Lady (2021), Primary Maths With Poppits [YouTube Video], Available at: </w:t>
      </w:r>
      <w:hyperlink r:id="rId66" w:history="1">
        <w:r w:rsidRPr="00985A54">
          <w:rPr>
            <w:rStyle w:val="Hyperlink"/>
          </w:rPr>
          <w:t>https://youtu.be/NO9X5E0mGcw?si=R4e8OhQtdPkmM5r9</w:t>
        </w:r>
      </w:hyperlink>
      <w:r>
        <w:t xml:space="preserve"> (Accessed 11</w:t>
      </w:r>
      <w:r w:rsidRPr="00A005A8">
        <w:rPr>
          <w:vertAlign w:val="superscript"/>
        </w:rPr>
        <w:t>th</w:t>
      </w:r>
      <w:r>
        <w:t xml:space="preserve"> February 2025)</w:t>
      </w:r>
    </w:p>
    <w:p w14:paraId="005D1701" w14:textId="77777777" w:rsidR="00FB3B54" w:rsidRPr="00D366DD" w:rsidRDefault="00FB3B54" w:rsidP="004163F6">
      <w:pPr>
        <w:spacing w:line="360" w:lineRule="auto"/>
      </w:pPr>
      <w:r w:rsidRPr="00D366DD">
        <w:t>Sweller, J. (1988). Cognitive Load During Problem Solving. Cognitive Science, 12(2), 257-285.</w:t>
      </w:r>
    </w:p>
    <w:p w14:paraId="0E48287B" w14:textId="77777777" w:rsidR="00FB3B54" w:rsidRDefault="00FB3B54" w:rsidP="004163F6">
      <w:pPr>
        <w:spacing w:line="360" w:lineRule="auto"/>
      </w:pPr>
      <w:r>
        <w:t xml:space="preserve">The British Psychological Society (2019) </w:t>
      </w:r>
      <w:r w:rsidRPr="0087657F">
        <w:rPr>
          <w:i/>
          <w:iCs/>
        </w:rPr>
        <w:t>Using Fidget Spinners May Actually Impede Learning</w:t>
      </w:r>
      <w:r>
        <w:rPr>
          <w:i/>
          <w:iCs/>
        </w:rPr>
        <w:t xml:space="preserve"> </w:t>
      </w:r>
      <w:r>
        <w:t xml:space="preserve">Available at: </w:t>
      </w:r>
      <w:hyperlink r:id="rId67" w:history="1">
        <w:r w:rsidRPr="00C360DB">
          <w:rPr>
            <w:rStyle w:val="Hyperlink"/>
          </w:rPr>
          <w:t>Using fidget spinners may actually impede learning | BPS</w:t>
        </w:r>
      </w:hyperlink>
      <w:r>
        <w:t xml:space="preserve"> (accessed 10</w:t>
      </w:r>
      <w:r w:rsidRPr="00C360DB">
        <w:rPr>
          <w:vertAlign w:val="superscript"/>
        </w:rPr>
        <w:t>th</w:t>
      </w:r>
      <w:r>
        <w:t xml:space="preserve"> February 2025) </w:t>
      </w:r>
    </w:p>
    <w:p w14:paraId="0145A31F" w14:textId="77777777" w:rsidR="00FB3B54" w:rsidRDefault="00FB3B54" w:rsidP="004163F6">
      <w:pPr>
        <w:spacing w:line="360" w:lineRule="auto"/>
      </w:pPr>
      <w:r w:rsidRPr="00D366DD">
        <w:t>Vygotsky, L. (1978). Mind in Society: The Development of Higher Psychological Processes. Harvard University Press.</w:t>
      </w:r>
    </w:p>
    <w:p w14:paraId="4AB4AE47" w14:textId="77777777" w:rsidR="004163F6" w:rsidRDefault="004163F6" w:rsidP="004163F6"/>
    <w:p w14:paraId="317CF403" w14:textId="77777777" w:rsidR="004163F6" w:rsidRDefault="004163F6"/>
    <w:sectPr w:rsidR="004163F6" w:rsidSect="00861E9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75F0E" w14:textId="77777777" w:rsidR="0034684D" w:rsidRDefault="0034684D" w:rsidP="00DC394E">
      <w:pPr>
        <w:spacing w:after="0" w:line="240" w:lineRule="auto"/>
      </w:pPr>
      <w:r>
        <w:separator/>
      </w:r>
    </w:p>
  </w:endnote>
  <w:endnote w:type="continuationSeparator" w:id="0">
    <w:p w14:paraId="742C5C58" w14:textId="77777777" w:rsidR="0034684D" w:rsidRDefault="0034684D" w:rsidP="00DC3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687" w:usb1="00000013" w:usb2="00000000" w:usb3="00000000" w:csb0="0000009F" w:csb1="00000000"/>
  </w:font>
  <w:font w:name="Alasassy Caps">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122F1" w14:textId="77777777" w:rsidR="0034684D" w:rsidRDefault="0034684D" w:rsidP="00DC394E">
      <w:pPr>
        <w:spacing w:after="0" w:line="240" w:lineRule="auto"/>
      </w:pPr>
      <w:r>
        <w:separator/>
      </w:r>
    </w:p>
  </w:footnote>
  <w:footnote w:type="continuationSeparator" w:id="0">
    <w:p w14:paraId="28431BDA" w14:textId="77777777" w:rsidR="0034684D" w:rsidRDefault="0034684D" w:rsidP="00DC39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D0D75"/>
    <w:multiLevelType w:val="hybridMultilevel"/>
    <w:tmpl w:val="02C4634C"/>
    <w:lvl w:ilvl="0" w:tplc="DBD4E82A">
      <w:start w:val="1"/>
      <w:numFmt w:val="bullet"/>
      <w:lvlText w:val="•"/>
      <w:lvlJc w:val="left"/>
      <w:pPr>
        <w:tabs>
          <w:tab w:val="num" w:pos="720"/>
        </w:tabs>
        <w:ind w:left="720" w:hanging="360"/>
      </w:pPr>
      <w:rPr>
        <w:rFonts w:ascii="Arial" w:hAnsi="Arial" w:hint="default"/>
      </w:rPr>
    </w:lvl>
    <w:lvl w:ilvl="1" w:tplc="30B4E7EA" w:tentative="1">
      <w:start w:val="1"/>
      <w:numFmt w:val="bullet"/>
      <w:lvlText w:val="•"/>
      <w:lvlJc w:val="left"/>
      <w:pPr>
        <w:tabs>
          <w:tab w:val="num" w:pos="1440"/>
        </w:tabs>
        <w:ind w:left="1440" w:hanging="360"/>
      </w:pPr>
      <w:rPr>
        <w:rFonts w:ascii="Arial" w:hAnsi="Arial" w:hint="default"/>
      </w:rPr>
    </w:lvl>
    <w:lvl w:ilvl="2" w:tplc="803277BE" w:tentative="1">
      <w:start w:val="1"/>
      <w:numFmt w:val="bullet"/>
      <w:lvlText w:val="•"/>
      <w:lvlJc w:val="left"/>
      <w:pPr>
        <w:tabs>
          <w:tab w:val="num" w:pos="2160"/>
        </w:tabs>
        <w:ind w:left="2160" w:hanging="360"/>
      </w:pPr>
      <w:rPr>
        <w:rFonts w:ascii="Arial" w:hAnsi="Arial" w:hint="default"/>
      </w:rPr>
    </w:lvl>
    <w:lvl w:ilvl="3" w:tplc="5550765C" w:tentative="1">
      <w:start w:val="1"/>
      <w:numFmt w:val="bullet"/>
      <w:lvlText w:val="•"/>
      <w:lvlJc w:val="left"/>
      <w:pPr>
        <w:tabs>
          <w:tab w:val="num" w:pos="2880"/>
        </w:tabs>
        <w:ind w:left="2880" w:hanging="360"/>
      </w:pPr>
      <w:rPr>
        <w:rFonts w:ascii="Arial" w:hAnsi="Arial" w:hint="default"/>
      </w:rPr>
    </w:lvl>
    <w:lvl w:ilvl="4" w:tplc="208269F0" w:tentative="1">
      <w:start w:val="1"/>
      <w:numFmt w:val="bullet"/>
      <w:lvlText w:val="•"/>
      <w:lvlJc w:val="left"/>
      <w:pPr>
        <w:tabs>
          <w:tab w:val="num" w:pos="3600"/>
        </w:tabs>
        <w:ind w:left="3600" w:hanging="360"/>
      </w:pPr>
      <w:rPr>
        <w:rFonts w:ascii="Arial" w:hAnsi="Arial" w:hint="default"/>
      </w:rPr>
    </w:lvl>
    <w:lvl w:ilvl="5" w:tplc="B234236E" w:tentative="1">
      <w:start w:val="1"/>
      <w:numFmt w:val="bullet"/>
      <w:lvlText w:val="•"/>
      <w:lvlJc w:val="left"/>
      <w:pPr>
        <w:tabs>
          <w:tab w:val="num" w:pos="4320"/>
        </w:tabs>
        <w:ind w:left="4320" w:hanging="360"/>
      </w:pPr>
      <w:rPr>
        <w:rFonts w:ascii="Arial" w:hAnsi="Arial" w:hint="default"/>
      </w:rPr>
    </w:lvl>
    <w:lvl w:ilvl="6" w:tplc="8E32770A" w:tentative="1">
      <w:start w:val="1"/>
      <w:numFmt w:val="bullet"/>
      <w:lvlText w:val="•"/>
      <w:lvlJc w:val="left"/>
      <w:pPr>
        <w:tabs>
          <w:tab w:val="num" w:pos="5040"/>
        </w:tabs>
        <w:ind w:left="5040" w:hanging="360"/>
      </w:pPr>
      <w:rPr>
        <w:rFonts w:ascii="Arial" w:hAnsi="Arial" w:hint="default"/>
      </w:rPr>
    </w:lvl>
    <w:lvl w:ilvl="7" w:tplc="565EE244" w:tentative="1">
      <w:start w:val="1"/>
      <w:numFmt w:val="bullet"/>
      <w:lvlText w:val="•"/>
      <w:lvlJc w:val="left"/>
      <w:pPr>
        <w:tabs>
          <w:tab w:val="num" w:pos="5760"/>
        </w:tabs>
        <w:ind w:left="5760" w:hanging="360"/>
      </w:pPr>
      <w:rPr>
        <w:rFonts w:ascii="Arial" w:hAnsi="Arial" w:hint="default"/>
      </w:rPr>
    </w:lvl>
    <w:lvl w:ilvl="8" w:tplc="E35CEF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C70FB5"/>
    <w:multiLevelType w:val="hybridMultilevel"/>
    <w:tmpl w:val="91EC98F4"/>
    <w:lvl w:ilvl="0" w:tplc="2F8C5832">
      <w:start w:val="1"/>
      <w:numFmt w:val="bullet"/>
      <w:lvlText w:val="•"/>
      <w:lvlJc w:val="left"/>
      <w:pPr>
        <w:tabs>
          <w:tab w:val="num" w:pos="720"/>
        </w:tabs>
        <w:ind w:left="720" w:hanging="360"/>
      </w:pPr>
      <w:rPr>
        <w:rFonts w:ascii="Arial" w:hAnsi="Arial" w:hint="default"/>
      </w:rPr>
    </w:lvl>
    <w:lvl w:ilvl="1" w:tplc="E5069A9E" w:tentative="1">
      <w:start w:val="1"/>
      <w:numFmt w:val="bullet"/>
      <w:lvlText w:val="•"/>
      <w:lvlJc w:val="left"/>
      <w:pPr>
        <w:tabs>
          <w:tab w:val="num" w:pos="1440"/>
        </w:tabs>
        <w:ind w:left="1440" w:hanging="360"/>
      </w:pPr>
      <w:rPr>
        <w:rFonts w:ascii="Arial" w:hAnsi="Arial" w:hint="default"/>
      </w:rPr>
    </w:lvl>
    <w:lvl w:ilvl="2" w:tplc="2D1E48A6" w:tentative="1">
      <w:start w:val="1"/>
      <w:numFmt w:val="bullet"/>
      <w:lvlText w:val="•"/>
      <w:lvlJc w:val="left"/>
      <w:pPr>
        <w:tabs>
          <w:tab w:val="num" w:pos="2160"/>
        </w:tabs>
        <w:ind w:left="2160" w:hanging="360"/>
      </w:pPr>
      <w:rPr>
        <w:rFonts w:ascii="Arial" w:hAnsi="Arial" w:hint="default"/>
      </w:rPr>
    </w:lvl>
    <w:lvl w:ilvl="3" w:tplc="653AC3B8" w:tentative="1">
      <w:start w:val="1"/>
      <w:numFmt w:val="bullet"/>
      <w:lvlText w:val="•"/>
      <w:lvlJc w:val="left"/>
      <w:pPr>
        <w:tabs>
          <w:tab w:val="num" w:pos="2880"/>
        </w:tabs>
        <w:ind w:left="2880" w:hanging="360"/>
      </w:pPr>
      <w:rPr>
        <w:rFonts w:ascii="Arial" w:hAnsi="Arial" w:hint="default"/>
      </w:rPr>
    </w:lvl>
    <w:lvl w:ilvl="4" w:tplc="F91E9FAC" w:tentative="1">
      <w:start w:val="1"/>
      <w:numFmt w:val="bullet"/>
      <w:lvlText w:val="•"/>
      <w:lvlJc w:val="left"/>
      <w:pPr>
        <w:tabs>
          <w:tab w:val="num" w:pos="3600"/>
        </w:tabs>
        <w:ind w:left="3600" w:hanging="360"/>
      </w:pPr>
      <w:rPr>
        <w:rFonts w:ascii="Arial" w:hAnsi="Arial" w:hint="default"/>
      </w:rPr>
    </w:lvl>
    <w:lvl w:ilvl="5" w:tplc="1C0A2BE2" w:tentative="1">
      <w:start w:val="1"/>
      <w:numFmt w:val="bullet"/>
      <w:lvlText w:val="•"/>
      <w:lvlJc w:val="left"/>
      <w:pPr>
        <w:tabs>
          <w:tab w:val="num" w:pos="4320"/>
        </w:tabs>
        <w:ind w:left="4320" w:hanging="360"/>
      </w:pPr>
      <w:rPr>
        <w:rFonts w:ascii="Arial" w:hAnsi="Arial" w:hint="default"/>
      </w:rPr>
    </w:lvl>
    <w:lvl w:ilvl="6" w:tplc="012A0984" w:tentative="1">
      <w:start w:val="1"/>
      <w:numFmt w:val="bullet"/>
      <w:lvlText w:val="•"/>
      <w:lvlJc w:val="left"/>
      <w:pPr>
        <w:tabs>
          <w:tab w:val="num" w:pos="5040"/>
        </w:tabs>
        <w:ind w:left="5040" w:hanging="360"/>
      </w:pPr>
      <w:rPr>
        <w:rFonts w:ascii="Arial" w:hAnsi="Arial" w:hint="default"/>
      </w:rPr>
    </w:lvl>
    <w:lvl w:ilvl="7" w:tplc="513A8F4E" w:tentative="1">
      <w:start w:val="1"/>
      <w:numFmt w:val="bullet"/>
      <w:lvlText w:val="•"/>
      <w:lvlJc w:val="left"/>
      <w:pPr>
        <w:tabs>
          <w:tab w:val="num" w:pos="5760"/>
        </w:tabs>
        <w:ind w:left="5760" w:hanging="360"/>
      </w:pPr>
      <w:rPr>
        <w:rFonts w:ascii="Arial" w:hAnsi="Arial" w:hint="default"/>
      </w:rPr>
    </w:lvl>
    <w:lvl w:ilvl="8" w:tplc="42B0D87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DD0EF8"/>
    <w:multiLevelType w:val="hybridMultilevel"/>
    <w:tmpl w:val="F7449BB4"/>
    <w:lvl w:ilvl="0" w:tplc="E952852A">
      <w:start w:val="1"/>
      <w:numFmt w:val="bullet"/>
      <w:lvlText w:val="•"/>
      <w:lvlJc w:val="left"/>
      <w:pPr>
        <w:tabs>
          <w:tab w:val="num" w:pos="720"/>
        </w:tabs>
        <w:ind w:left="720" w:hanging="360"/>
      </w:pPr>
      <w:rPr>
        <w:rFonts w:ascii="Arial" w:hAnsi="Arial" w:hint="default"/>
      </w:rPr>
    </w:lvl>
    <w:lvl w:ilvl="1" w:tplc="409C024E" w:tentative="1">
      <w:start w:val="1"/>
      <w:numFmt w:val="bullet"/>
      <w:lvlText w:val="•"/>
      <w:lvlJc w:val="left"/>
      <w:pPr>
        <w:tabs>
          <w:tab w:val="num" w:pos="1440"/>
        </w:tabs>
        <w:ind w:left="1440" w:hanging="360"/>
      </w:pPr>
      <w:rPr>
        <w:rFonts w:ascii="Arial" w:hAnsi="Arial" w:hint="default"/>
      </w:rPr>
    </w:lvl>
    <w:lvl w:ilvl="2" w:tplc="BE2C3994" w:tentative="1">
      <w:start w:val="1"/>
      <w:numFmt w:val="bullet"/>
      <w:lvlText w:val="•"/>
      <w:lvlJc w:val="left"/>
      <w:pPr>
        <w:tabs>
          <w:tab w:val="num" w:pos="2160"/>
        </w:tabs>
        <w:ind w:left="2160" w:hanging="360"/>
      </w:pPr>
      <w:rPr>
        <w:rFonts w:ascii="Arial" w:hAnsi="Arial" w:hint="default"/>
      </w:rPr>
    </w:lvl>
    <w:lvl w:ilvl="3" w:tplc="611858BE" w:tentative="1">
      <w:start w:val="1"/>
      <w:numFmt w:val="bullet"/>
      <w:lvlText w:val="•"/>
      <w:lvlJc w:val="left"/>
      <w:pPr>
        <w:tabs>
          <w:tab w:val="num" w:pos="2880"/>
        </w:tabs>
        <w:ind w:left="2880" w:hanging="360"/>
      </w:pPr>
      <w:rPr>
        <w:rFonts w:ascii="Arial" w:hAnsi="Arial" w:hint="default"/>
      </w:rPr>
    </w:lvl>
    <w:lvl w:ilvl="4" w:tplc="C82A86EC" w:tentative="1">
      <w:start w:val="1"/>
      <w:numFmt w:val="bullet"/>
      <w:lvlText w:val="•"/>
      <w:lvlJc w:val="left"/>
      <w:pPr>
        <w:tabs>
          <w:tab w:val="num" w:pos="3600"/>
        </w:tabs>
        <w:ind w:left="3600" w:hanging="360"/>
      </w:pPr>
      <w:rPr>
        <w:rFonts w:ascii="Arial" w:hAnsi="Arial" w:hint="default"/>
      </w:rPr>
    </w:lvl>
    <w:lvl w:ilvl="5" w:tplc="AD26082A" w:tentative="1">
      <w:start w:val="1"/>
      <w:numFmt w:val="bullet"/>
      <w:lvlText w:val="•"/>
      <w:lvlJc w:val="left"/>
      <w:pPr>
        <w:tabs>
          <w:tab w:val="num" w:pos="4320"/>
        </w:tabs>
        <w:ind w:left="4320" w:hanging="360"/>
      </w:pPr>
      <w:rPr>
        <w:rFonts w:ascii="Arial" w:hAnsi="Arial" w:hint="default"/>
      </w:rPr>
    </w:lvl>
    <w:lvl w:ilvl="6" w:tplc="9866F0CA" w:tentative="1">
      <w:start w:val="1"/>
      <w:numFmt w:val="bullet"/>
      <w:lvlText w:val="•"/>
      <w:lvlJc w:val="left"/>
      <w:pPr>
        <w:tabs>
          <w:tab w:val="num" w:pos="5040"/>
        </w:tabs>
        <w:ind w:left="5040" w:hanging="360"/>
      </w:pPr>
      <w:rPr>
        <w:rFonts w:ascii="Arial" w:hAnsi="Arial" w:hint="default"/>
      </w:rPr>
    </w:lvl>
    <w:lvl w:ilvl="7" w:tplc="2FB479CE" w:tentative="1">
      <w:start w:val="1"/>
      <w:numFmt w:val="bullet"/>
      <w:lvlText w:val="•"/>
      <w:lvlJc w:val="left"/>
      <w:pPr>
        <w:tabs>
          <w:tab w:val="num" w:pos="5760"/>
        </w:tabs>
        <w:ind w:left="5760" w:hanging="360"/>
      </w:pPr>
      <w:rPr>
        <w:rFonts w:ascii="Arial" w:hAnsi="Arial" w:hint="default"/>
      </w:rPr>
    </w:lvl>
    <w:lvl w:ilvl="8" w:tplc="569022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CAF2117"/>
    <w:multiLevelType w:val="hybridMultilevel"/>
    <w:tmpl w:val="33EAFD3A"/>
    <w:lvl w:ilvl="0" w:tplc="4C1A154E">
      <w:start w:val="1"/>
      <w:numFmt w:val="bullet"/>
      <w:lvlText w:val="•"/>
      <w:lvlJc w:val="left"/>
      <w:pPr>
        <w:tabs>
          <w:tab w:val="num" w:pos="720"/>
        </w:tabs>
        <w:ind w:left="720" w:hanging="360"/>
      </w:pPr>
      <w:rPr>
        <w:rFonts w:ascii="Arial" w:hAnsi="Arial" w:hint="default"/>
      </w:rPr>
    </w:lvl>
    <w:lvl w:ilvl="1" w:tplc="D73CCD50" w:tentative="1">
      <w:start w:val="1"/>
      <w:numFmt w:val="bullet"/>
      <w:lvlText w:val="•"/>
      <w:lvlJc w:val="left"/>
      <w:pPr>
        <w:tabs>
          <w:tab w:val="num" w:pos="1440"/>
        </w:tabs>
        <w:ind w:left="1440" w:hanging="360"/>
      </w:pPr>
      <w:rPr>
        <w:rFonts w:ascii="Arial" w:hAnsi="Arial" w:hint="default"/>
      </w:rPr>
    </w:lvl>
    <w:lvl w:ilvl="2" w:tplc="2536FCD8" w:tentative="1">
      <w:start w:val="1"/>
      <w:numFmt w:val="bullet"/>
      <w:lvlText w:val="•"/>
      <w:lvlJc w:val="left"/>
      <w:pPr>
        <w:tabs>
          <w:tab w:val="num" w:pos="2160"/>
        </w:tabs>
        <w:ind w:left="2160" w:hanging="360"/>
      </w:pPr>
      <w:rPr>
        <w:rFonts w:ascii="Arial" w:hAnsi="Arial" w:hint="default"/>
      </w:rPr>
    </w:lvl>
    <w:lvl w:ilvl="3" w:tplc="8B7E077A" w:tentative="1">
      <w:start w:val="1"/>
      <w:numFmt w:val="bullet"/>
      <w:lvlText w:val="•"/>
      <w:lvlJc w:val="left"/>
      <w:pPr>
        <w:tabs>
          <w:tab w:val="num" w:pos="2880"/>
        </w:tabs>
        <w:ind w:left="2880" w:hanging="360"/>
      </w:pPr>
      <w:rPr>
        <w:rFonts w:ascii="Arial" w:hAnsi="Arial" w:hint="default"/>
      </w:rPr>
    </w:lvl>
    <w:lvl w:ilvl="4" w:tplc="3814CA2E" w:tentative="1">
      <w:start w:val="1"/>
      <w:numFmt w:val="bullet"/>
      <w:lvlText w:val="•"/>
      <w:lvlJc w:val="left"/>
      <w:pPr>
        <w:tabs>
          <w:tab w:val="num" w:pos="3600"/>
        </w:tabs>
        <w:ind w:left="3600" w:hanging="360"/>
      </w:pPr>
      <w:rPr>
        <w:rFonts w:ascii="Arial" w:hAnsi="Arial" w:hint="default"/>
      </w:rPr>
    </w:lvl>
    <w:lvl w:ilvl="5" w:tplc="DAD81AF4" w:tentative="1">
      <w:start w:val="1"/>
      <w:numFmt w:val="bullet"/>
      <w:lvlText w:val="•"/>
      <w:lvlJc w:val="left"/>
      <w:pPr>
        <w:tabs>
          <w:tab w:val="num" w:pos="4320"/>
        </w:tabs>
        <w:ind w:left="4320" w:hanging="360"/>
      </w:pPr>
      <w:rPr>
        <w:rFonts w:ascii="Arial" w:hAnsi="Arial" w:hint="default"/>
      </w:rPr>
    </w:lvl>
    <w:lvl w:ilvl="6" w:tplc="86388D16" w:tentative="1">
      <w:start w:val="1"/>
      <w:numFmt w:val="bullet"/>
      <w:lvlText w:val="•"/>
      <w:lvlJc w:val="left"/>
      <w:pPr>
        <w:tabs>
          <w:tab w:val="num" w:pos="5040"/>
        </w:tabs>
        <w:ind w:left="5040" w:hanging="360"/>
      </w:pPr>
      <w:rPr>
        <w:rFonts w:ascii="Arial" w:hAnsi="Arial" w:hint="default"/>
      </w:rPr>
    </w:lvl>
    <w:lvl w:ilvl="7" w:tplc="247027C0" w:tentative="1">
      <w:start w:val="1"/>
      <w:numFmt w:val="bullet"/>
      <w:lvlText w:val="•"/>
      <w:lvlJc w:val="left"/>
      <w:pPr>
        <w:tabs>
          <w:tab w:val="num" w:pos="5760"/>
        </w:tabs>
        <w:ind w:left="5760" w:hanging="360"/>
      </w:pPr>
      <w:rPr>
        <w:rFonts w:ascii="Arial" w:hAnsi="Arial" w:hint="default"/>
      </w:rPr>
    </w:lvl>
    <w:lvl w:ilvl="8" w:tplc="529CB9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A12E3F"/>
    <w:multiLevelType w:val="hybridMultilevel"/>
    <w:tmpl w:val="B61E3446"/>
    <w:lvl w:ilvl="0" w:tplc="D4CC51D8">
      <w:start w:val="1"/>
      <w:numFmt w:val="bullet"/>
      <w:lvlText w:val="•"/>
      <w:lvlJc w:val="left"/>
      <w:pPr>
        <w:tabs>
          <w:tab w:val="num" w:pos="720"/>
        </w:tabs>
        <w:ind w:left="720" w:hanging="360"/>
      </w:pPr>
      <w:rPr>
        <w:rFonts w:ascii="Arial" w:hAnsi="Arial" w:hint="default"/>
      </w:rPr>
    </w:lvl>
    <w:lvl w:ilvl="1" w:tplc="1C88E870" w:tentative="1">
      <w:start w:val="1"/>
      <w:numFmt w:val="bullet"/>
      <w:lvlText w:val="•"/>
      <w:lvlJc w:val="left"/>
      <w:pPr>
        <w:tabs>
          <w:tab w:val="num" w:pos="1440"/>
        </w:tabs>
        <w:ind w:left="1440" w:hanging="360"/>
      </w:pPr>
      <w:rPr>
        <w:rFonts w:ascii="Arial" w:hAnsi="Arial" w:hint="default"/>
      </w:rPr>
    </w:lvl>
    <w:lvl w:ilvl="2" w:tplc="9CE0D502" w:tentative="1">
      <w:start w:val="1"/>
      <w:numFmt w:val="bullet"/>
      <w:lvlText w:val="•"/>
      <w:lvlJc w:val="left"/>
      <w:pPr>
        <w:tabs>
          <w:tab w:val="num" w:pos="2160"/>
        </w:tabs>
        <w:ind w:left="2160" w:hanging="360"/>
      </w:pPr>
      <w:rPr>
        <w:rFonts w:ascii="Arial" w:hAnsi="Arial" w:hint="default"/>
      </w:rPr>
    </w:lvl>
    <w:lvl w:ilvl="3" w:tplc="3E1AB53A" w:tentative="1">
      <w:start w:val="1"/>
      <w:numFmt w:val="bullet"/>
      <w:lvlText w:val="•"/>
      <w:lvlJc w:val="left"/>
      <w:pPr>
        <w:tabs>
          <w:tab w:val="num" w:pos="2880"/>
        </w:tabs>
        <w:ind w:left="2880" w:hanging="360"/>
      </w:pPr>
      <w:rPr>
        <w:rFonts w:ascii="Arial" w:hAnsi="Arial" w:hint="default"/>
      </w:rPr>
    </w:lvl>
    <w:lvl w:ilvl="4" w:tplc="EEB05852" w:tentative="1">
      <w:start w:val="1"/>
      <w:numFmt w:val="bullet"/>
      <w:lvlText w:val="•"/>
      <w:lvlJc w:val="left"/>
      <w:pPr>
        <w:tabs>
          <w:tab w:val="num" w:pos="3600"/>
        </w:tabs>
        <w:ind w:left="3600" w:hanging="360"/>
      </w:pPr>
      <w:rPr>
        <w:rFonts w:ascii="Arial" w:hAnsi="Arial" w:hint="default"/>
      </w:rPr>
    </w:lvl>
    <w:lvl w:ilvl="5" w:tplc="99803246" w:tentative="1">
      <w:start w:val="1"/>
      <w:numFmt w:val="bullet"/>
      <w:lvlText w:val="•"/>
      <w:lvlJc w:val="left"/>
      <w:pPr>
        <w:tabs>
          <w:tab w:val="num" w:pos="4320"/>
        </w:tabs>
        <w:ind w:left="4320" w:hanging="360"/>
      </w:pPr>
      <w:rPr>
        <w:rFonts w:ascii="Arial" w:hAnsi="Arial" w:hint="default"/>
      </w:rPr>
    </w:lvl>
    <w:lvl w:ilvl="6" w:tplc="32625946" w:tentative="1">
      <w:start w:val="1"/>
      <w:numFmt w:val="bullet"/>
      <w:lvlText w:val="•"/>
      <w:lvlJc w:val="left"/>
      <w:pPr>
        <w:tabs>
          <w:tab w:val="num" w:pos="5040"/>
        </w:tabs>
        <w:ind w:left="5040" w:hanging="360"/>
      </w:pPr>
      <w:rPr>
        <w:rFonts w:ascii="Arial" w:hAnsi="Arial" w:hint="default"/>
      </w:rPr>
    </w:lvl>
    <w:lvl w:ilvl="7" w:tplc="3C227112" w:tentative="1">
      <w:start w:val="1"/>
      <w:numFmt w:val="bullet"/>
      <w:lvlText w:val="•"/>
      <w:lvlJc w:val="left"/>
      <w:pPr>
        <w:tabs>
          <w:tab w:val="num" w:pos="5760"/>
        </w:tabs>
        <w:ind w:left="5760" w:hanging="360"/>
      </w:pPr>
      <w:rPr>
        <w:rFonts w:ascii="Arial" w:hAnsi="Arial" w:hint="default"/>
      </w:rPr>
    </w:lvl>
    <w:lvl w:ilvl="8" w:tplc="3FB0C2D6" w:tentative="1">
      <w:start w:val="1"/>
      <w:numFmt w:val="bullet"/>
      <w:lvlText w:val="•"/>
      <w:lvlJc w:val="left"/>
      <w:pPr>
        <w:tabs>
          <w:tab w:val="num" w:pos="6480"/>
        </w:tabs>
        <w:ind w:left="6480" w:hanging="360"/>
      </w:pPr>
      <w:rPr>
        <w:rFonts w:ascii="Arial" w:hAnsi="Arial" w:hint="default"/>
      </w:rPr>
    </w:lvl>
  </w:abstractNum>
  <w:num w:numId="1" w16cid:durableId="86125636">
    <w:abstractNumId w:val="3"/>
  </w:num>
  <w:num w:numId="2" w16cid:durableId="1102840417">
    <w:abstractNumId w:val="2"/>
  </w:num>
  <w:num w:numId="3" w16cid:durableId="263151583">
    <w:abstractNumId w:val="4"/>
  </w:num>
  <w:num w:numId="4" w16cid:durableId="1166169584">
    <w:abstractNumId w:val="1"/>
  </w:num>
  <w:num w:numId="5" w16cid:durableId="1715959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366"/>
    <w:rsid w:val="00016111"/>
    <w:rsid w:val="00055851"/>
    <w:rsid w:val="00061636"/>
    <w:rsid w:val="000A5B73"/>
    <w:rsid w:val="000B7CB5"/>
    <w:rsid w:val="000D2624"/>
    <w:rsid w:val="000F3F58"/>
    <w:rsid w:val="00181580"/>
    <w:rsid w:val="001D060A"/>
    <w:rsid w:val="001D0BCC"/>
    <w:rsid w:val="001D1966"/>
    <w:rsid w:val="001F0A0C"/>
    <w:rsid w:val="001F5366"/>
    <w:rsid w:val="00285E9E"/>
    <w:rsid w:val="002D5127"/>
    <w:rsid w:val="002D72EB"/>
    <w:rsid w:val="002E2139"/>
    <w:rsid w:val="002E2268"/>
    <w:rsid w:val="0034684D"/>
    <w:rsid w:val="003514B4"/>
    <w:rsid w:val="0040380B"/>
    <w:rsid w:val="004163F6"/>
    <w:rsid w:val="00461FB0"/>
    <w:rsid w:val="00471530"/>
    <w:rsid w:val="004856B9"/>
    <w:rsid w:val="00501E8B"/>
    <w:rsid w:val="005216BA"/>
    <w:rsid w:val="0056340F"/>
    <w:rsid w:val="00591348"/>
    <w:rsid w:val="005D27F5"/>
    <w:rsid w:val="00621556"/>
    <w:rsid w:val="00651A1A"/>
    <w:rsid w:val="006C1DCC"/>
    <w:rsid w:val="00777F2E"/>
    <w:rsid w:val="007A18FD"/>
    <w:rsid w:val="007D7EB9"/>
    <w:rsid w:val="0084157F"/>
    <w:rsid w:val="0084433E"/>
    <w:rsid w:val="00861E99"/>
    <w:rsid w:val="008754C3"/>
    <w:rsid w:val="00893FD7"/>
    <w:rsid w:val="008B6667"/>
    <w:rsid w:val="00917B03"/>
    <w:rsid w:val="00920F5B"/>
    <w:rsid w:val="00934401"/>
    <w:rsid w:val="00936DC3"/>
    <w:rsid w:val="009B7064"/>
    <w:rsid w:val="00A401C4"/>
    <w:rsid w:val="00A622F9"/>
    <w:rsid w:val="00AF65FD"/>
    <w:rsid w:val="00B27C0C"/>
    <w:rsid w:val="00B76267"/>
    <w:rsid w:val="00B906B1"/>
    <w:rsid w:val="00BD025E"/>
    <w:rsid w:val="00BD2D8A"/>
    <w:rsid w:val="00C04810"/>
    <w:rsid w:val="00C64F0F"/>
    <w:rsid w:val="00CA5487"/>
    <w:rsid w:val="00CD2B38"/>
    <w:rsid w:val="00CD4667"/>
    <w:rsid w:val="00CF1569"/>
    <w:rsid w:val="00D00149"/>
    <w:rsid w:val="00D05D53"/>
    <w:rsid w:val="00D27E8F"/>
    <w:rsid w:val="00D410DB"/>
    <w:rsid w:val="00D41BCD"/>
    <w:rsid w:val="00D435A6"/>
    <w:rsid w:val="00D57C63"/>
    <w:rsid w:val="00D71381"/>
    <w:rsid w:val="00D91B0B"/>
    <w:rsid w:val="00DC109C"/>
    <w:rsid w:val="00DC394E"/>
    <w:rsid w:val="00DF5740"/>
    <w:rsid w:val="00E56508"/>
    <w:rsid w:val="00E56CAD"/>
    <w:rsid w:val="00E6503F"/>
    <w:rsid w:val="00E80358"/>
    <w:rsid w:val="00E81BAC"/>
    <w:rsid w:val="00F038D5"/>
    <w:rsid w:val="00F10110"/>
    <w:rsid w:val="00F5127B"/>
    <w:rsid w:val="00F649BD"/>
    <w:rsid w:val="00F70412"/>
    <w:rsid w:val="00F72D91"/>
    <w:rsid w:val="00FB3B54"/>
    <w:rsid w:val="00FC5877"/>
    <w:rsid w:val="00FE3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C851A"/>
  <w15:chartTrackingRefBased/>
  <w15:docId w15:val="{DD1D378C-384D-4825-8380-0CD2D839C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3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3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3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3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3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3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3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3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3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3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3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3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366"/>
    <w:rPr>
      <w:rFonts w:eastAsiaTheme="majorEastAsia" w:cstheme="majorBidi"/>
      <w:color w:val="272727" w:themeColor="text1" w:themeTint="D8"/>
    </w:rPr>
  </w:style>
  <w:style w:type="paragraph" w:styleId="Title">
    <w:name w:val="Title"/>
    <w:basedOn w:val="Normal"/>
    <w:next w:val="Normal"/>
    <w:link w:val="TitleChar"/>
    <w:uiPriority w:val="10"/>
    <w:qFormat/>
    <w:rsid w:val="001F5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3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366"/>
    <w:pPr>
      <w:spacing w:before="160"/>
      <w:jc w:val="center"/>
    </w:pPr>
    <w:rPr>
      <w:i/>
      <w:iCs/>
      <w:color w:val="404040" w:themeColor="text1" w:themeTint="BF"/>
    </w:rPr>
  </w:style>
  <w:style w:type="character" w:customStyle="1" w:styleId="QuoteChar">
    <w:name w:val="Quote Char"/>
    <w:basedOn w:val="DefaultParagraphFont"/>
    <w:link w:val="Quote"/>
    <w:uiPriority w:val="29"/>
    <w:rsid w:val="001F5366"/>
    <w:rPr>
      <w:i/>
      <w:iCs/>
      <w:color w:val="404040" w:themeColor="text1" w:themeTint="BF"/>
    </w:rPr>
  </w:style>
  <w:style w:type="paragraph" w:styleId="ListParagraph">
    <w:name w:val="List Paragraph"/>
    <w:basedOn w:val="Normal"/>
    <w:uiPriority w:val="34"/>
    <w:qFormat/>
    <w:rsid w:val="001F5366"/>
    <w:pPr>
      <w:ind w:left="720"/>
      <w:contextualSpacing/>
    </w:pPr>
  </w:style>
  <w:style w:type="character" w:styleId="IntenseEmphasis">
    <w:name w:val="Intense Emphasis"/>
    <w:basedOn w:val="DefaultParagraphFont"/>
    <w:uiPriority w:val="21"/>
    <w:qFormat/>
    <w:rsid w:val="001F5366"/>
    <w:rPr>
      <w:i/>
      <w:iCs/>
      <w:color w:val="0F4761" w:themeColor="accent1" w:themeShade="BF"/>
    </w:rPr>
  </w:style>
  <w:style w:type="paragraph" w:styleId="IntenseQuote">
    <w:name w:val="Intense Quote"/>
    <w:basedOn w:val="Normal"/>
    <w:next w:val="Normal"/>
    <w:link w:val="IntenseQuoteChar"/>
    <w:uiPriority w:val="30"/>
    <w:qFormat/>
    <w:rsid w:val="001F5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366"/>
    <w:rPr>
      <w:i/>
      <w:iCs/>
      <w:color w:val="0F4761" w:themeColor="accent1" w:themeShade="BF"/>
    </w:rPr>
  </w:style>
  <w:style w:type="character" w:styleId="IntenseReference">
    <w:name w:val="Intense Reference"/>
    <w:basedOn w:val="DefaultParagraphFont"/>
    <w:uiPriority w:val="32"/>
    <w:qFormat/>
    <w:rsid w:val="001F5366"/>
    <w:rPr>
      <w:b/>
      <w:bCs/>
      <w:smallCaps/>
      <w:color w:val="0F4761" w:themeColor="accent1" w:themeShade="BF"/>
      <w:spacing w:val="5"/>
    </w:rPr>
  </w:style>
  <w:style w:type="paragraph" w:styleId="NoSpacing">
    <w:name w:val="No Spacing"/>
    <w:link w:val="NoSpacingChar"/>
    <w:uiPriority w:val="1"/>
    <w:qFormat/>
    <w:rsid w:val="00861E9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61E99"/>
    <w:rPr>
      <w:rFonts w:eastAsiaTheme="minorEastAsia"/>
      <w:kern w:val="0"/>
      <w:lang w:eastAsia="en-GB"/>
      <w14:ligatures w14:val="none"/>
    </w:rPr>
  </w:style>
  <w:style w:type="character" w:styleId="Hyperlink">
    <w:name w:val="Hyperlink"/>
    <w:basedOn w:val="DefaultParagraphFont"/>
    <w:uiPriority w:val="99"/>
    <w:unhideWhenUsed/>
    <w:rsid w:val="00E56CAD"/>
    <w:rPr>
      <w:color w:val="467886" w:themeColor="hyperlink"/>
      <w:u w:val="single"/>
    </w:rPr>
  </w:style>
  <w:style w:type="character" w:styleId="UnresolvedMention">
    <w:name w:val="Unresolved Mention"/>
    <w:basedOn w:val="DefaultParagraphFont"/>
    <w:uiPriority w:val="99"/>
    <w:semiHidden/>
    <w:unhideWhenUsed/>
    <w:rsid w:val="000A5B73"/>
    <w:rPr>
      <w:color w:val="605E5C"/>
      <w:shd w:val="clear" w:color="auto" w:fill="E1DFDD"/>
    </w:rPr>
  </w:style>
  <w:style w:type="paragraph" w:styleId="Header">
    <w:name w:val="header"/>
    <w:basedOn w:val="Normal"/>
    <w:link w:val="HeaderChar"/>
    <w:uiPriority w:val="99"/>
    <w:unhideWhenUsed/>
    <w:rsid w:val="00DC3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94E"/>
  </w:style>
  <w:style w:type="paragraph" w:styleId="Footer">
    <w:name w:val="footer"/>
    <w:basedOn w:val="Normal"/>
    <w:link w:val="FooterChar"/>
    <w:uiPriority w:val="99"/>
    <w:unhideWhenUsed/>
    <w:rsid w:val="00DC3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94E"/>
  </w:style>
  <w:style w:type="paragraph" w:styleId="Caption">
    <w:name w:val="caption"/>
    <w:basedOn w:val="Normal"/>
    <w:next w:val="Normal"/>
    <w:uiPriority w:val="35"/>
    <w:unhideWhenUsed/>
    <w:qFormat/>
    <w:rsid w:val="00DC394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91B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724477">
      <w:bodyDiv w:val="1"/>
      <w:marLeft w:val="0"/>
      <w:marRight w:val="0"/>
      <w:marTop w:val="0"/>
      <w:marBottom w:val="0"/>
      <w:divBdr>
        <w:top w:val="none" w:sz="0" w:space="0" w:color="auto"/>
        <w:left w:val="none" w:sz="0" w:space="0" w:color="auto"/>
        <w:bottom w:val="none" w:sz="0" w:space="0" w:color="auto"/>
        <w:right w:val="none" w:sz="0" w:space="0" w:color="auto"/>
      </w:divBdr>
      <w:divsChild>
        <w:div w:id="587427411">
          <w:marLeft w:val="360"/>
          <w:marRight w:val="0"/>
          <w:marTop w:val="200"/>
          <w:marBottom w:val="0"/>
          <w:divBdr>
            <w:top w:val="none" w:sz="0" w:space="0" w:color="auto"/>
            <w:left w:val="none" w:sz="0" w:space="0" w:color="auto"/>
            <w:bottom w:val="none" w:sz="0" w:space="0" w:color="auto"/>
            <w:right w:val="none" w:sz="0" w:space="0" w:color="auto"/>
          </w:divBdr>
        </w:div>
      </w:divsChild>
    </w:div>
    <w:div w:id="675808985">
      <w:bodyDiv w:val="1"/>
      <w:marLeft w:val="0"/>
      <w:marRight w:val="0"/>
      <w:marTop w:val="0"/>
      <w:marBottom w:val="0"/>
      <w:divBdr>
        <w:top w:val="none" w:sz="0" w:space="0" w:color="auto"/>
        <w:left w:val="none" w:sz="0" w:space="0" w:color="auto"/>
        <w:bottom w:val="none" w:sz="0" w:space="0" w:color="auto"/>
        <w:right w:val="none" w:sz="0" w:space="0" w:color="auto"/>
      </w:divBdr>
      <w:divsChild>
        <w:div w:id="334577596">
          <w:marLeft w:val="360"/>
          <w:marRight w:val="0"/>
          <w:marTop w:val="200"/>
          <w:marBottom w:val="0"/>
          <w:divBdr>
            <w:top w:val="none" w:sz="0" w:space="0" w:color="auto"/>
            <w:left w:val="none" w:sz="0" w:space="0" w:color="auto"/>
            <w:bottom w:val="none" w:sz="0" w:space="0" w:color="auto"/>
            <w:right w:val="none" w:sz="0" w:space="0" w:color="auto"/>
          </w:divBdr>
        </w:div>
      </w:divsChild>
    </w:div>
    <w:div w:id="938216762">
      <w:bodyDiv w:val="1"/>
      <w:marLeft w:val="0"/>
      <w:marRight w:val="0"/>
      <w:marTop w:val="0"/>
      <w:marBottom w:val="0"/>
      <w:divBdr>
        <w:top w:val="none" w:sz="0" w:space="0" w:color="auto"/>
        <w:left w:val="none" w:sz="0" w:space="0" w:color="auto"/>
        <w:bottom w:val="none" w:sz="0" w:space="0" w:color="auto"/>
        <w:right w:val="none" w:sz="0" w:space="0" w:color="auto"/>
      </w:divBdr>
      <w:divsChild>
        <w:div w:id="840852909">
          <w:marLeft w:val="360"/>
          <w:marRight w:val="0"/>
          <w:marTop w:val="200"/>
          <w:marBottom w:val="0"/>
          <w:divBdr>
            <w:top w:val="none" w:sz="0" w:space="0" w:color="auto"/>
            <w:left w:val="none" w:sz="0" w:space="0" w:color="auto"/>
            <w:bottom w:val="none" w:sz="0" w:space="0" w:color="auto"/>
            <w:right w:val="none" w:sz="0" w:space="0" w:color="auto"/>
          </w:divBdr>
        </w:div>
      </w:divsChild>
    </w:div>
    <w:div w:id="1456870936">
      <w:bodyDiv w:val="1"/>
      <w:marLeft w:val="0"/>
      <w:marRight w:val="0"/>
      <w:marTop w:val="0"/>
      <w:marBottom w:val="0"/>
      <w:divBdr>
        <w:top w:val="none" w:sz="0" w:space="0" w:color="auto"/>
        <w:left w:val="none" w:sz="0" w:space="0" w:color="auto"/>
        <w:bottom w:val="none" w:sz="0" w:space="0" w:color="auto"/>
        <w:right w:val="none" w:sz="0" w:space="0" w:color="auto"/>
      </w:divBdr>
      <w:divsChild>
        <w:div w:id="536430072">
          <w:marLeft w:val="360"/>
          <w:marRight w:val="0"/>
          <w:marTop w:val="200"/>
          <w:marBottom w:val="0"/>
          <w:divBdr>
            <w:top w:val="none" w:sz="0" w:space="0" w:color="auto"/>
            <w:left w:val="none" w:sz="0" w:space="0" w:color="auto"/>
            <w:bottom w:val="none" w:sz="0" w:space="0" w:color="auto"/>
            <w:right w:val="none" w:sz="0" w:space="0" w:color="auto"/>
          </w:divBdr>
        </w:div>
      </w:divsChild>
    </w:div>
    <w:div w:id="2029986621">
      <w:bodyDiv w:val="1"/>
      <w:marLeft w:val="0"/>
      <w:marRight w:val="0"/>
      <w:marTop w:val="0"/>
      <w:marBottom w:val="0"/>
      <w:divBdr>
        <w:top w:val="none" w:sz="0" w:space="0" w:color="auto"/>
        <w:left w:val="none" w:sz="0" w:space="0" w:color="auto"/>
        <w:bottom w:val="none" w:sz="0" w:space="0" w:color="auto"/>
        <w:right w:val="none" w:sz="0" w:space="0" w:color="auto"/>
      </w:divBdr>
      <w:divsChild>
        <w:div w:id="4855845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jpeg"/><Relationship Id="rId21" Type="http://schemas.openxmlformats.org/officeDocument/2006/relationships/image" Target="media/image4.jpg"/><Relationship Id="rId42" Type="http://schemas.openxmlformats.org/officeDocument/2006/relationships/hyperlink" Target="http://www.moomoomathblog.com/2020/02/the-5-senses-plus-3-more.html" TargetMode="External"/><Relationship Id="rId47" Type="http://schemas.openxmlformats.org/officeDocument/2006/relationships/hyperlink" Target="https://www.math-salamanders.com/place-value-grid.html" TargetMode="External"/><Relationship Id="rId63" Type="http://schemas.openxmlformats.org/officeDocument/2006/relationships/hyperlink" Target="https://www.montessori-namta.org"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ationalnumeracy.org.uk/sites/default/files/documents/National%20Numeracy_10th%20Anniversary%20report_web.pdf" TargetMode="External"/><Relationship Id="rId29" Type="http://schemas.openxmlformats.org/officeDocument/2006/relationships/image" Target="media/image12.jpeg"/><Relationship Id="rId11" Type="http://schemas.openxmlformats.org/officeDocument/2006/relationships/hyperlink" Target="https://dictionary.cambridge.org/dictionary/english/numeracy" TargetMode="External"/><Relationship Id="rId24" Type="http://schemas.openxmlformats.org/officeDocument/2006/relationships/image" Target="media/image7.png"/><Relationship Id="rId32" Type="http://schemas.openxmlformats.org/officeDocument/2006/relationships/hyperlink" Target="https://video.alexanderstreet.com/watch/Dyscalculia" TargetMode="External"/><Relationship Id="rId37" Type="http://schemas.openxmlformats.org/officeDocument/2006/relationships/hyperlink" Target="https://educationendowmentfoundation.org.uk/education-evidence/teaching-learning-toolkit/parental-engagement" TargetMode="External"/><Relationship Id="rId40" Type="http://schemas.openxmlformats.org/officeDocument/2006/relationships/hyperlink" Target="https://mavric.com" TargetMode="External"/><Relationship Id="rId45" Type="http://schemas.openxmlformats.org/officeDocument/2006/relationships/hyperlink" Target="https://www.splashandrelax.co.uk/products/Toys+And+Games/Puzzles+%26+Games/Board+Games/Children%27s+Games/Orchard+Toys+Pop+to+the+Shops+/3711003951" TargetMode="External"/><Relationship Id="rId53" Type="http://schemas.openxmlformats.org/officeDocument/2006/relationships/hyperlink" Target="https://hwb.gov.wales/curriculum-for-wales/cross-curricular-skills-frameworks/literacy-and-numeracy-framework/" TargetMode="External"/><Relationship Id="rId58" Type="http://schemas.openxmlformats.org/officeDocument/2006/relationships/hyperlink" Target="https://www.canva.com/design/DAGgG4Jk_Os/m_IkKlcgp-TcA2GQUr0V_g/watch?utm_content=DAGgG4Jk_Os&amp;utm_campaign=designshare&amp;utm_medium=link2&amp;utm_source=uniquelinks&amp;utlId=h789d1edcd9" TargetMode="External"/><Relationship Id="rId66" Type="http://schemas.openxmlformats.org/officeDocument/2006/relationships/hyperlink" Target="https://youtu.be/NO9X5E0mGcw?si=R4e8OhQtdPkmM5r9" TargetMode="External"/><Relationship Id="rId5" Type="http://schemas.openxmlformats.org/officeDocument/2006/relationships/webSettings" Target="webSettings.xml"/><Relationship Id="rId61" Type="http://schemas.openxmlformats.org/officeDocument/2006/relationships/hyperlink" Target="https://www.learningwrapups.com" TargetMode="External"/><Relationship Id="rId19" Type="http://schemas.openxmlformats.org/officeDocument/2006/relationships/hyperlink" Target="https://maths.org/" TargetMode="External"/><Relationship Id="rId14" Type="http://schemas.openxmlformats.org/officeDocument/2006/relationships/hyperlink" Target="https://www-sciencedirect-com.ezproxy.uwtsd.ac.uk/science/article/pii/S0738399115300835"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hyperlink" Target="https://nijse.org/index.php/data/article/view/71" TargetMode="External"/><Relationship Id="rId43" Type="http://schemas.openxmlformats.org/officeDocument/2006/relationships/hyperlink" Target="https://play.sumdog.com/domain_choice" TargetMode="External"/><Relationship Id="rId48" Type="http://schemas.openxmlformats.org/officeDocument/2006/relationships/hyperlink" Target="https://www.nationalnumeracy.org.uk/helping-children-maths/schools/how-encourage-parental-engagement" TargetMode="External"/><Relationship Id="rId56" Type="http://schemas.openxmlformats.org/officeDocument/2006/relationships/hyperlink" Target="https://youtu.be/NO9X5E0mGcw?si=R4e8OhQtdPkmM5r9" TargetMode="External"/><Relationship Id="rId64" Type="http://schemas.openxmlformats.org/officeDocument/2006/relationships/hyperlink" Target="https://www.nctm.org" TargetMode="External"/><Relationship Id="rId69" Type="http://schemas.openxmlformats.org/officeDocument/2006/relationships/glossaryDocument" Target="glossary/document.xml"/><Relationship Id="rId8" Type="http://schemas.openxmlformats.org/officeDocument/2006/relationships/image" Target="media/image1.png"/><Relationship Id="rId51" Type="http://schemas.openxmlformats.org/officeDocument/2006/relationships/hyperlink" Target="https://video.alexanderstreet.com/watch/Dyscalculia" TargetMode="External"/><Relationship Id="rId3" Type="http://schemas.openxmlformats.org/officeDocument/2006/relationships/styles" Target="styles.xml"/><Relationship Id="rId12" Type="http://schemas.openxmlformats.org/officeDocument/2006/relationships/hyperlink" Target="https://link.springer.com/chapter/10.1007/978-3-031-20748-8_2" TargetMode="External"/><Relationship Id="rId17" Type="http://schemas.openxmlformats.org/officeDocument/2006/relationships/hyperlink" Target="https://www.nationalnumeracy.org.uk/sites/default/files/documents/National%20Numeracy%20Research%20Briefing_Fit%20for%20Work.pdf" TargetMode="External"/><Relationship Id="rId25" Type="http://schemas.openxmlformats.org/officeDocument/2006/relationships/image" Target="media/image8.jpeg"/><Relationship Id="rId33" Type="http://schemas.openxmlformats.org/officeDocument/2006/relationships/hyperlink" Target="https://www.bps.org.uk/research-digest/making-mistakes-easy-aids-teacher-student-relationship" TargetMode="External"/><Relationship Id="rId38" Type="http://schemas.openxmlformats.org/officeDocument/2006/relationships/hyperlink" Target="https://www.mdpi.com/2227-7102/11/9/541" TargetMode="External"/><Relationship Id="rId46" Type="http://schemas.openxmlformats.org/officeDocument/2006/relationships/hyperlink" Target="https://printplaylearn.com/downloads/spring-themed-number-lines/" TargetMode="External"/><Relationship Id="rId59" Type="http://schemas.openxmlformats.org/officeDocument/2006/relationships/hyperlink" Target="https://journals.sagepub.com/doi/10.1177/1087054718770009" TargetMode="External"/><Relationship Id="rId67" Type="http://schemas.openxmlformats.org/officeDocument/2006/relationships/hyperlink" Target="https://www.bps.org.uk/research-digest/using-fidget-spinners-may-actually-impede-learning" TargetMode="External"/><Relationship Id="rId20" Type="http://schemas.openxmlformats.org/officeDocument/2006/relationships/image" Target="media/image3.jpg"/><Relationship Id="rId41" Type="http://schemas.openxmlformats.org/officeDocument/2006/relationships/hyperlink" Target="https://3quarksdaily.com/3quarksdaily/2020/09/sherlock-holmes-and-the-curious-case-of-several-million-chinese-fans.html" TargetMode="External"/><Relationship Id="rId54" Type="http://schemas.openxmlformats.org/officeDocument/2006/relationships/hyperlink" Target="https://www.sciencedirect.com/science/article/pii/S0022096522000285" TargetMode="External"/><Relationship Id="rId62" Type="http://schemas.openxmlformats.org/officeDocument/2006/relationships/hyperlink" Target="https://library.iated.org/view/MAGRENAN2022POP"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news/multiplying-maths-skills-for-adults"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s://research-ebsco-com.ezproxy.uwtsd.ac.uk/c/onvpsy/search/details/oy5a4md6g5?db=e001mww" TargetMode="External"/><Relationship Id="rId49" Type="http://schemas.openxmlformats.org/officeDocument/2006/relationships/hyperlink" Target="https://dro.deakin.edu.au/articles/journal_contribution/How_primary_teachers_use_games_to_support_their_teaching_of_mathematics/20670195/1?file=36880281" TargetMode="External"/><Relationship Id="rId57" Type="http://schemas.openxmlformats.org/officeDocument/2006/relationships/hyperlink" Target="https://books.google.co.uk/books?hl=en&amp;lr=&amp;id=0X0xEAAAQBAJ&amp;oi=fnd&amp;pg=PP1&amp;dq=multiplication+square+improving+fluency+children&amp;ots=MuVGUfCKyq&amp;sig=N3_Kq83MhyTK8Q7vPwKdQ8ida4k&amp;redir_esc=y" TargetMode="External"/><Relationship Id="rId10" Type="http://schemas.openxmlformats.org/officeDocument/2006/relationships/hyperlink" Target="https://doi-org.ezproxy.uwtsd.ac.uk/10.4018/978-1-7998-8649-5" TargetMode="External"/><Relationship Id="rId31" Type="http://schemas.openxmlformats.org/officeDocument/2006/relationships/hyperlink" Target="https://journal.ia-education.com/index.php/ijor%20/article/view/624" TargetMode="External"/><Relationship Id="rId44" Type="http://schemas.openxmlformats.org/officeDocument/2006/relationships/hyperlink" Target="https://www.appcracy.com/game/math-games-math-for-kids.html" TargetMode="External"/><Relationship Id="rId52" Type="http://schemas.openxmlformats.org/officeDocument/2006/relationships/hyperlink" Target="https://content.e-bookshelf.de/media/reading/L-17997039-66b985d022.pdf" TargetMode="External"/><Relationship Id="rId60" Type="http://schemas.openxmlformats.org/officeDocument/2006/relationships/hyperlink" Target="https://doi.org/10.1177/00400599221115627" TargetMode="External"/><Relationship Id="rId65" Type="http://schemas.openxmlformats.org/officeDocument/2006/relationships/hyperlink" Target="https://doi.org/10.1016/j.heliyon.2023.e1903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nature.com/articles/nclimate1547" TargetMode="External"/><Relationship Id="rId18" Type="http://schemas.openxmlformats.org/officeDocument/2006/relationships/hyperlink" Target="https://www.youtube.com/watch?v=1dDrUKn2ZFw" TargetMode="External"/><Relationship Id="rId39" Type="http://schemas.openxmlformats.org/officeDocument/2006/relationships/hyperlink" Target="https://ar.inspiredpencil.com/pictures-2023/kids-paying-for-groceries" TargetMode="External"/><Relationship Id="rId34" Type="http://schemas.openxmlformats.org/officeDocument/2006/relationships/hyperlink" Target="https://www.tandfonline.com/doi/abs/10.1080/0020739X.2021.1978570" TargetMode="External"/><Relationship Id="rId50" Type="http://schemas.openxmlformats.org/officeDocument/2006/relationships/image" Target="media/image14.jpeg"/><Relationship Id="rId55" Type="http://schemas.openxmlformats.org/officeDocument/2006/relationships/hyperlink" Target="https://doi.org/10.1177/1053451222113007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D421AE53D1488EAAC5F275D2C1CDB0"/>
        <w:category>
          <w:name w:val="General"/>
          <w:gallery w:val="placeholder"/>
        </w:category>
        <w:types>
          <w:type w:val="bbPlcHdr"/>
        </w:types>
        <w:behaviors>
          <w:behavior w:val="content"/>
        </w:behaviors>
        <w:guid w:val="{64D25F57-7240-46EB-B77A-47A78BD72683}"/>
      </w:docPartPr>
      <w:docPartBody>
        <w:p w:rsidR="00652431" w:rsidRDefault="00652431" w:rsidP="00652431">
          <w:pPr>
            <w:pStyle w:val="D9D421AE53D1488EAAC5F275D2C1CDB0"/>
          </w:pPr>
          <w:r>
            <w:rPr>
              <w:rFonts w:asciiTheme="majorHAnsi" w:eastAsiaTheme="majorEastAsia" w:hAnsiTheme="majorHAnsi" w:cstheme="majorBidi"/>
              <w:caps/>
              <w:color w:val="156082" w:themeColor="accent1"/>
              <w:sz w:val="80"/>
              <w:szCs w:val="80"/>
            </w:rPr>
            <w:t>[Document title]</w:t>
          </w:r>
        </w:p>
      </w:docPartBody>
    </w:docPart>
    <w:docPart>
      <w:docPartPr>
        <w:name w:val="D30548D5BFBD42F988F805748CFBEB9D"/>
        <w:category>
          <w:name w:val="General"/>
          <w:gallery w:val="placeholder"/>
        </w:category>
        <w:types>
          <w:type w:val="bbPlcHdr"/>
        </w:types>
        <w:behaviors>
          <w:behavior w:val="content"/>
        </w:behaviors>
        <w:guid w:val="{6276AB37-B6C6-4A62-AFD6-94EFEC665758}"/>
      </w:docPartPr>
      <w:docPartBody>
        <w:p w:rsidR="00652431" w:rsidRDefault="00652431" w:rsidP="00652431">
          <w:pPr>
            <w:pStyle w:val="D30548D5BFBD42F988F805748CFBEB9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687" w:usb1="00000013" w:usb2="00000000" w:usb3="00000000" w:csb0="0000009F" w:csb1="00000000"/>
  </w:font>
  <w:font w:name="Alasassy Caps">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431"/>
    <w:rsid w:val="00147FCA"/>
    <w:rsid w:val="002A33C3"/>
    <w:rsid w:val="002D72EB"/>
    <w:rsid w:val="002E2139"/>
    <w:rsid w:val="0040380B"/>
    <w:rsid w:val="00405A47"/>
    <w:rsid w:val="00466CD4"/>
    <w:rsid w:val="005D27F5"/>
    <w:rsid w:val="00652431"/>
    <w:rsid w:val="007F53A7"/>
    <w:rsid w:val="008B6667"/>
    <w:rsid w:val="00936DC3"/>
    <w:rsid w:val="00A0491D"/>
    <w:rsid w:val="00BA45B4"/>
    <w:rsid w:val="00C61A79"/>
    <w:rsid w:val="00C64F0F"/>
    <w:rsid w:val="00C82356"/>
    <w:rsid w:val="00CF1569"/>
    <w:rsid w:val="00D71381"/>
    <w:rsid w:val="00DC109C"/>
    <w:rsid w:val="00EF1159"/>
    <w:rsid w:val="00F72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D421AE53D1488EAAC5F275D2C1CDB0">
    <w:name w:val="D9D421AE53D1488EAAC5F275D2C1CDB0"/>
    <w:rsid w:val="00652431"/>
  </w:style>
  <w:style w:type="paragraph" w:customStyle="1" w:styleId="D30548D5BFBD42F988F805748CFBEB9D">
    <w:name w:val="D30548D5BFBD42F988F805748CFBEB9D"/>
    <w:rsid w:val="006524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27</Pages>
  <Words>6017</Words>
  <Characters>34300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ECIE5002/C Portfolio</vt:lpstr>
    </vt:vector>
  </TitlesOfParts>
  <Company>University of wales trinity saint david</Company>
  <LinksUpToDate>false</LinksUpToDate>
  <CharactersWithSpaces>40237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ECIE5002/C Portfolio</dc:title>
  <dc:subject>Zoe Williams 2309079</dc:subject>
  <dc:creator>Zoe Williams</dc:creator>
  <cp:keywords/>
  <dc:description/>
  <cp:lastModifiedBy>Zoe Williams</cp:lastModifiedBy>
  <cp:revision>41</cp:revision>
  <dcterms:created xsi:type="dcterms:W3CDTF">2025-01-07T21:13:00Z</dcterms:created>
  <dcterms:modified xsi:type="dcterms:W3CDTF">2025-02-26T21:48:00Z</dcterms:modified>
</cp:coreProperties>
</file>