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D25" w:rsidRDefault="00526D25" w:rsidP="00526D25">
      <w:pPr>
        <w:rPr>
          <w:rFonts w:ascii="Palatino Linotype" w:hAnsi="Palatino Linotype"/>
        </w:rPr>
      </w:pPr>
      <w:r>
        <w:rPr>
          <w:rFonts w:ascii="Palatino Linotype" w:hAnsi="Palatino Linotype"/>
        </w:rPr>
        <w:t>Modern Orthodox Theologians</w:t>
      </w:r>
    </w:p>
    <w:p w:rsidR="00526D25" w:rsidRDefault="00526D25" w:rsidP="00526D25">
      <w:pPr>
        <w:rPr>
          <w:rFonts w:ascii="Palatino Linotype" w:hAnsi="Palatino Linotype"/>
        </w:rPr>
      </w:pPr>
      <w:r>
        <w:rPr>
          <w:rFonts w:ascii="Palatino Linotype" w:hAnsi="Palatino Linotype"/>
        </w:rPr>
        <w:t>TRDL7081</w:t>
      </w:r>
    </w:p>
    <w:p w:rsidR="00526D25" w:rsidRPr="007D40B2" w:rsidRDefault="00526D25" w:rsidP="00526D25">
      <w:pPr>
        <w:rPr>
          <w:rFonts w:ascii="Palatino Linotype" w:hAnsi="Palatino Linotype"/>
        </w:rPr>
      </w:pPr>
      <w:r>
        <w:rPr>
          <w:rFonts w:ascii="Palatino Linotype" w:hAnsi="Palatino Linotype"/>
        </w:rPr>
        <w:t>Unit Two</w:t>
      </w:r>
    </w:p>
    <w:p w:rsidR="00526D25" w:rsidRPr="007D40B2" w:rsidRDefault="00526D25" w:rsidP="00526D25">
      <w:pPr>
        <w:jc w:val="center"/>
        <w:rPr>
          <w:rFonts w:ascii="Palatino Linotype" w:hAnsi="Palatino Linotype"/>
          <w:i/>
          <w:iCs/>
        </w:rPr>
      </w:pPr>
      <w:r>
        <w:rPr>
          <w:rFonts w:ascii="Palatino Linotype" w:hAnsi="Palatino Linotype"/>
          <w:i/>
          <w:iCs/>
        </w:rPr>
        <w:br/>
      </w:r>
      <w:r w:rsidRPr="007D40B2">
        <w:rPr>
          <w:rFonts w:ascii="Palatino Linotype" w:hAnsi="Palatino Linotype"/>
          <w:i/>
          <w:iCs/>
        </w:rPr>
        <w:t xml:space="preserve">‘One who prays truly’: Orthodox liturgical </w:t>
      </w:r>
      <w:proofErr w:type="gramStart"/>
      <w:r w:rsidRPr="007D40B2">
        <w:rPr>
          <w:rFonts w:ascii="Palatino Linotype" w:hAnsi="Palatino Linotype"/>
          <w:i/>
          <w:iCs/>
        </w:rPr>
        <w:t>theology:</w:t>
      </w:r>
      <w:proofErr w:type="gramEnd"/>
      <w:r w:rsidRPr="007D40B2">
        <w:rPr>
          <w:rFonts w:ascii="Palatino Linotype" w:hAnsi="Palatino Linotype"/>
          <w:i/>
          <w:iCs/>
        </w:rPr>
        <w:t xml:space="preserve"> </w:t>
      </w:r>
    </w:p>
    <w:p w:rsidR="00526D25" w:rsidRPr="007D40B2" w:rsidRDefault="00526D25" w:rsidP="00526D25">
      <w:pPr>
        <w:jc w:val="center"/>
        <w:rPr>
          <w:rFonts w:ascii="Palatino Linotype" w:hAnsi="Palatino Linotype"/>
          <w:i/>
          <w:iCs/>
        </w:rPr>
      </w:pPr>
      <w:r w:rsidRPr="007D40B2">
        <w:rPr>
          <w:rFonts w:ascii="Palatino Linotype" w:hAnsi="Palatino Linotype"/>
          <w:i/>
          <w:iCs/>
        </w:rPr>
        <w:t xml:space="preserve">Alexander </w:t>
      </w:r>
      <w:proofErr w:type="spellStart"/>
      <w:r w:rsidRPr="007D40B2">
        <w:rPr>
          <w:rFonts w:ascii="Palatino Linotype" w:hAnsi="Palatino Linotype"/>
          <w:i/>
          <w:iCs/>
        </w:rPr>
        <w:t>Schmemann</w:t>
      </w:r>
      <w:proofErr w:type="spellEnd"/>
      <w:r w:rsidRPr="007D40B2">
        <w:rPr>
          <w:rFonts w:ascii="Palatino Linotype" w:hAnsi="Palatino Linotype"/>
          <w:i/>
          <w:iCs/>
        </w:rPr>
        <w:t xml:space="preserve"> and John </w:t>
      </w:r>
      <w:proofErr w:type="spellStart"/>
      <w:r w:rsidRPr="007D40B2">
        <w:rPr>
          <w:rFonts w:ascii="Palatino Linotype" w:hAnsi="Palatino Linotype"/>
          <w:i/>
          <w:iCs/>
        </w:rPr>
        <w:t>Zizioulas</w:t>
      </w:r>
      <w:proofErr w:type="spellEnd"/>
    </w:p>
    <w:p w:rsidR="00526D25" w:rsidRPr="007D40B2" w:rsidRDefault="00526D25" w:rsidP="00526D25">
      <w:pPr>
        <w:jc w:val="center"/>
        <w:rPr>
          <w:rFonts w:ascii="Palatino Linotype" w:hAnsi="Palatino Linotype"/>
        </w:rPr>
      </w:pPr>
    </w:p>
    <w:p w:rsidR="00526D25" w:rsidRPr="007D40B2" w:rsidRDefault="00526D25" w:rsidP="00526D25">
      <w:pPr>
        <w:jc w:val="both"/>
        <w:rPr>
          <w:rFonts w:ascii="Palatino Linotype" w:hAnsi="Palatino Linotype"/>
        </w:rPr>
      </w:pPr>
      <w:r w:rsidRPr="007D40B2">
        <w:rPr>
          <w:rFonts w:ascii="Palatino Linotype" w:hAnsi="Palatino Linotype"/>
        </w:rPr>
        <w:t xml:space="preserve">A basic insight shared by Eastern and Western Christians is that prayer is fundamental to theology. In the East, around the turn of the Fifth Century, </w:t>
      </w:r>
      <w:proofErr w:type="spellStart"/>
      <w:r w:rsidRPr="007D40B2">
        <w:rPr>
          <w:rFonts w:ascii="Palatino Linotype" w:hAnsi="Palatino Linotype"/>
        </w:rPr>
        <w:t>Evagrius</w:t>
      </w:r>
      <w:proofErr w:type="spellEnd"/>
      <w:r w:rsidRPr="007D40B2">
        <w:rPr>
          <w:rFonts w:ascii="Palatino Linotype" w:hAnsi="Palatino Linotype"/>
        </w:rPr>
        <w:t xml:space="preserve"> </w:t>
      </w:r>
      <w:proofErr w:type="spellStart"/>
      <w:r w:rsidRPr="007D40B2">
        <w:rPr>
          <w:rFonts w:ascii="Palatino Linotype" w:hAnsi="Palatino Linotype"/>
        </w:rPr>
        <w:t>Ponticus</w:t>
      </w:r>
      <w:proofErr w:type="spellEnd"/>
      <w:r w:rsidRPr="007D40B2">
        <w:rPr>
          <w:rFonts w:ascii="Palatino Linotype" w:hAnsi="Palatino Linotype"/>
        </w:rPr>
        <w:t xml:space="preserve"> claimed, ‘If you are a theologian, you will pray truly; if you pray truly, you will be a theologian.’ About a generation later, Prosper of Aquitaine wrote in his </w:t>
      </w:r>
      <w:r w:rsidRPr="007D40B2">
        <w:rPr>
          <w:rFonts w:ascii="Palatino Linotype" w:hAnsi="Palatino Linotype"/>
          <w:i/>
          <w:iCs/>
        </w:rPr>
        <w:t xml:space="preserve">Letter </w:t>
      </w:r>
      <w:r w:rsidRPr="007D40B2">
        <w:rPr>
          <w:rFonts w:ascii="Palatino Linotype" w:hAnsi="Palatino Linotype"/>
        </w:rPr>
        <w:t>8, ‘The order of supplication establishes the order of belief’ (</w:t>
      </w:r>
      <w:proofErr w:type="spellStart"/>
      <w:r w:rsidRPr="007D40B2">
        <w:rPr>
          <w:rFonts w:ascii="Palatino Linotype" w:hAnsi="Palatino Linotype"/>
          <w:i/>
          <w:iCs/>
        </w:rPr>
        <w:t>legem</w:t>
      </w:r>
      <w:proofErr w:type="spellEnd"/>
      <w:r w:rsidRPr="007D40B2">
        <w:rPr>
          <w:rFonts w:ascii="Palatino Linotype" w:hAnsi="Palatino Linotype"/>
          <w:i/>
          <w:iCs/>
        </w:rPr>
        <w:t xml:space="preserve"> </w:t>
      </w:r>
      <w:proofErr w:type="spellStart"/>
      <w:r w:rsidRPr="007D40B2">
        <w:rPr>
          <w:rFonts w:ascii="Palatino Linotype" w:hAnsi="Palatino Linotype"/>
          <w:i/>
          <w:iCs/>
        </w:rPr>
        <w:t>credendi</w:t>
      </w:r>
      <w:proofErr w:type="spellEnd"/>
      <w:r w:rsidRPr="007D40B2">
        <w:rPr>
          <w:rFonts w:ascii="Palatino Linotype" w:hAnsi="Palatino Linotype"/>
          <w:i/>
          <w:iCs/>
        </w:rPr>
        <w:t xml:space="preserve"> </w:t>
      </w:r>
      <w:proofErr w:type="spellStart"/>
      <w:r w:rsidRPr="007D40B2">
        <w:rPr>
          <w:rFonts w:ascii="Palatino Linotype" w:hAnsi="Palatino Linotype"/>
          <w:i/>
          <w:iCs/>
        </w:rPr>
        <w:t>lex</w:t>
      </w:r>
      <w:proofErr w:type="spellEnd"/>
      <w:r w:rsidRPr="007D40B2">
        <w:rPr>
          <w:rFonts w:ascii="Palatino Linotype" w:hAnsi="Palatino Linotype"/>
          <w:i/>
          <w:iCs/>
        </w:rPr>
        <w:t xml:space="preserve"> </w:t>
      </w:r>
      <w:proofErr w:type="spellStart"/>
      <w:r w:rsidRPr="007D40B2">
        <w:rPr>
          <w:rFonts w:ascii="Palatino Linotype" w:hAnsi="Palatino Linotype"/>
          <w:i/>
          <w:iCs/>
        </w:rPr>
        <w:t>statuat</w:t>
      </w:r>
      <w:proofErr w:type="spellEnd"/>
      <w:r w:rsidRPr="007D40B2">
        <w:rPr>
          <w:rFonts w:ascii="Palatino Linotype" w:hAnsi="Palatino Linotype"/>
          <w:i/>
          <w:iCs/>
        </w:rPr>
        <w:t xml:space="preserve"> </w:t>
      </w:r>
      <w:proofErr w:type="spellStart"/>
      <w:r w:rsidRPr="007D40B2">
        <w:rPr>
          <w:rFonts w:ascii="Palatino Linotype" w:hAnsi="Palatino Linotype"/>
          <w:i/>
          <w:iCs/>
        </w:rPr>
        <w:t>supplicandi</w:t>
      </w:r>
      <w:proofErr w:type="spellEnd"/>
      <w:r w:rsidRPr="007D40B2">
        <w:rPr>
          <w:rFonts w:ascii="Palatino Linotype" w:hAnsi="Palatino Linotype"/>
        </w:rPr>
        <w:t>) – an affirmation that is better known as ‘</w:t>
      </w:r>
      <w:proofErr w:type="spellStart"/>
      <w:r w:rsidRPr="007D40B2">
        <w:rPr>
          <w:rFonts w:ascii="Palatino Linotype" w:hAnsi="Palatino Linotype"/>
          <w:i/>
          <w:iCs/>
        </w:rPr>
        <w:t>lex</w:t>
      </w:r>
      <w:proofErr w:type="spellEnd"/>
      <w:r w:rsidRPr="007D40B2">
        <w:rPr>
          <w:rFonts w:ascii="Palatino Linotype" w:hAnsi="Palatino Linotype"/>
          <w:i/>
          <w:iCs/>
        </w:rPr>
        <w:t xml:space="preserve"> </w:t>
      </w:r>
      <w:proofErr w:type="spellStart"/>
      <w:r w:rsidRPr="007D40B2">
        <w:rPr>
          <w:rFonts w:ascii="Palatino Linotype" w:hAnsi="Palatino Linotype"/>
          <w:i/>
          <w:iCs/>
        </w:rPr>
        <w:t>orandi</w:t>
      </w:r>
      <w:proofErr w:type="spellEnd"/>
      <w:r w:rsidRPr="007D40B2">
        <w:rPr>
          <w:rFonts w:ascii="Palatino Linotype" w:hAnsi="Palatino Linotype"/>
          <w:i/>
          <w:iCs/>
        </w:rPr>
        <w:t xml:space="preserve">, </w:t>
      </w:r>
      <w:proofErr w:type="spellStart"/>
      <w:r w:rsidRPr="007D40B2">
        <w:rPr>
          <w:rFonts w:ascii="Palatino Linotype" w:hAnsi="Palatino Linotype"/>
          <w:i/>
          <w:iCs/>
        </w:rPr>
        <w:t>lex</w:t>
      </w:r>
      <w:proofErr w:type="spellEnd"/>
      <w:r w:rsidRPr="007D40B2">
        <w:rPr>
          <w:rFonts w:ascii="Palatino Linotype" w:hAnsi="Palatino Linotype"/>
          <w:i/>
          <w:iCs/>
        </w:rPr>
        <w:t xml:space="preserve"> </w:t>
      </w:r>
      <w:proofErr w:type="spellStart"/>
      <w:r w:rsidRPr="007D40B2">
        <w:rPr>
          <w:rFonts w:ascii="Palatino Linotype" w:hAnsi="Palatino Linotype"/>
          <w:i/>
          <w:iCs/>
        </w:rPr>
        <w:t>credendi</w:t>
      </w:r>
      <w:proofErr w:type="spellEnd"/>
      <w:r w:rsidRPr="007D40B2">
        <w:rPr>
          <w:rFonts w:ascii="Palatino Linotype" w:hAnsi="Palatino Linotype"/>
          <w:i/>
          <w:iCs/>
        </w:rPr>
        <w:t xml:space="preserve"> </w:t>
      </w:r>
      <w:r w:rsidRPr="007D40B2">
        <w:rPr>
          <w:rFonts w:ascii="Palatino Linotype" w:hAnsi="Palatino Linotype"/>
        </w:rPr>
        <w:t xml:space="preserve">[…] </w:t>
      </w:r>
      <w:proofErr w:type="gramStart"/>
      <w:r w:rsidRPr="007D40B2">
        <w:rPr>
          <w:rFonts w:ascii="Palatino Linotype" w:hAnsi="Palatino Linotype"/>
        </w:rPr>
        <w:t>The</w:t>
      </w:r>
      <w:proofErr w:type="gramEnd"/>
      <w:r w:rsidRPr="007D40B2">
        <w:rPr>
          <w:rFonts w:ascii="Palatino Linotype" w:hAnsi="Palatino Linotype"/>
        </w:rPr>
        <w:t xml:space="preserve"> law of prayer is the law of faith: the Church believes as she prays’ (</w:t>
      </w:r>
      <w:r w:rsidRPr="007D40B2">
        <w:rPr>
          <w:rFonts w:ascii="Palatino Linotype" w:hAnsi="Palatino Linotype"/>
          <w:i/>
          <w:iCs/>
        </w:rPr>
        <w:t>Catechism of the Catholic Church</w:t>
      </w:r>
      <w:r w:rsidRPr="007D40B2">
        <w:rPr>
          <w:rFonts w:ascii="Palatino Linotype" w:hAnsi="Palatino Linotype"/>
        </w:rPr>
        <w:t>, 1124). In Orthodox Christianity as in Catholic Christianity and Anglican Christianity, this affirmation is held to apply first and foremost to the corporate worship of the church. The liturgical cycle of the Byzantine tradition is complex, but one feature is constant: with rare but entirely predictable exceptions, the accepted form of Eucharistic worship is the Divine Liturgy of St John Chrysostom. So great is this ritual stability that for all practical purposes it is one of the markers for the Byzantine Orthodox tradition. Furthermore, this particular Eucharistic liturgy has enjoyed pride of place for many centuries. So when we say with respect to Orthodoxy that the law of prayer is the law of faith, we need to pay particular attention to the impact of the Divine Liturgy on Orthodox belief.</w:t>
      </w:r>
    </w:p>
    <w:p w:rsidR="00526D25" w:rsidRPr="007D40B2" w:rsidRDefault="00526D25" w:rsidP="00526D25">
      <w:pPr>
        <w:jc w:val="both"/>
        <w:rPr>
          <w:rFonts w:ascii="Palatino Linotype" w:hAnsi="Palatino Linotype"/>
        </w:rPr>
      </w:pPr>
    </w:p>
    <w:p w:rsidR="00526D25" w:rsidRPr="007D40B2" w:rsidRDefault="00526D25" w:rsidP="00526D25">
      <w:pPr>
        <w:jc w:val="both"/>
        <w:rPr>
          <w:rFonts w:ascii="Palatino Linotype" w:hAnsi="Palatino Linotype"/>
        </w:rPr>
      </w:pPr>
      <w:r w:rsidRPr="007D40B2">
        <w:rPr>
          <w:rFonts w:ascii="Palatino Linotype" w:hAnsi="Palatino Linotype"/>
        </w:rPr>
        <w:t xml:space="preserve">There are two major domains in the theological study of Orthodox liturgics, which, although they overlap to a certain extent, can be distinguished by their emphases. The first area is historical criticism; the second, theological exposition. Within the domain of historical criticism of the liturgy, typical questions are about the development of forms of worship. The Divine Liturgy alone supports a huge amount of scholarship: a virtual library on the subject has been single-handedly published over the last several decades by the </w:t>
      </w:r>
      <w:proofErr w:type="spellStart"/>
      <w:r w:rsidRPr="007D40B2">
        <w:rPr>
          <w:rFonts w:ascii="Palatino Linotype" w:hAnsi="Palatino Linotype"/>
        </w:rPr>
        <w:t>liturgiologist</w:t>
      </w:r>
      <w:proofErr w:type="spellEnd"/>
      <w:r w:rsidRPr="007D40B2">
        <w:rPr>
          <w:rFonts w:ascii="Palatino Linotype" w:hAnsi="Palatino Linotype"/>
        </w:rPr>
        <w:t xml:space="preserve"> Robert Taft. It is possible to isolate discreet elements within the Liturgy and to evaluate them. Such an undertaking can be in service of liturgical renewal within a Christian community. </w:t>
      </w:r>
      <w:proofErr w:type="gramStart"/>
      <w:r w:rsidRPr="007D40B2">
        <w:rPr>
          <w:rFonts w:ascii="Palatino Linotype" w:hAnsi="Palatino Linotype"/>
        </w:rPr>
        <w:t xml:space="preserve">Around the turn of the Twentieth Century, several prominent Benedictine scholars and churchmen (e.g., F. </w:t>
      </w:r>
      <w:proofErr w:type="spellStart"/>
      <w:r w:rsidRPr="007D40B2">
        <w:rPr>
          <w:rFonts w:ascii="Palatino Linotype" w:hAnsi="Palatino Linotype"/>
        </w:rPr>
        <w:t>Cabrol</w:t>
      </w:r>
      <w:proofErr w:type="spellEnd"/>
      <w:r w:rsidRPr="007D40B2">
        <w:rPr>
          <w:rFonts w:ascii="Palatino Linotype" w:hAnsi="Palatino Linotype"/>
        </w:rPr>
        <w:t xml:space="preserve">, O. </w:t>
      </w:r>
      <w:proofErr w:type="spellStart"/>
      <w:r w:rsidRPr="007D40B2">
        <w:rPr>
          <w:rFonts w:ascii="Palatino Linotype" w:hAnsi="Palatino Linotype"/>
        </w:rPr>
        <w:t>Casel</w:t>
      </w:r>
      <w:proofErr w:type="spellEnd"/>
      <w:r w:rsidRPr="007D40B2">
        <w:rPr>
          <w:rFonts w:ascii="Palatino Linotype" w:hAnsi="Palatino Linotype"/>
        </w:rPr>
        <w:t xml:space="preserve"> and, amongst the Anglican Benedictines, G. Dix) promoted serious study of liturgics for precisely this reason.</w:t>
      </w:r>
      <w:proofErr w:type="gramEnd"/>
      <w:r w:rsidRPr="007D40B2">
        <w:rPr>
          <w:rFonts w:ascii="Palatino Linotype" w:hAnsi="Palatino Linotype"/>
        </w:rPr>
        <w:t xml:space="preserve"> Though they occasionally praised the Orthodox Church for her seeming excellence in matters liturgical, it is nevertheless the case that the foremost Orthodox </w:t>
      </w:r>
      <w:proofErr w:type="spellStart"/>
      <w:r w:rsidRPr="007D40B2">
        <w:rPr>
          <w:rFonts w:ascii="Palatino Linotype" w:hAnsi="Palatino Linotype"/>
        </w:rPr>
        <w:t>liturgiologist</w:t>
      </w:r>
      <w:proofErr w:type="spellEnd"/>
      <w:r w:rsidRPr="007D40B2">
        <w:rPr>
          <w:rFonts w:ascii="Palatino Linotype" w:hAnsi="Palatino Linotype"/>
        </w:rPr>
        <w:t xml:space="preserve"> of recent times – Alexander </w:t>
      </w:r>
      <w:proofErr w:type="spellStart"/>
      <w:r w:rsidRPr="007D40B2">
        <w:rPr>
          <w:rFonts w:ascii="Palatino Linotype" w:hAnsi="Palatino Linotype"/>
        </w:rPr>
        <w:t>Schmemann</w:t>
      </w:r>
      <w:proofErr w:type="spellEnd"/>
      <w:r w:rsidRPr="007D40B2">
        <w:rPr>
          <w:rFonts w:ascii="Palatino Linotype" w:hAnsi="Palatino Linotype"/>
        </w:rPr>
        <w:t xml:space="preserve"> – was far from convinced of the accuracy of such an assessment. He identified several areas in which the theologically informed study of the liturgy was required to redress problems in the Orthodox Church.</w:t>
      </w:r>
    </w:p>
    <w:p w:rsidR="00526D25" w:rsidRPr="007D40B2" w:rsidRDefault="00526D25" w:rsidP="00526D25">
      <w:pPr>
        <w:jc w:val="both"/>
        <w:rPr>
          <w:rFonts w:ascii="Palatino Linotype" w:hAnsi="Palatino Linotype"/>
        </w:rPr>
      </w:pPr>
    </w:p>
    <w:p w:rsidR="00526D25" w:rsidRPr="007D40B2" w:rsidRDefault="00526D25" w:rsidP="00526D25">
      <w:pPr>
        <w:jc w:val="both"/>
        <w:rPr>
          <w:rFonts w:ascii="Palatino Linotype" w:hAnsi="Palatino Linotype"/>
        </w:rPr>
      </w:pPr>
      <w:proofErr w:type="spellStart"/>
      <w:r w:rsidRPr="007D40B2">
        <w:rPr>
          <w:rFonts w:ascii="Palatino Linotype" w:hAnsi="Palatino Linotype"/>
        </w:rPr>
        <w:lastRenderedPageBreak/>
        <w:t>Schmemann</w:t>
      </w:r>
      <w:proofErr w:type="spellEnd"/>
      <w:r w:rsidRPr="007D40B2">
        <w:rPr>
          <w:rFonts w:ascii="Palatino Linotype" w:hAnsi="Palatino Linotype"/>
        </w:rPr>
        <w:t xml:space="preserve"> (13 May 1921 - 13 Dec. 1983) was born to Russian émigré parents who were living in </w:t>
      </w:r>
      <w:smartTag w:uri="urn:schemas-microsoft-com:office:smarttags" w:element="place">
        <w:smartTag w:uri="urn:schemas-microsoft-com:office:smarttags" w:element="City">
          <w:r w:rsidRPr="007D40B2">
            <w:rPr>
              <w:rFonts w:ascii="Palatino Linotype" w:hAnsi="Palatino Linotype"/>
            </w:rPr>
            <w:t>Tallinn</w:t>
          </w:r>
        </w:smartTag>
        <w:r w:rsidRPr="007D40B2">
          <w:rPr>
            <w:rFonts w:ascii="Palatino Linotype" w:hAnsi="Palatino Linotype"/>
          </w:rPr>
          <w:t xml:space="preserve">, </w:t>
        </w:r>
        <w:smartTag w:uri="urn:schemas-microsoft-com:office:smarttags" w:element="country-region">
          <w:r w:rsidRPr="007D40B2">
            <w:rPr>
              <w:rFonts w:ascii="Palatino Linotype" w:hAnsi="Palatino Linotype"/>
            </w:rPr>
            <w:t>Estonia</w:t>
          </w:r>
        </w:smartTag>
      </w:smartTag>
      <w:r w:rsidRPr="007D40B2">
        <w:rPr>
          <w:rFonts w:ascii="Palatino Linotype" w:hAnsi="Palatino Linotype"/>
        </w:rPr>
        <w:t xml:space="preserve">. His family moved to </w:t>
      </w:r>
      <w:smartTag w:uri="urn:schemas-microsoft-com:office:smarttags" w:element="country-region">
        <w:smartTag w:uri="urn:schemas-microsoft-com:office:smarttags" w:element="place">
          <w:r w:rsidRPr="007D40B2">
            <w:rPr>
              <w:rFonts w:ascii="Palatino Linotype" w:hAnsi="Palatino Linotype"/>
            </w:rPr>
            <w:t>France</w:t>
          </w:r>
        </w:smartTag>
      </w:smartTag>
      <w:r w:rsidRPr="007D40B2">
        <w:rPr>
          <w:rFonts w:ascii="Palatino Linotype" w:hAnsi="Palatino Linotype"/>
        </w:rPr>
        <w:t xml:space="preserve">, where he was educated and completed his theological studies at Saint-Serge in the early 1940’s. He taught church history at Saint-Serge (1946-51) before joining the newly formed St Vladimir’s Orthodox Theological Seminary in 1951. In 1962, he became Dean of St Vladimir’s and in the same year was invited as an Orthodox observer to the Second Vatican Council (1962-65). </w:t>
      </w:r>
      <w:proofErr w:type="spellStart"/>
      <w:r w:rsidRPr="007D40B2">
        <w:rPr>
          <w:rFonts w:ascii="Palatino Linotype" w:hAnsi="Palatino Linotype"/>
        </w:rPr>
        <w:t>Schmemann</w:t>
      </w:r>
      <w:proofErr w:type="spellEnd"/>
      <w:r w:rsidRPr="007D40B2">
        <w:rPr>
          <w:rFonts w:ascii="Palatino Linotype" w:hAnsi="Palatino Linotype"/>
        </w:rPr>
        <w:t xml:space="preserve"> was heavily involved in securing the right of self-governing (‘autocephaly’) from the Patriarchate of Moscow for the Russian Orthodox </w:t>
      </w:r>
      <w:proofErr w:type="spellStart"/>
      <w:r w:rsidRPr="007D40B2">
        <w:rPr>
          <w:rFonts w:ascii="Palatino Linotype" w:hAnsi="Palatino Linotype"/>
        </w:rPr>
        <w:t>Metropolia</w:t>
      </w:r>
      <w:proofErr w:type="spellEnd"/>
      <w:r w:rsidRPr="007D40B2">
        <w:rPr>
          <w:rFonts w:ascii="Palatino Linotype" w:hAnsi="Palatino Linotype"/>
        </w:rPr>
        <w:t xml:space="preserve"> in North America in 1970, which thereafter has been know as the Orthodox Church in America. He taught and lectured widely, and his sermons were broadcast in Russian on </w:t>
      </w:r>
      <w:r w:rsidRPr="007D40B2">
        <w:rPr>
          <w:rFonts w:ascii="Palatino Linotype" w:hAnsi="Palatino Linotype"/>
          <w:i/>
          <w:iCs/>
        </w:rPr>
        <w:t xml:space="preserve">Radio Liberty </w:t>
      </w:r>
      <w:r w:rsidRPr="007D40B2">
        <w:rPr>
          <w:rFonts w:ascii="Palatino Linotype" w:hAnsi="Palatino Linotype"/>
        </w:rPr>
        <w:t xml:space="preserve">for three decades. The constant theme of all this teaching was the theological significance of Orthodox worship. </w:t>
      </w:r>
    </w:p>
    <w:p w:rsidR="00526D25" w:rsidRPr="007D40B2" w:rsidRDefault="00526D25" w:rsidP="00526D25">
      <w:pPr>
        <w:jc w:val="both"/>
        <w:rPr>
          <w:rFonts w:ascii="Palatino Linotype" w:hAnsi="Palatino Linotype"/>
        </w:rPr>
      </w:pP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Schmemann’s</w:t>
      </w:r>
      <w:proofErr w:type="spellEnd"/>
      <w:r w:rsidRPr="007D40B2">
        <w:rPr>
          <w:rFonts w:ascii="Palatino Linotype" w:hAnsi="Palatino Linotype"/>
        </w:rPr>
        <w:t xml:space="preserve"> basic approach to the subject matter was historical, though he insisted throughout that the critical study of historical documents could address theological questions. He insisted that theological study is needed to reveal the meaning of the practices that are prescribed by liturgical rubrics. On a practical level, he also insisted that theological understanding should be promoted amongst the faithful, whom he believed (not without reason) to be susceptible to an unhelpful sentimentality that obscures the importance of Christian worship even as it arrests the natural development of worship in favour of a piety that disconnects liturgy from ‘real life.’ </w:t>
      </w:r>
      <w:proofErr w:type="spellStart"/>
      <w:r w:rsidRPr="007D40B2">
        <w:rPr>
          <w:rFonts w:ascii="Palatino Linotype" w:hAnsi="Palatino Linotype"/>
        </w:rPr>
        <w:t>Schmemann’s</w:t>
      </w:r>
      <w:proofErr w:type="spellEnd"/>
      <w:r w:rsidRPr="007D40B2">
        <w:rPr>
          <w:rFonts w:ascii="Palatino Linotype" w:hAnsi="Palatino Linotype"/>
        </w:rPr>
        <w:t xml:space="preserve"> strategy for promoting such an understanding was through expositing the rationale that made sense of the evolution of Orthodox liturgy. By treating liturgics, seriously and reverently, as an object for historical study, </w:t>
      </w:r>
      <w:proofErr w:type="spellStart"/>
      <w:r w:rsidRPr="007D40B2">
        <w:rPr>
          <w:rFonts w:ascii="Palatino Linotype" w:hAnsi="Palatino Linotype"/>
        </w:rPr>
        <w:t>Schmemann</w:t>
      </w:r>
      <w:proofErr w:type="spellEnd"/>
      <w:r w:rsidRPr="007D40B2">
        <w:rPr>
          <w:rFonts w:ascii="Palatino Linotype" w:hAnsi="Palatino Linotype"/>
        </w:rPr>
        <w:t xml:space="preserve"> could further two distinct but related agendas: by identifying liturgy as a meaningful human product, he could engage with its meaning; and by studying its historical development, he could reject as naïve and complacent any insistence that the Orthodox liturgy is static in its perfection.</w:t>
      </w:r>
    </w:p>
    <w:p w:rsidR="00526D25" w:rsidRPr="007D40B2" w:rsidRDefault="00526D25" w:rsidP="00526D25">
      <w:pPr>
        <w:pStyle w:val="NormalWeb"/>
        <w:spacing w:before="0" w:beforeAutospacing="0" w:after="0" w:afterAutospacing="0"/>
        <w:jc w:val="both"/>
        <w:rPr>
          <w:rFonts w:ascii="Palatino Linotype" w:hAnsi="Palatino Linotype"/>
        </w:rPr>
      </w:pPr>
    </w:p>
    <w:p w:rsidR="00526D25" w:rsidRPr="007D40B2" w:rsidRDefault="00526D25" w:rsidP="00526D25">
      <w:pPr>
        <w:jc w:val="both"/>
        <w:rPr>
          <w:rFonts w:ascii="Palatino Linotype" w:hAnsi="Palatino Linotype"/>
          <w:b/>
          <w:bCs/>
        </w:rPr>
      </w:pPr>
      <w:r w:rsidRPr="007D40B2">
        <w:rPr>
          <w:rFonts w:ascii="Palatino Linotype" w:hAnsi="Palatino Linotype"/>
        </w:rPr>
        <w:t xml:space="preserve">The second major area for liturgical study amongst the Orthodox is chiefly preoccupied with the theological exposition of liturgical worship in systematic terms. An early specimen of this approach to the liturgy is arguably the </w:t>
      </w:r>
      <w:r w:rsidRPr="007D40B2">
        <w:rPr>
          <w:rFonts w:ascii="Palatino Linotype" w:hAnsi="Palatino Linotype"/>
          <w:i/>
          <w:iCs/>
        </w:rPr>
        <w:t xml:space="preserve">Commentary on the Divine Liturgy </w:t>
      </w:r>
      <w:r w:rsidRPr="007D40B2">
        <w:rPr>
          <w:rFonts w:ascii="Palatino Linotype" w:hAnsi="Palatino Linotype"/>
        </w:rPr>
        <w:t xml:space="preserve">by Nicholas </w:t>
      </w:r>
      <w:proofErr w:type="spellStart"/>
      <w:r w:rsidRPr="007D40B2">
        <w:rPr>
          <w:rFonts w:ascii="Palatino Linotype" w:hAnsi="Palatino Linotype"/>
        </w:rPr>
        <w:t>Cabasilas</w:t>
      </w:r>
      <w:proofErr w:type="spellEnd"/>
      <w:r w:rsidRPr="007D40B2">
        <w:rPr>
          <w:rFonts w:ascii="Palatino Linotype" w:hAnsi="Palatino Linotype"/>
        </w:rPr>
        <w:t xml:space="preserve"> (c. 1319/21-</w:t>
      </w:r>
      <w:proofErr w:type="gramStart"/>
      <w:r w:rsidRPr="007D40B2">
        <w:rPr>
          <w:rFonts w:ascii="Palatino Linotype" w:hAnsi="Palatino Linotype"/>
        </w:rPr>
        <w:t>?1391</w:t>
      </w:r>
      <w:proofErr w:type="gramEnd"/>
      <w:r w:rsidRPr="007D40B2">
        <w:rPr>
          <w:rFonts w:ascii="Palatino Linotype" w:hAnsi="Palatino Linotype"/>
        </w:rPr>
        <w:t xml:space="preserve">), though it must be added at once that </w:t>
      </w:r>
      <w:proofErr w:type="spellStart"/>
      <w:r w:rsidRPr="007D40B2">
        <w:rPr>
          <w:rFonts w:ascii="Palatino Linotype" w:hAnsi="Palatino Linotype"/>
        </w:rPr>
        <w:t>Cabasilas</w:t>
      </w:r>
      <w:proofErr w:type="spellEnd"/>
      <w:r w:rsidRPr="007D40B2">
        <w:rPr>
          <w:rFonts w:ascii="Palatino Linotype" w:hAnsi="Palatino Linotype"/>
        </w:rPr>
        <w:t xml:space="preserve">’ commentary was by modern standards more dramatic than systematic: he had little evident interest in articulating a theological vision on the basis of the liturgy, and instead focussed on linking the sequence of prayers in the liturgy to (e.g.) the life of Christ. Modern research in this domain is compatible with a serious historical interest in the subject, but such an interest is still ancillary to the project of systematically account for the theological meaning of the liturgy. A prime example of such an account is to be found in the writings of John </w:t>
      </w:r>
      <w:proofErr w:type="spellStart"/>
      <w:r w:rsidRPr="007D40B2">
        <w:rPr>
          <w:rFonts w:ascii="Palatino Linotype" w:hAnsi="Palatino Linotype"/>
        </w:rPr>
        <w:t>Zizioulas</w:t>
      </w:r>
      <w:proofErr w:type="spellEnd"/>
      <w:r w:rsidRPr="007D40B2">
        <w:rPr>
          <w:rFonts w:ascii="Palatino Linotype" w:hAnsi="Palatino Linotype"/>
        </w:rPr>
        <w:t xml:space="preserve"> (born 1931), Metropolitan of </w:t>
      </w:r>
      <w:proofErr w:type="spellStart"/>
      <w:r w:rsidRPr="007D40B2">
        <w:rPr>
          <w:rFonts w:ascii="Palatino Linotype" w:hAnsi="Palatino Linotype"/>
        </w:rPr>
        <w:t>Pergamon</w:t>
      </w:r>
      <w:proofErr w:type="spellEnd"/>
      <w:r w:rsidRPr="007D40B2">
        <w:rPr>
          <w:rFonts w:ascii="Palatino Linotype" w:hAnsi="Palatino Linotype"/>
        </w:rPr>
        <w:t xml:space="preserve"> and sometime professor of systematic theology in the University of Glasgow (as well as visiting professor in the University of Geneva, King’s College London and the Gregorian University).</w:t>
      </w:r>
    </w:p>
    <w:p w:rsidR="00526D25" w:rsidRPr="007D40B2" w:rsidRDefault="00526D25" w:rsidP="00526D25">
      <w:pPr>
        <w:jc w:val="both"/>
        <w:rPr>
          <w:rFonts w:ascii="Palatino Linotype" w:hAnsi="Palatino Linotype"/>
        </w:rPr>
      </w:pP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Zizioulas</w:t>
      </w:r>
      <w:proofErr w:type="spellEnd"/>
      <w:r w:rsidRPr="007D40B2">
        <w:rPr>
          <w:rFonts w:ascii="Palatino Linotype" w:hAnsi="Palatino Linotype"/>
        </w:rPr>
        <w:t xml:space="preserve"> seeks to ground a robust theological project on ontological reality of personhood, i.e., on the claim that persons are ontological basic (rather than, say, temporary expressions of an underlying reality), by exploring the ways in which an ‘ontology of personhood’ bears on Trinitarian theology, Christology, </w:t>
      </w:r>
      <w:proofErr w:type="spellStart"/>
      <w:r w:rsidRPr="007D40B2">
        <w:rPr>
          <w:rFonts w:ascii="Palatino Linotype" w:hAnsi="Palatino Linotype"/>
        </w:rPr>
        <w:t>Pneumatology</w:t>
      </w:r>
      <w:proofErr w:type="spellEnd"/>
      <w:r w:rsidRPr="007D40B2">
        <w:rPr>
          <w:rFonts w:ascii="Palatino Linotype" w:hAnsi="Palatino Linotype"/>
        </w:rPr>
        <w:t xml:space="preserve">, eschatology, ecclesiology and above all sacramental theology. His interpretation of catholicity will be familiar from our consideration (in Unit One, above) of </w:t>
      </w:r>
      <w:proofErr w:type="spellStart"/>
      <w:r w:rsidRPr="007D40B2">
        <w:rPr>
          <w:rFonts w:ascii="Palatino Linotype" w:hAnsi="Palatino Linotype"/>
          <w:i/>
          <w:iCs/>
        </w:rPr>
        <w:t>sobornost</w:t>
      </w:r>
      <w:proofErr w:type="spellEnd"/>
      <w:r w:rsidRPr="007D40B2">
        <w:rPr>
          <w:rFonts w:ascii="Palatino Linotype" w:hAnsi="Palatino Linotype"/>
          <w:i/>
          <w:iCs/>
        </w:rPr>
        <w:t xml:space="preserve"> </w:t>
      </w:r>
      <w:r w:rsidRPr="007D40B2">
        <w:rPr>
          <w:rFonts w:ascii="Palatino Linotype" w:hAnsi="Palatino Linotype"/>
        </w:rPr>
        <w:t xml:space="preserve">according to </w:t>
      </w:r>
      <w:proofErr w:type="spellStart"/>
      <w:r w:rsidRPr="007D40B2">
        <w:rPr>
          <w:rFonts w:ascii="Palatino Linotype" w:hAnsi="Palatino Linotype"/>
        </w:rPr>
        <w:t>Khomiakoff</w:t>
      </w:r>
      <w:proofErr w:type="spellEnd"/>
      <w:r w:rsidRPr="007D40B2">
        <w:rPr>
          <w:rFonts w:ascii="Palatino Linotype" w:hAnsi="Palatino Linotype"/>
        </w:rPr>
        <w:t xml:space="preserve"> and </w:t>
      </w:r>
      <w:proofErr w:type="spellStart"/>
      <w:r w:rsidRPr="007D40B2">
        <w:rPr>
          <w:rFonts w:ascii="Palatino Linotype" w:hAnsi="Palatino Linotype"/>
        </w:rPr>
        <w:t>Bulgakov</w:t>
      </w:r>
      <w:proofErr w:type="spellEnd"/>
      <w:r w:rsidRPr="007D40B2">
        <w:rPr>
          <w:rFonts w:ascii="Palatino Linotype" w:hAnsi="Palatino Linotype"/>
        </w:rPr>
        <w:t xml:space="preserve">, but </w:t>
      </w:r>
      <w:proofErr w:type="spellStart"/>
      <w:r w:rsidRPr="007D40B2">
        <w:rPr>
          <w:rFonts w:ascii="Palatino Linotype" w:hAnsi="Palatino Linotype"/>
        </w:rPr>
        <w:t>Zizioulas</w:t>
      </w:r>
      <w:proofErr w:type="spellEnd"/>
      <w:r w:rsidRPr="007D40B2">
        <w:rPr>
          <w:rFonts w:ascii="Palatino Linotype" w:hAnsi="Palatino Linotype"/>
        </w:rPr>
        <w:t xml:space="preserve"> goes further in claiming that the fullness and wholeness of the Body of Christ is portrayed in </w:t>
      </w:r>
      <w:proofErr w:type="spellStart"/>
      <w:r w:rsidRPr="007D40B2">
        <w:rPr>
          <w:rFonts w:ascii="Palatino Linotype" w:hAnsi="Palatino Linotype"/>
        </w:rPr>
        <w:t>eucharistic</w:t>
      </w:r>
      <w:proofErr w:type="spellEnd"/>
      <w:r w:rsidRPr="007D40B2">
        <w:rPr>
          <w:rFonts w:ascii="Palatino Linotype" w:hAnsi="Palatino Linotype"/>
        </w:rPr>
        <w:t xml:space="preserve"> communion with its characteristically strong eschatological orientation. Like </w:t>
      </w:r>
      <w:proofErr w:type="spellStart"/>
      <w:r w:rsidRPr="007D40B2">
        <w:rPr>
          <w:rFonts w:ascii="Palatino Linotype" w:hAnsi="Palatino Linotype"/>
        </w:rPr>
        <w:t>Schmemann</w:t>
      </w:r>
      <w:proofErr w:type="spellEnd"/>
      <w:r w:rsidRPr="007D40B2">
        <w:rPr>
          <w:rFonts w:ascii="Palatino Linotype" w:hAnsi="Palatino Linotype"/>
        </w:rPr>
        <w:t xml:space="preserve">, </w:t>
      </w:r>
      <w:proofErr w:type="spellStart"/>
      <w:r w:rsidRPr="007D40B2">
        <w:rPr>
          <w:rFonts w:ascii="Palatino Linotype" w:hAnsi="Palatino Linotype"/>
        </w:rPr>
        <w:t>Zizioulas</w:t>
      </w:r>
      <w:proofErr w:type="spellEnd"/>
      <w:r w:rsidRPr="007D40B2">
        <w:rPr>
          <w:rFonts w:ascii="Palatino Linotype" w:hAnsi="Palatino Linotype"/>
        </w:rPr>
        <w:t xml:space="preserve"> is critical of pietistic and otherwise individualistic misunderstandings of the theological significance of liturgical worship. However, </w:t>
      </w:r>
      <w:proofErr w:type="spellStart"/>
      <w:r w:rsidRPr="007D40B2">
        <w:rPr>
          <w:rFonts w:ascii="Palatino Linotype" w:hAnsi="Palatino Linotype"/>
        </w:rPr>
        <w:t>Zizioulas</w:t>
      </w:r>
      <w:proofErr w:type="spellEnd"/>
      <w:r w:rsidRPr="007D40B2">
        <w:rPr>
          <w:rFonts w:ascii="Palatino Linotype" w:hAnsi="Palatino Linotype"/>
        </w:rPr>
        <w:t xml:space="preserve"> extends this basic point by insisting that the Eucharist itself discloses important facts about how we as humans are and how we are to relate to each other and to God. Throughout his works, </w:t>
      </w:r>
      <w:proofErr w:type="spellStart"/>
      <w:r w:rsidRPr="007D40B2">
        <w:rPr>
          <w:rFonts w:ascii="Palatino Linotype" w:hAnsi="Palatino Linotype"/>
        </w:rPr>
        <w:t>Zizioulas</w:t>
      </w:r>
      <w:proofErr w:type="spellEnd"/>
      <w:r w:rsidRPr="007D40B2">
        <w:rPr>
          <w:rFonts w:ascii="Palatino Linotype" w:hAnsi="Palatino Linotype"/>
        </w:rPr>
        <w:t xml:space="preserve"> is aware of the ambivalence of the English word ‘communion,’ which is broader in application than </w:t>
      </w:r>
      <w:proofErr w:type="spellStart"/>
      <w:r w:rsidRPr="007D40B2">
        <w:rPr>
          <w:rFonts w:ascii="Palatino Linotype" w:hAnsi="Palatino Linotype"/>
        </w:rPr>
        <w:t>eucharistic</w:t>
      </w:r>
      <w:proofErr w:type="spellEnd"/>
      <w:r w:rsidRPr="007D40B2">
        <w:rPr>
          <w:rFonts w:ascii="Palatino Linotype" w:hAnsi="Palatino Linotype"/>
        </w:rPr>
        <w:t xml:space="preserve"> communion – but </w:t>
      </w:r>
      <w:proofErr w:type="spellStart"/>
      <w:r w:rsidRPr="007D40B2">
        <w:rPr>
          <w:rFonts w:ascii="Palatino Linotype" w:hAnsi="Palatino Linotype"/>
        </w:rPr>
        <w:t>Zizioulas</w:t>
      </w:r>
      <w:proofErr w:type="spellEnd"/>
      <w:r w:rsidRPr="007D40B2">
        <w:rPr>
          <w:rFonts w:ascii="Palatino Linotype" w:hAnsi="Palatino Linotype"/>
        </w:rPr>
        <w:t xml:space="preserve"> would find in any communion worthy of the name, a replication of the ontological relationships between persons that are exemplified in the </w:t>
      </w:r>
      <w:proofErr w:type="spellStart"/>
      <w:r w:rsidRPr="007D40B2">
        <w:rPr>
          <w:rFonts w:ascii="Palatino Linotype" w:hAnsi="Palatino Linotype"/>
        </w:rPr>
        <w:t>eucharistic</w:t>
      </w:r>
      <w:proofErr w:type="spellEnd"/>
      <w:r w:rsidRPr="007D40B2">
        <w:rPr>
          <w:rFonts w:ascii="Palatino Linotype" w:hAnsi="Palatino Linotype"/>
        </w:rPr>
        <w:t xml:space="preserve"> liturgy. In this way, Eucharistic worship is guaranteed to play a fundamental role in </w:t>
      </w:r>
      <w:proofErr w:type="spellStart"/>
      <w:r w:rsidRPr="007D40B2">
        <w:rPr>
          <w:rFonts w:ascii="Palatino Linotype" w:hAnsi="Palatino Linotype"/>
        </w:rPr>
        <w:t>Zizioulas</w:t>
      </w:r>
      <w:proofErr w:type="spellEnd"/>
      <w:r w:rsidRPr="007D40B2">
        <w:rPr>
          <w:rFonts w:ascii="Palatino Linotype" w:hAnsi="Palatino Linotype"/>
        </w:rPr>
        <w:t>’ systematic theology.</w:t>
      </w:r>
    </w:p>
    <w:p w:rsidR="00526D25" w:rsidRPr="007D40B2" w:rsidRDefault="00526D25" w:rsidP="00526D25">
      <w:pPr>
        <w:jc w:val="center"/>
        <w:rPr>
          <w:rFonts w:ascii="Palatino Linotype" w:hAnsi="Palatino Linotype"/>
          <w:i/>
          <w:iCs/>
        </w:rPr>
      </w:pPr>
      <w:r w:rsidRPr="007D40B2">
        <w:rPr>
          <w:rFonts w:ascii="Palatino Linotype" w:hAnsi="Palatino Linotype"/>
        </w:rPr>
        <w:br w:type="page"/>
      </w:r>
      <w:r w:rsidRPr="007D40B2">
        <w:rPr>
          <w:rFonts w:ascii="Palatino Linotype" w:hAnsi="Palatino Linotype"/>
          <w:i/>
          <w:iCs/>
        </w:rPr>
        <w:lastRenderedPageBreak/>
        <w:t xml:space="preserve">Alexander </w:t>
      </w:r>
      <w:proofErr w:type="spellStart"/>
      <w:r w:rsidRPr="007D40B2">
        <w:rPr>
          <w:rFonts w:ascii="Palatino Linotype" w:hAnsi="Palatino Linotype"/>
          <w:i/>
          <w:iCs/>
        </w:rPr>
        <w:t>Schmemann</w:t>
      </w:r>
      <w:proofErr w:type="spellEnd"/>
    </w:p>
    <w:p w:rsidR="00526D25" w:rsidRPr="007D40B2" w:rsidRDefault="00526D25" w:rsidP="00526D25">
      <w:pPr>
        <w:jc w:val="center"/>
        <w:rPr>
          <w:rFonts w:ascii="Palatino Linotype" w:hAnsi="Palatino Linotype"/>
          <w:i/>
          <w:iCs/>
        </w:rPr>
      </w:pPr>
    </w:p>
    <w:p w:rsidR="00526D25" w:rsidRPr="007D40B2" w:rsidRDefault="00526D25" w:rsidP="00526D25">
      <w:pPr>
        <w:jc w:val="both"/>
        <w:rPr>
          <w:rFonts w:ascii="Palatino Linotype" w:hAnsi="Palatino Linotype"/>
        </w:rPr>
      </w:pPr>
      <w:r w:rsidRPr="007D40B2">
        <w:rPr>
          <w:rFonts w:ascii="Palatino Linotype" w:hAnsi="Palatino Linotype"/>
        </w:rPr>
        <w:t>Source:</w:t>
      </w:r>
    </w:p>
    <w:p w:rsidR="00526D25" w:rsidRPr="007D40B2" w:rsidRDefault="00526D25" w:rsidP="00526D25">
      <w:pPr>
        <w:jc w:val="both"/>
        <w:rPr>
          <w:rFonts w:ascii="Palatino Linotype" w:hAnsi="Palatino Linotype"/>
        </w:rPr>
      </w:pPr>
      <w:r w:rsidRPr="007D40B2">
        <w:rPr>
          <w:rFonts w:ascii="Palatino Linotype" w:hAnsi="Palatino Linotype"/>
        </w:rPr>
        <w:t xml:space="preserve">‘The task and method of liturgical theology,’ in </w:t>
      </w:r>
      <w:r w:rsidRPr="007D40B2">
        <w:rPr>
          <w:rFonts w:ascii="Palatino Linotype" w:hAnsi="Palatino Linotype"/>
          <w:i/>
          <w:iCs/>
        </w:rPr>
        <w:t>Introduction to Liturgical Theology</w:t>
      </w:r>
      <w:r w:rsidRPr="007D40B2">
        <w:rPr>
          <w:rFonts w:ascii="Palatino Linotype" w:hAnsi="Palatino Linotype"/>
        </w:rPr>
        <w:t>, second edition</w:t>
      </w:r>
      <w:r>
        <w:rPr>
          <w:rFonts w:ascii="Palatino Linotype" w:hAnsi="Palatino Linotype"/>
        </w:rPr>
        <w:t xml:space="preserve">, </w:t>
      </w:r>
      <w:r w:rsidRPr="007D40B2">
        <w:rPr>
          <w:rFonts w:ascii="Palatino Linotype" w:hAnsi="Palatino Linotype"/>
        </w:rPr>
        <w:t>Leighton Buzzard: Faith Press, 1975</w:t>
      </w:r>
      <w:r>
        <w:rPr>
          <w:rFonts w:ascii="Palatino Linotype" w:hAnsi="Palatino Linotype"/>
        </w:rPr>
        <w:t>:</w:t>
      </w:r>
      <w:r w:rsidRPr="007D40B2">
        <w:rPr>
          <w:rFonts w:ascii="Palatino Linotype" w:hAnsi="Palatino Linotype"/>
        </w:rPr>
        <w:t xml:space="preserve"> 9-27</w:t>
      </w:r>
      <w:r>
        <w:rPr>
          <w:rFonts w:ascii="Palatino Linotype" w:hAnsi="Palatino Linotype"/>
        </w:rPr>
        <w:t>.</w:t>
      </w:r>
    </w:p>
    <w:p w:rsidR="00526D25" w:rsidRPr="007D40B2" w:rsidRDefault="00526D25" w:rsidP="00526D25">
      <w:pPr>
        <w:jc w:val="both"/>
        <w:rPr>
          <w:rFonts w:ascii="Palatino Linotype" w:hAnsi="Palatino Linotype"/>
        </w:rPr>
      </w:pPr>
    </w:p>
    <w:p w:rsidR="00526D25" w:rsidRPr="007D40B2" w:rsidRDefault="00526D25" w:rsidP="00526D25">
      <w:pPr>
        <w:jc w:val="both"/>
        <w:rPr>
          <w:rFonts w:ascii="Palatino Linotype" w:hAnsi="Palatino Linotype"/>
        </w:rPr>
      </w:pPr>
      <w:r w:rsidRPr="007D40B2">
        <w:rPr>
          <w:rFonts w:ascii="Palatino Linotype" w:hAnsi="Palatino Linotype"/>
        </w:rPr>
        <w:t>Other major publications:</w:t>
      </w:r>
    </w:p>
    <w:p w:rsidR="00526D25" w:rsidRPr="007D40B2" w:rsidRDefault="00526D25" w:rsidP="00526D25">
      <w:pPr>
        <w:jc w:val="both"/>
        <w:rPr>
          <w:rFonts w:ascii="Palatino Linotype" w:hAnsi="Palatino Linotype"/>
        </w:rPr>
      </w:pPr>
      <w:r w:rsidRPr="007D40B2">
        <w:rPr>
          <w:rFonts w:ascii="Palatino Linotype" w:hAnsi="Palatino Linotype"/>
          <w:i/>
          <w:iCs/>
        </w:rPr>
        <w:t>For the Life of the World: Sacraments and Orthodoxy</w:t>
      </w:r>
      <w:r>
        <w:rPr>
          <w:rFonts w:ascii="Palatino Linotype" w:hAnsi="Palatino Linotype"/>
        </w:rPr>
        <w:t xml:space="preserve">, </w:t>
      </w:r>
      <w:r w:rsidRPr="007D40B2">
        <w:rPr>
          <w:rFonts w:ascii="Palatino Linotype" w:hAnsi="Palatino Linotype"/>
        </w:rPr>
        <w:t>Crestwood, NY: SVS Press, 1970</w:t>
      </w:r>
      <w:r>
        <w:rPr>
          <w:rFonts w:ascii="Palatino Linotype" w:hAnsi="Palatino Linotype"/>
        </w:rPr>
        <w:t>.</w:t>
      </w:r>
    </w:p>
    <w:p w:rsidR="00526D25" w:rsidRPr="007D40B2" w:rsidRDefault="00526D25" w:rsidP="00526D25">
      <w:pPr>
        <w:jc w:val="both"/>
        <w:rPr>
          <w:rFonts w:ascii="Palatino Linotype" w:hAnsi="Palatino Linotype"/>
        </w:rPr>
      </w:pPr>
      <w:r w:rsidRPr="007D40B2">
        <w:rPr>
          <w:rFonts w:ascii="Palatino Linotype" w:hAnsi="Palatino Linotype"/>
          <w:i/>
          <w:iCs/>
        </w:rPr>
        <w:t>Liturgy and Life: Christian Development Through Liturgical Experience</w:t>
      </w:r>
      <w:r>
        <w:rPr>
          <w:rFonts w:ascii="Palatino Linotype" w:hAnsi="Palatino Linotype"/>
        </w:rPr>
        <w:t xml:space="preserve">, </w:t>
      </w:r>
      <w:r w:rsidRPr="007D40B2">
        <w:rPr>
          <w:rFonts w:ascii="Palatino Linotype" w:hAnsi="Palatino Linotype"/>
        </w:rPr>
        <w:t>New York, NY: Dept. of Religious Education of the Orthodox Church in America, 1974</w:t>
      </w:r>
      <w:r>
        <w:rPr>
          <w:rFonts w:ascii="Palatino Linotype" w:hAnsi="Palatino Linotype"/>
        </w:rPr>
        <w:t>.</w:t>
      </w:r>
      <w:r w:rsidRPr="007D40B2">
        <w:rPr>
          <w:rFonts w:ascii="Palatino Linotype" w:hAnsi="Palatino Linotype"/>
        </w:rPr>
        <w:t xml:space="preserve"> </w:t>
      </w:r>
    </w:p>
    <w:p w:rsidR="00526D25" w:rsidRPr="007D40B2" w:rsidRDefault="00526D25" w:rsidP="00526D25">
      <w:pPr>
        <w:jc w:val="both"/>
        <w:rPr>
          <w:rFonts w:ascii="Palatino Linotype" w:hAnsi="Palatino Linotype"/>
        </w:rPr>
      </w:pPr>
      <w:r w:rsidRPr="007D40B2">
        <w:rPr>
          <w:rFonts w:ascii="Palatino Linotype" w:hAnsi="Palatino Linotype"/>
          <w:i/>
          <w:iCs/>
        </w:rPr>
        <w:t>Of Water and the Spirit: A Liturgical Study of Baptism</w:t>
      </w:r>
      <w:r>
        <w:rPr>
          <w:rFonts w:ascii="Palatino Linotype" w:hAnsi="Palatino Linotype"/>
        </w:rPr>
        <w:t xml:space="preserve">, </w:t>
      </w:r>
      <w:r w:rsidRPr="007D40B2">
        <w:rPr>
          <w:rFonts w:ascii="Palatino Linotype" w:hAnsi="Palatino Linotype"/>
        </w:rPr>
        <w:t>Crestwood, NY: SVS Press, 1974</w:t>
      </w:r>
      <w:r>
        <w:rPr>
          <w:rFonts w:ascii="Palatino Linotype" w:hAnsi="Palatino Linotype"/>
        </w:rPr>
        <w:t>.</w:t>
      </w:r>
    </w:p>
    <w:p w:rsidR="00526D25" w:rsidRPr="007D40B2" w:rsidRDefault="00526D25" w:rsidP="00526D25">
      <w:pPr>
        <w:jc w:val="both"/>
        <w:rPr>
          <w:rFonts w:ascii="Palatino Linotype" w:hAnsi="Palatino Linotype"/>
        </w:rPr>
      </w:pPr>
      <w:r w:rsidRPr="007D40B2">
        <w:rPr>
          <w:rFonts w:ascii="Palatino Linotype" w:hAnsi="Palatino Linotype"/>
          <w:i/>
          <w:iCs/>
        </w:rPr>
        <w:t xml:space="preserve">Church, World, </w:t>
      </w:r>
      <w:proofErr w:type="gramStart"/>
      <w:r w:rsidRPr="007D40B2">
        <w:rPr>
          <w:rFonts w:ascii="Palatino Linotype" w:hAnsi="Palatino Linotype"/>
          <w:i/>
          <w:iCs/>
        </w:rPr>
        <w:t>Mission</w:t>
      </w:r>
      <w:proofErr w:type="gramEnd"/>
      <w:r w:rsidRPr="007D40B2">
        <w:rPr>
          <w:rFonts w:ascii="Palatino Linotype" w:hAnsi="Palatino Linotype"/>
          <w:i/>
          <w:iCs/>
        </w:rPr>
        <w:t>: Reflections on Orthodoxy in the West</w:t>
      </w:r>
      <w:r>
        <w:rPr>
          <w:rFonts w:ascii="Palatino Linotype" w:hAnsi="Palatino Linotype"/>
        </w:rPr>
        <w:t xml:space="preserve">, </w:t>
      </w:r>
      <w:r w:rsidRPr="007D40B2">
        <w:rPr>
          <w:rFonts w:ascii="Palatino Linotype" w:hAnsi="Palatino Linotype"/>
        </w:rPr>
        <w:t>Crestwood, NY: SVS Press, 1979</w:t>
      </w:r>
      <w:r>
        <w:rPr>
          <w:rFonts w:ascii="Palatino Linotype" w:hAnsi="Palatino Linotype"/>
        </w:rPr>
        <w:t>.</w:t>
      </w:r>
    </w:p>
    <w:p w:rsidR="00526D25" w:rsidRPr="007D40B2" w:rsidRDefault="00526D25" w:rsidP="00526D25">
      <w:pPr>
        <w:jc w:val="both"/>
        <w:rPr>
          <w:rFonts w:ascii="Palatino Linotype" w:hAnsi="Palatino Linotype"/>
        </w:rPr>
      </w:pPr>
      <w:r w:rsidRPr="007D40B2">
        <w:rPr>
          <w:rFonts w:ascii="Palatino Linotype" w:hAnsi="Palatino Linotype"/>
          <w:i/>
          <w:iCs/>
        </w:rPr>
        <w:t>The Eucharist: Sacrament of the Kingdom</w:t>
      </w:r>
      <w:r>
        <w:rPr>
          <w:rFonts w:ascii="Palatino Linotype" w:hAnsi="Palatino Linotype"/>
        </w:rPr>
        <w:t xml:space="preserve">, </w:t>
      </w:r>
      <w:r w:rsidRPr="007D40B2">
        <w:rPr>
          <w:rFonts w:ascii="Palatino Linotype" w:hAnsi="Palatino Linotype"/>
        </w:rPr>
        <w:t>Crestwood, NY: SVS Press, 1988</w:t>
      </w:r>
      <w:r>
        <w:rPr>
          <w:rFonts w:ascii="Palatino Linotype" w:hAnsi="Palatino Linotype"/>
        </w:rPr>
        <w:t>.</w:t>
      </w:r>
    </w:p>
    <w:p w:rsidR="00526D25" w:rsidRPr="007D40B2" w:rsidRDefault="00526D25" w:rsidP="00526D25">
      <w:pPr>
        <w:jc w:val="both"/>
        <w:rPr>
          <w:rFonts w:ascii="Palatino Linotype" w:hAnsi="Palatino Linotype"/>
        </w:rPr>
      </w:pPr>
    </w:p>
    <w:p w:rsidR="00526D25" w:rsidRPr="007D40B2" w:rsidRDefault="00526D25" w:rsidP="00526D25">
      <w:pPr>
        <w:jc w:val="both"/>
        <w:rPr>
          <w:rFonts w:ascii="Palatino Linotype" w:hAnsi="Palatino Linotype"/>
        </w:rPr>
      </w:pPr>
      <w:r w:rsidRPr="007D40B2">
        <w:rPr>
          <w:rFonts w:ascii="Palatino Linotype" w:hAnsi="Palatino Linotype"/>
        </w:rPr>
        <w:t>Secondary literature:</w:t>
      </w: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Grisbrooke</w:t>
      </w:r>
      <w:proofErr w:type="spellEnd"/>
      <w:r w:rsidRPr="007D40B2">
        <w:rPr>
          <w:rFonts w:ascii="Palatino Linotype" w:hAnsi="Palatino Linotype"/>
        </w:rPr>
        <w:t>, W. J</w:t>
      </w:r>
      <w:r>
        <w:rPr>
          <w:rFonts w:ascii="Palatino Linotype" w:hAnsi="Palatino Linotype"/>
        </w:rPr>
        <w:t>.,</w:t>
      </w:r>
      <w:r w:rsidRPr="007D40B2">
        <w:rPr>
          <w:rFonts w:ascii="Palatino Linotype" w:hAnsi="Palatino Linotype"/>
        </w:rPr>
        <w:t xml:space="preserve"> ‘An Orthodox Approach to Liturgical Theology: The Work of Alexander </w:t>
      </w:r>
      <w:proofErr w:type="spellStart"/>
      <w:r w:rsidRPr="007D40B2">
        <w:rPr>
          <w:rFonts w:ascii="Palatino Linotype" w:hAnsi="Palatino Linotype"/>
        </w:rPr>
        <w:t>Schmemann</w:t>
      </w:r>
      <w:proofErr w:type="spellEnd"/>
      <w:r w:rsidRPr="007D40B2">
        <w:rPr>
          <w:rFonts w:ascii="Palatino Linotype" w:hAnsi="Palatino Linotype"/>
        </w:rPr>
        <w:t xml:space="preserve">,’ </w:t>
      </w:r>
      <w:proofErr w:type="spellStart"/>
      <w:r w:rsidRPr="007D40B2">
        <w:rPr>
          <w:rFonts w:ascii="Palatino Linotype" w:hAnsi="Palatino Linotype"/>
          <w:i/>
          <w:iCs/>
        </w:rPr>
        <w:t>Studia</w:t>
      </w:r>
      <w:proofErr w:type="spellEnd"/>
      <w:r w:rsidRPr="007D40B2">
        <w:rPr>
          <w:rFonts w:ascii="Palatino Linotype" w:hAnsi="Palatino Linotype"/>
          <w:i/>
          <w:iCs/>
        </w:rPr>
        <w:t xml:space="preserve"> </w:t>
      </w:r>
      <w:proofErr w:type="spellStart"/>
      <w:r w:rsidRPr="007D40B2">
        <w:rPr>
          <w:rFonts w:ascii="Palatino Linotype" w:hAnsi="Palatino Linotype"/>
          <w:i/>
          <w:iCs/>
        </w:rPr>
        <w:t>liturgica</w:t>
      </w:r>
      <w:proofErr w:type="spellEnd"/>
      <w:r w:rsidRPr="007D40B2">
        <w:rPr>
          <w:rFonts w:ascii="Palatino Linotype" w:hAnsi="Palatino Linotype"/>
          <w:i/>
          <w:iCs/>
        </w:rPr>
        <w:t xml:space="preserve"> </w:t>
      </w:r>
      <w:r w:rsidRPr="007D40B2">
        <w:rPr>
          <w:rFonts w:ascii="Palatino Linotype" w:hAnsi="Palatino Linotype"/>
        </w:rPr>
        <w:t>23 (1993)</w:t>
      </w:r>
      <w:r>
        <w:rPr>
          <w:rFonts w:ascii="Palatino Linotype" w:hAnsi="Palatino Linotype"/>
        </w:rPr>
        <w:t>:</w:t>
      </w:r>
      <w:r w:rsidRPr="007D40B2">
        <w:rPr>
          <w:rFonts w:ascii="Palatino Linotype" w:hAnsi="Palatino Linotype"/>
        </w:rPr>
        <w:t xml:space="preserve"> 140-</w:t>
      </w:r>
      <w:r>
        <w:rPr>
          <w:rFonts w:ascii="Palatino Linotype" w:hAnsi="Palatino Linotype"/>
        </w:rPr>
        <w:t>1</w:t>
      </w:r>
      <w:r w:rsidRPr="007D40B2">
        <w:rPr>
          <w:rFonts w:ascii="Palatino Linotype" w:hAnsi="Palatino Linotype"/>
        </w:rPr>
        <w:t>57</w:t>
      </w:r>
      <w:r>
        <w:rPr>
          <w:rFonts w:ascii="Palatino Linotype" w:hAnsi="Palatino Linotype"/>
        </w:rPr>
        <w:t>.</w:t>
      </w: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Guroian</w:t>
      </w:r>
      <w:proofErr w:type="spellEnd"/>
      <w:r w:rsidRPr="007D40B2">
        <w:rPr>
          <w:rFonts w:ascii="Palatino Linotype" w:hAnsi="Palatino Linotype"/>
        </w:rPr>
        <w:t>,</w:t>
      </w:r>
      <w:r>
        <w:rPr>
          <w:rFonts w:ascii="Palatino Linotype" w:hAnsi="Palatino Linotype"/>
        </w:rPr>
        <w:t xml:space="preserve"> V.</w:t>
      </w:r>
      <w:r w:rsidRPr="007D40B2">
        <w:rPr>
          <w:rFonts w:ascii="Palatino Linotype" w:hAnsi="Palatino Linotype"/>
        </w:rPr>
        <w:t xml:space="preserve"> ‘</w:t>
      </w:r>
      <w:proofErr w:type="gramStart"/>
      <w:r w:rsidRPr="007D40B2">
        <w:rPr>
          <w:rFonts w:ascii="Palatino Linotype" w:hAnsi="Palatino Linotype"/>
        </w:rPr>
        <w:t>An</w:t>
      </w:r>
      <w:proofErr w:type="gramEnd"/>
      <w:r w:rsidRPr="007D40B2">
        <w:rPr>
          <w:rFonts w:ascii="Palatino Linotype" w:hAnsi="Palatino Linotype"/>
        </w:rPr>
        <w:t xml:space="preserve"> Orthodox View of Orthodoxy and Heresy: An Appreciation of Fr Alexander </w:t>
      </w:r>
      <w:proofErr w:type="spellStart"/>
      <w:r w:rsidRPr="007D40B2">
        <w:rPr>
          <w:rFonts w:ascii="Palatino Linotype" w:hAnsi="Palatino Linotype"/>
        </w:rPr>
        <w:t>Schmemann</w:t>
      </w:r>
      <w:proofErr w:type="spellEnd"/>
      <w:r w:rsidRPr="007D40B2">
        <w:rPr>
          <w:rFonts w:ascii="Palatino Linotype" w:hAnsi="Palatino Linotype"/>
        </w:rPr>
        <w:t xml:space="preserve">,’ </w:t>
      </w:r>
      <w:r w:rsidRPr="007D40B2">
        <w:rPr>
          <w:rFonts w:ascii="Palatino Linotype" w:hAnsi="Palatino Linotype"/>
          <w:i/>
          <w:iCs/>
        </w:rPr>
        <w:t xml:space="preserve">Pro Ecclesia </w:t>
      </w:r>
      <w:r w:rsidRPr="007D40B2">
        <w:rPr>
          <w:rFonts w:ascii="Palatino Linotype" w:hAnsi="Palatino Linotype"/>
        </w:rPr>
        <w:t>4 (1995)</w:t>
      </w:r>
      <w:r>
        <w:rPr>
          <w:rFonts w:ascii="Palatino Linotype" w:hAnsi="Palatino Linotype"/>
        </w:rPr>
        <w:t>:</w:t>
      </w:r>
      <w:r w:rsidRPr="007D40B2">
        <w:rPr>
          <w:rFonts w:ascii="Palatino Linotype" w:hAnsi="Palatino Linotype"/>
        </w:rPr>
        <w:t xml:space="preserve"> 79-91</w:t>
      </w:r>
      <w:r>
        <w:rPr>
          <w:rFonts w:ascii="Palatino Linotype" w:hAnsi="Palatino Linotype"/>
        </w:rPr>
        <w:t>.</w:t>
      </w: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Meyendorff</w:t>
      </w:r>
      <w:proofErr w:type="spellEnd"/>
      <w:r w:rsidRPr="007D40B2">
        <w:rPr>
          <w:rFonts w:ascii="Palatino Linotype" w:hAnsi="Palatino Linotype"/>
        </w:rPr>
        <w:t xml:space="preserve">, </w:t>
      </w:r>
      <w:r>
        <w:rPr>
          <w:rFonts w:ascii="Palatino Linotype" w:hAnsi="Palatino Linotype"/>
        </w:rPr>
        <w:t xml:space="preserve">J., </w:t>
      </w:r>
      <w:r w:rsidRPr="007D40B2">
        <w:rPr>
          <w:rFonts w:ascii="Palatino Linotype" w:hAnsi="Palatino Linotype"/>
        </w:rPr>
        <w:t xml:space="preserve">‘Father Alexander </w:t>
      </w:r>
      <w:proofErr w:type="spellStart"/>
      <w:r w:rsidRPr="007D40B2">
        <w:rPr>
          <w:rFonts w:ascii="Palatino Linotype" w:hAnsi="Palatino Linotype"/>
        </w:rPr>
        <w:t>Schmemann</w:t>
      </w:r>
      <w:proofErr w:type="spellEnd"/>
      <w:r w:rsidRPr="007D40B2">
        <w:rPr>
          <w:rFonts w:ascii="Palatino Linotype" w:hAnsi="Palatino Linotype"/>
        </w:rPr>
        <w:t xml:space="preserve">, Dean (1962-1983),’ </w:t>
      </w:r>
      <w:r w:rsidRPr="007D40B2">
        <w:rPr>
          <w:rFonts w:ascii="Palatino Linotype" w:hAnsi="Palatino Linotype"/>
          <w:i/>
          <w:iCs/>
        </w:rPr>
        <w:t xml:space="preserve">St Vladimir’s Orthodox Theological Quarterly </w:t>
      </w:r>
      <w:r w:rsidRPr="007D40B2">
        <w:rPr>
          <w:rFonts w:ascii="Palatino Linotype" w:hAnsi="Palatino Linotype"/>
        </w:rPr>
        <w:t>28 (1984)</w:t>
      </w:r>
      <w:r>
        <w:rPr>
          <w:rFonts w:ascii="Palatino Linotype" w:hAnsi="Palatino Linotype"/>
        </w:rPr>
        <w:t>:</w:t>
      </w:r>
      <w:r w:rsidRPr="007D40B2">
        <w:rPr>
          <w:rFonts w:ascii="Palatino Linotype" w:hAnsi="Palatino Linotype"/>
        </w:rPr>
        <w:t xml:space="preserve"> 3-65</w:t>
      </w:r>
      <w:r>
        <w:rPr>
          <w:rFonts w:ascii="Palatino Linotype" w:hAnsi="Palatino Linotype"/>
        </w:rPr>
        <w:t>.</w:t>
      </w: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Meyendorff</w:t>
      </w:r>
      <w:proofErr w:type="spellEnd"/>
      <w:r w:rsidRPr="007D40B2">
        <w:rPr>
          <w:rFonts w:ascii="Palatino Linotype" w:hAnsi="Palatino Linotype"/>
        </w:rPr>
        <w:t xml:space="preserve">, </w:t>
      </w:r>
      <w:r>
        <w:rPr>
          <w:rFonts w:ascii="Palatino Linotype" w:hAnsi="Palatino Linotype"/>
        </w:rPr>
        <w:t xml:space="preserve">P., </w:t>
      </w:r>
      <w:r w:rsidRPr="007D40B2">
        <w:rPr>
          <w:rFonts w:ascii="Palatino Linotype" w:hAnsi="Palatino Linotype"/>
        </w:rPr>
        <w:t xml:space="preserve">‘The Liturgical Path of Orthodoxy in America,’ </w:t>
      </w:r>
      <w:r w:rsidRPr="007D40B2">
        <w:rPr>
          <w:rFonts w:ascii="Palatino Linotype" w:hAnsi="Palatino Linotype"/>
          <w:i/>
          <w:iCs/>
        </w:rPr>
        <w:t xml:space="preserve">St Vladimir’s Theological Quarterly </w:t>
      </w:r>
      <w:r w:rsidRPr="007D40B2">
        <w:rPr>
          <w:rFonts w:ascii="Palatino Linotype" w:hAnsi="Palatino Linotype"/>
        </w:rPr>
        <w:t>40 (1996)</w:t>
      </w:r>
      <w:r>
        <w:rPr>
          <w:rFonts w:ascii="Palatino Linotype" w:hAnsi="Palatino Linotype"/>
        </w:rPr>
        <w:t>:</w:t>
      </w:r>
      <w:r w:rsidRPr="007D40B2">
        <w:rPr>
          <w:rFonts w:ascii="Palatino Linotype" w:hAnsi="Palatino Linotype"/>
        </w:rPr>
        <w:t xml:space="preserve"> 43-64</w:t>
      </w:r>
      <w:r>
        <w:rPr>
          <w:rFonts w:ascii="Palatino Linotype" w:hAnsi="Palatino Linotype"/>
        </w:rPr>
        <w:t>.</w:t>
      </w: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Plekon</w:t>
      </w:r>
      <w:proofErr w:type="spellEnd"/>
      <w:r w:rsidRPr="007D40B2">
        <w:rPr>
          <w:rFonts w:ascii="Palatino Linotype" w:hAnsi="Palatino Linotype"/>
        </w:rPr>
        <w:t xml:space="preserve">, </w:t>
      </w:r>
      <w:r>
        <w:rPr>
          <w:rFonts w:ascii="Palatino Linotype" w:hAnsi="Palatino Linotype"/>
        </w:rPr>
        <w:t xml:space="preserve">M., </w:t>
      </w:r>
      <w:r w:rsidRPr="007D40B2">
        <w:rPr>
          <w:rFonts w:ascii="Palatino Linotype" w:hAnsi="Palatino Linotype"/>
        </w:rPr>
        <w:t xml:space="preserve">‘The Church, the Eucharist and the Kingdom: Towards an Assessment of Alexander </w:t>
      </w:r>
      <w:proofErr w:type="spellStart"/>
      <w:r w:rsidRPr="007D40B2">
        <w:rPr>
          <w:rFonts w:ascii="Palatino Linotype" w:hAnsi="Palatino Linotype"/>
        </w:rPr>
        <w:t>Schmemann’s</w:t>
      </w:r>
      <w:proofErr w:type="spellEnd"/>
      <w:r w:rsidRPr="007D40B2">
        <w:rPr>
          <w:rFonts w:ascii="Palatino Linotype" w:hAnsi="Palatino Linotype"/>
        </w:rPr>
        <w:t xml:space="preserve"> Theological Legacy,’ </w:t>
      </w:r>
      <w:r w:rsidRPr="007D40B2">
        <w:rPr>
          <w:rFonts w:ascii="Palatino Linotype" w:hAnsi="Palatino Linotype"/>
          <w:i/>
          <w:iCs/>
        </w:rPr>
        <w:t xml:space="preserve">St Vladimir’s Theological Quarterly </w:t>
      </w:r>
      <w:r w:rsidRPr="007D40B2">
        <w:rPr>
          <w:rFonts w:ascii="Palatino Linotype" w:hAnsi="Palatino Linotype"/>
        </w:rPr>
        <w:t>40 (1996)</w:t>
      </w:r>
      <w:r>
        <w:rPr>
          <w:rFonts w:ascii="Palatino Linotype" w:hAnsi="Palatino Linotype"/>
        </w:rPr>
        <w:t>:</w:t>
      </w:r>
      <w:r w:rsidRPr="007D40B2">
        <w:rPr>
          <w:rFonts w:ascii="Palatino Linotype" w:hAnsi="Palatino Linotype"/>
        </w:rPr>
        <w:t xml:space="preserve"> 119-</w:t>
      </w:r>
      <w:r>
        <w:rPr>
          <w:rFonts w:ascii="Palatino Linotype" w:hAnsi="Palatino Linotype"/>
        </w:rPr>
        <w:t>1</w:t>
      </w:r>
      <w:r w:rsidRPr="007D40B2">
        <w:rPr>
          <w:rFonts w:ascii="Palatino Linotype" w:hAnsi="Palatino Linotype"/>
        </w:rPr>
        <w:t>43</w:t>
      </w:r>
      <w:r>
        <w:rPr>
          <w:rFonts w:ascii="Palatino Linotype" w:hAnsi="Palatino Linotype"/>
        </w:rPr>
        <w:t>.</w:t>
      </w: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Pomazansky</w:t>
      </w:r>
      <w:proofErr w:type="spellEnd"/>
      <w:r w:rsidRPr="007D40B2">
        <w:rPr>
          <w:rFonts w:ascii="Palatino Linotype" w:hAnsi="Palatino Linotype"/>
        </w:rPr>
        <w:t>, M</w:t>
      </w:r>
      <w:r>
        <w:rPr>
          <w:rFonts w:ascii="Palatino Linotype" w:hAnsi="Palatino Linotype"/>
        </w:rPr>
        <w:t>.,</w:t>
      </w:r>
      <w:r w:rsidRPr="007D40B2">
        <w:rPr>
          <w:rFonts w:ascii="Palatino Linotype" w:hAnsi="Palatino Linotype"/>
        </w:rPr>
        <w:t xml:space="preserve"> ‘The Liturgical Theology of Fr. A. </w:t>
      </w:r>
      <w:proofErr w:type="spellStart"/>
      <w:r w:rsidRPr="007D40B2">
        <w:rPr>
          <w:rFonts w:ascii="Palatino Linotype" w:hAnsi="Palatino Linotype"/>
        </w:rPr>
        <w:t>Schmemann</w:t>
      </w:r>
      <w:proofErr w:type="spellEnd"/>
      <w:r w:rsidRPr="007D40B2">
        <w:rPr>
          <w:rFonts w:ascii="Palatino Linotype" w:hAnsi="Palatino Linotype"/>
        </w:rPr>
        <w:t xml:space="preserve">,’ in his </w:t>
      </w:r>
      <w:r w:rsidRPr="007D40B2">
        <w:rPr>
          <w:rFonts w:ascii="Palatino Linotype" w:hAnsi="Palatino Linotype"/>
          <w:i/>
          <w:iCs/>
        </w:rPr>
        <w:t>Selected Essays</w:t>
      </w:r>
      <w:r>
        <w:rPr>
          <w:rFonts w:ascii="Palatino Linotype" w:hAnsi="Palatino Linotype"/>
        </w:rPr>
        <w:t xml:space="preserve">, </w:t>
      </w:r>
      <w:proofErr w:type="spellStart"/>
      <w:r w:rsidRPr="007D40B2">
        <w:rPr>
          <w:rFonts w:ascii="Palatino Linotype" w:hAnsi="Palatino Linotype"/>
        </w:rPr>
        <w:t>Jordanville</w:t>
      </w:r>
      <w:proofErr w:type="spellEnd"/>
      <w:r w:rsidRPr="007D40B2">
        <w:rPr>
          <w:rFonts w:ascii="Palatino Linotype" w:hAnsi="Palatino Linotype"/>
        </w:rPr>
        <w:t>, NY: Holy Trinity Monastery, 1996</w:t>
      </w:r>
      <w:r>
        <w:rPr>
          <w:rFonts w:ascii="Palatino Linotype" w:hAnsi="Palatino Linotype"/>
        </w:rPr>
        <w:t>:</w:t>
      </w:r>
      <w:r w:rsidRPr="007D40B2">
        <w:rPr>
          <w:rFonts w:ascii="Palatino Linotype" w:hAnsi="Palatino Linotype"/>
        </w:rPr>
        <w:t xml:space="preserve"> 82-102</w:t>
      </w:r>
      <w:r>
        <w:rPr>
          <w:rFonts w:ascii="Palatino Linotype" w:hAnsi="Palatino Linotype"/>
        </w:rPr>
        <w:t>.</w:t>
      </w:r>
    </w:p>
    <w:p w:rsidR="00526D25" w:rsidRPr="007D40B2" w:rsidRDefault="00526D25" w:rsidP="00526D25">
      <w:pPr>
        <w:jc w:val="both"/>
        <w:rPr>
          <w:rFonts w:ascii="Palatino Linotype" w:hAnsi="Palatino Linotype"/>
        </w:rPr>
      </w:pPr>
    </w:p>
    <w:p w:rsidR="00526D25" w:rsidRPr="007D40B2" w:rsidRDefault="00526D25" w:rsidP="00526D25">
      <w:pPr>
        <w:pStyle w:val="Heading6"/>
        <w:ind w:left="0" w:firstLine="0"/>
        <w:rPr>
          <w:rFonts w:ascii="Palatino Linotype" w:hAnsi="Palatino Linotype"/>
        </w:rPr>
      </w:pPr>
      <w:r w:rsidRPr="007D40B2">
        <w:rPr>
          <w:rFonts w:ascii="Palatino Linotype" w:hAnsi="Palatino Linotype"/>
        </w:rPr>
        <w:t xml:space="preserve">John D. </w:t>
      </w:r>
      <w:proofErr w:type="spellStart"/>
      <w:r w:rsidRPr="007D40B2">
        <w:rPr>
          <w:rFonts w:ascii="Palatino Linotype" w:hAnsi="Palatino Linotype"/>
        </w:rPr>
        <w:t>Zizioulas</w:t>
      </w:r>
      <w:proofErr w:type="spellEnd"/>
    </w:p>
    <w:p w:rsidR="00526D25" w:rsidRPr="007D40B2" w:rsidRDefault="00526D25" w:rsidP="00526D25">
      <w:pPr>
        <w:jc w:val="center"/>
        <w:rPr>
          <w:rFonts w:ascii="Palatino Linotype" w:hAnsi="Palatino Linotype"/>
        </w:rPr>
      </w:pPr>
    </w:p>
    <w:p w:rsidR="00526D25" w:rsidRPr="007D40B2" w:rsidRDefault="00526D25" w:rsidP="00526D25">
      <w:pPr>
        <w:jc w:val="both"/>
        <w:rPr>
          <w:rFonts w:ascii="Palatino Linotype" w:hAnsi="Palatino Linotype"/>
        </w:rPr>
      </w:pPr>
      <w:r w:rsidRPr="007D40B2">
        <w:rPr>
          <w:rFonts w:ascii="Palatino Linotype" w:hAnsi="Palatino Linotype"/>
        </w:rPr>
        <w:t>Source:</w:t>
      </w:r>
    </w:p>
    <w:p w:rsidR="00526D25" w:rsidRPr="007D40B2" w:rsidRDefault="00526D25" w:rsidP="00526D25">
      <w:pPr>
        <w:jc w:val="both"/>
        <w:rPr>
          <w:rFonts w:ascii="Palatino Linotype" w:hAnsi="Palatino Linotype"/>
        </w:rPr>
      </w:pPr>
      <w:r w:rsidRPr="007D40B2">
        <w:rPr>
          <w:rFonts w:ascii="Palatino Linotype" w:hAnsi="Palatino Linotype"/>
        </w:rPr>
        <w:t xml:space="preserve"> ‘Eucharist and Catholicity,’ in </w:t>
      </w:r>
      <w:r w:rsidRPr="007D40B2">
        <w:rPr>
          <w:rFonts w:ascii="Palatino Linotype" w:hAnsi="Palatino Linotype"/>
          <w:i/>
          <w:iCs/>
        </w:rPr>
        <w:t>Being as Communion: Studies in Personhood and the Church</w:t>
      </w:r>
      <w:r>
        <w:rPr>
          <w:rFonts w:ascii="Palatino Linotype" w:hAnsi="Palatino Linotype"/>
        </w:rPr>
        <w:t xml:space="preserve">, </w:t>
      </w:r>
      <w:r w:rsidRPr="007D40B2">
        <w:rPr>
          <w:rFonts w:ascii="Palatino Linotype" w:hAnsi="Palatino Linotype"/>
        </w:rPr>
        <w:t>Crestwood, NY: SVS Press, 1985</w:t>
      </w:r>
      <w:r>
        <w:rPr>
          <w:rFonts w:ascii="Palatino Linotype" w:hAnsi="Palatino Linotype"/>
        </w:rPr>
        <w:t>:</w:t>
      </w:r>
      <w:r w:rsidRPr="007D40B2">
        <w:rPr>
          <w:rFonts w:ascii="Palatino Linotype" w:hAnsi="Palatino Linotype"/>
        </w:rPr>
        <w:t xml:space="preserve"> 143-</w:t>
      </w:r>
      <w:r>
        <w:rPr>
          <w:rFonts w:ascii="Palatino Linotype" w:hAnsi="Palatino Linotype"/>
        </w:rPr>
        <w:t>1</w:t>
      </w:r>
      <w:r w:rsidRPr="007D40B2">
        <w:rPr>
          <w:rFonts w:ascii="Palatino Linotype" w:hAnsi="Palatino Linotype"/>
        </w:rPr>
        <w:t>69</w:t>
      </w:r>
      <w:r>
        <w:rPr>
          <w:rFonts w:ascii="Palatino Linotype" w:hAnsi="Palatino Linotype"/>
        </w:rPr>
        <w:t>.</w:t>
      </w:r>
    </w:p>
    <w:p w:rsidR="00526D25" w:rsidRPr="007D40B2" w:rsidRDefault="00526D25" w:rsidP="00526D25">
      <w:pPr>
        <w:jc w:val="both"/>
        <w:rPr>
          <w:rFonts w:ascii="Palatino Linotype" w:hAnsi="Palatino Linotype"/>
        </w:rPr>
      </w:pPr>
    </w:p>
    <w:p w:rsidR="00526D25" w:rsidRPr="007D40B2" w:rsidRDefault="00526D25" w:rsidP="00526D25">
      <w:pPr>
        <w:jc w:val="both"/>
        <w:rPr>
          <w:rFonts w:ascii="Palatino Linotype" w:hAnsi="Palatino Linotype"/>
        </w:rPr>
      </w:pPr>
      <w:r w:rsidRPr="007D40B2">
        <w:rPr>
          <w:rFonts w:ascii="Palatino Linotype" w:hAnsi="Palatino Linotype"/>
        </w:rPr>
        <w:t>Other major publications:</w:t>
      </w:r>
    </w:p>
    <w:p w:rsidR="00526D25" w:rsidRPr="007D40B2" w:rsidRDefault="00526D25" w:rsidP="00526D25">
      <w:pPr>
        <w:jc w:val="both"/>
        <w:rPr>
          <w:rFonts w:ascii="Palatino Linotype" w:hAnsi="Palatino Linotype"/>
        </w:rPr>
      </w:pPr>
      <w:r w:rsidRPr="007D40B2">
        <w:rPr>
          <w:rFonts w:ascii="Palatino Linotype" w:hAnsi="Palatino Linotype"/>
        </w:rPr>
        <w:t xml:space="preserve">‘The Bishop in the Theological Doctrine of the Orthodox Church,’ </w:t>
      </w:r>
      <w:proofErr w:type="spellStart"/>
      <w:r w:rsidRPr="007D40B2">
        <w:rPr>
          <w:rFonts w:ascii="Palatino Linotype" w:hAnsi="Palatino Linotype"/>
          <w:i/>
          <w:iCs/>
        </w:rPr>
        <w:t>Kanon</w:t>
      </w:r>
      <w:proofErr w:type="spellEnd"/>
      <w:r w:rsidRPr="007D40B2">
        <w:rPr>
          <w:rFonts w:ascii="Palatino Linotype" w:hAnsi="Palatino Linotype"/>
        </w:rPr>
        <w:t xml:space="preserve"> 7 (1985): 23-35</w:t>
      </w:r>
      <w:r>
        <w:rPr>
          <w:rFonts w:ascii="Palatino Linotype" w:hAnsi="Palatino Linotype"/>
        </w:rPr>
        <w:t>.</w:t>
      </w:r>
    </w:p>
    <w:p w:rsidR="00526D25" w:rsidRPr="007D40B2" w:rsidRDefault="00526D25" w:rsidP="00526D25">
      <w:pPr>
        <w:jc w:val="both"/>
        <w:rPr>
          <w:rFonts w:ascii="Palatino Linotype" w:hAnsi="Palatino Linotype"/>
        </w:rPr>
      </w:pPr>
      <w:r w:rsidRPr="007D40B2">
        <w:rPr>
          <w:rFonts w:ascii="Palatino Linotype" w:hAnsi="Palatino Linotype"/>
          <w:i/>
          <w:iCs/>
        </w:rPr>
        <w:t>Communion and Otherness</w:t>
      </w:r>
      <w:r>
        <w:rPr>
          <w:rFonts w:ascii="Palatino Linotype" w:hAnsi="Palatino Linotype"/>
        </w:rPr>
        <w:t xml:space="preserve">, </w:t>
      </w:r>
      <w:r w:rsidRPr="007D40B2">
        <w:rPr>
          <w:rFonts w:ascii="Palatino Linotype" w:hAnsi="Palatino Linotype"/>
        </w:rPr>
        <w:t>London: T&amp;T Clark, 2006</w:t>
      </w:r>
      <w:r>
        <w:rPr>
          <w:rFonts w:ascii="Palatino Linotype" w:hAnsi="Palatino Linotype"/>
        </w:rPr>
        <w:t>.</w:t>
      </w:r>
    </w:p>
    <w:p w:rsidR="00526D25" w:rsidRPr="007D40B2" w:rsidRDefault="00526D25" w:rsidP="00526D25">
      <w:pPr>
        <w:jc w:val="both"/>
        <w:rPr>
          <w:rFonts w:ascii="Palatino Linotype" w:hAnsi="Palatino Linotype"/>
        </w:rPr>
      </w:pPr>
      <w:r w:rsidRPr="007D40B2">
        <w:rPr>
          <w:rFonts w:ascii="Palatino Linotype" w:hAnsi="Palatino Linotype"/>
        </w:rPr>
        <w:t xml:space="preserve">‘The Eucharist and the Kingdom of God,’ </w:t>
      </w:r>
      <w:proofErr w:type="spellStart"/>
      <w:r w:rsidRPr="007D40B2">
        <w:rPr>
          <w:rFonts w:ascii="Palatino Linotype" w:hAnsi="Palatino Linotype"/>
          <w:i/>
          <w:iCs/>
        </w:rPr>
        <w:t>Sourozh</w:t>
      </w:r>
      <w:proofErr w:type="spellEnd"/>
      <w:r w:rsidRPr="007D40B2">
        <w:rPr>
          <w:rFonts w:ascii="Palatino Linotype" w:hAnsi="Palatino Linotype"/>
        </w:rPr>
        <w:t xml:space="preserve"> 58 (1995)</w:t>
      </w:r>
      <w:r>
        <w:rPr>
          <w:rFonts w:ascii="Palatino Linotype" w:hAnsi="Palatino Linotype"/>
        </w:rPr>
        <w:t>:</w:t>
      </w:r>
      <w:r w:rsidRPr="007D40B2">
        <w:rPr>
          <w:rFonts w:ascii="Palatino Linotype" w:hAnsi="Palatino Linotype"/>
        </w:rPr>
        <w:t xml:space="preserve"> 1-12; </w:t>
      </w:r>
      <w:bookmarkStart w:id="0" w:name="NDQlMQwoQrNiox5si"/>
      <w:bookmarkEnd w:id="0"/>
      <w:proofErr w:type="spellStart"/>
      <w:r w:rsidRPr="007D40B2">
        <w:rPr>
          <w:rFonts w:ascii="Palatino Linotype" w:hAnsi="Palatino Linotype"/>
          <w:i/>
          <w:iCs/>
        </w:rPr>
        <w:t>Sourozh</w:t>
      </w:r>
      <w:proofErr w:type="spellEnd"/>
      <w:r w:rsidRPr="007D40B2">
        <w:rPr>
          <w:rFonts w:ascii="Palatino Linotype" w:hAnsi="Palatino Linotype"/>
        </w:rPr>
        <w:t xml:space="preserve"> 59 (1995)</w:t>
      </w:r>
      <w:r>
        <w:rPr>
          <w:rFonts w:ascii="Palatino Linotype" w:hAnsi="Palatino Linotype"/>
        </w:rPr>
        <w:t>:</w:t>
      </w:r>
      <w:r w:rsidRPr="007D40B2">
        <w:rPr>
          <w:rFonts w:ascii="Palatino Linotype" w:hAnsi="Palatino Linotype"/>
        </w:rPr>
        <w:t xml:space="preserve"> 1-12; </w:t>
      </w:r>
      <w:proofErr w:type="spellStart"/>
      <w:r w:rsidRPr="007D40B2">
        <w:rPr>
          <w:rFonts w:ascii="Palatino Linotype" w:hAnsi="Palatino Linotype"/>
          <w:i/>
          <w:iCs/>
        </w:rPr>
        <w:t>Sourozh</w:t>
      </w:r>
      <w:proofErr w:type="spellEnd"/>
      <w:r w:rsidRPr="007D40B2">
        <w:rPr>
          <w:rFonts w:ascii="Palatino Linotype" w:hAnsi="Palatino Linotype"/>
        </w:rPr>
        <w:t xml:space="preserve"> 59 (1995)</w:t>
      </w:r>
      <w:r>
        <w:rPr>
          <w:rFonts w:ascii="Palatino Linotype" w:hAnsi="Palatino Linotype"/>
        </w:rPr>
        <w:t>:</w:t>
      </w:r>
      <w:r w:rsidRPr="007D40B2">
        <w:rPr>
          <w:rFonts w:ascii="Palatino Linotype" w:hAnsi="Palatino Linotype"/>
        </w:rPr>
        <w:t xml:space="preserve"> 22-38</w:t>
      </w:r>
      <w:r>
        <w:rPr>
          <w:rFonts w:ascii="Palatino Linotype" w:hAnsi="Palatino Linotype"/>
        </w:rPr>
        <w:t>.</w:t>
      </w:r>
    </w:p>
    <w:p w:rsidR="00526D25" w:rsidRPr="007D40B2" w:rsidRDefault="00526D25" w:rsidP="00526D25">
      <w:pPr>
        <w:jc w:val="both"/>
        <w:rPr>
          <w:rFonts w:ascii="Palatino Linotype" w:hAnsi="Palatino Linotype"/>
        </w:rPr>
      </w:pPr>
    </w:p>
    <w:p w:rsidR="00526D25" w:rsidRPr="007D40B2" w:rsidRDefault="00526D25" w:rsidP="00526D25">
      <w:pPr>
        <w:jc w:val="both"/>
        <w:rPr>
          <w:rFonts w:ascii="Palatino Linotype" w:hAnsi="Palatino Linotype"/>
        </w:rPr>
      </w:pPr>
      <w:r w:rsidRPr="007D40B2">
        <w:rPr>
          <w:rFonts w:ascii="Palatino Linotype" w:hAnsi="Palatino Linotype"/>
        </w:rPr>
        <w:lastRenderedPageBreak/>
        <w:t>Secondary literature:</w:t>
      </w:r>
    </w:p>
    <w:p w:rsidR="00526D25" w:rsidRPr="007D40B2" w:rsidRDefault="00526D25" w:rsidP="00526D25">
      <w:pPr>
        <w:jc w:val="both"/>
        <w:rPr>
          <w:rFonts w:ascii="Palatino Linotype" w:hAnsi="Palatino Linotype"/>
          <w:b/>
          <w:bCs/>
        </w:rPr>
      </w:pPr>
      <w:proofErr w:type="spellStart"/>
      <w:r w:rsidRPr="007D40B2">
        <w:rPr>
          <w:rFonts w:ascii="Palatino Linotype" w:hAnsi="Palatino Linotype"/>
        </w:rPr>
        <w:t>Hankey</w:t>
      </w:r>
      <w:proofErr w:type="spellEnd"/>
      <w:r w:rsidRPr="007D40B2">
        <w:rPr>
          <w:rFonts w:ascii="Palatino Linotype" w:hAnsi="Palatino Linotype"/>
        </w:rPr>
        <w:t xml:space="preserve">, </w:t>
      </w:r>
      <w:r>
        <w:rPr>
          <w:rFonts w:ascii="Palatino Linotype" w:hAnsi="Palatino Linotype"/>
        </w:rPr>
        <w:t xml:space="preserve">W., </w:t>
      </w:r>
      <w:r w:rsidRPr="007D40B2">
        <w:rPr>
          <w:rFonts w:ascii="Palatino Linotype" w:hAnsi="Palatino Linotype"/>
        </w:rPr>
        <w:t>‘</w:t>
      </w:r>
      <w:proofErr w:type="spellStart"/>
      <w:r w:rsidRPr="007D40B2">
        <w:rPr>
          <w:rFonts w:ascii="Palatino Linotype" w:hAnsi="Palatino Linotype"/>
        </w:rPr>
        <w:t>Theoria</w:t>
      </w:r>
      <w:proofErr w:type="spellEnd"/>
      <w:r w:rsidRPr="007D40B2">
        <w:rPr>
          <w:rFonts w:ascii="Palatino Linotype" w:hAnsi="Palatino Linotype"/>
        </w:rPr>
        <w:t xml:space="preserve"> versus </w:t>
      </w:r>
      <w:proofErr w:type="spellStart"/>
      <w:r w:rsidRPr="007D40B2">
        <w:rPr>
          <w:rFonts w:ascii="Palatino Linotype" w:hAnsi="Palatino Linotype"/>
        </w:rPr>
        <w:t>Poesis</w:t>
      </w:r>
      <w:proofErr w:type="spellEnd"/>
      <w:r w:rsidRPr="007D40B2">
        <w:rPr>
          <w:rFonts w:ascii="Palatino Linotype" w:hAnsi="Palatino Linotype"/>
        </w:rPr>
        <w:t xml:space="preserve">: </w:t>
      </w:r>
      <w:proofErr w:type="spellStart"/>
      <w:r w:rsidRPr="007D40B2">
        <w:rPr>
          <w:rFonts w:ascii="Palatino Linotype" w:hAnsi="Palatino Linotype"/>
        </w:rPr>
        <w:t>Neoplatonism</w:t>
      </w:r>
      <w:proofErr w:type="spellEnd"/>
      <w:r w:rsidRPr="007D40B2">
        <w:rPr>
          <w:rFonts w:ascii="Palatino Linotype" w:hAnsi="Palatino Linotype"/>
        </w:rPr>
        <w:t xml:space="preserve"> and Trinitarian Difference in Aquinas, John Milbank, Jean-Luc Marion and John </w:t>
      </w:r>
      <w:proofErr w:type="spellStart"/>
      <w:r w:rsidRPr="007D40B2">
        <w:rPr>
          <w:rFonts w:ascii="Palatino Linotype" w:hAnsi="Palatino Linotype"/>
        </w:rPr>
        <w:t>Zizioulas</w:t>
      </w:r>
      <w:proofErr w:type="spellEnd"/>
      <w:r w:rsidRPr="007D40B2">
        <w:rPr>
          <w:rFonts w:ascii="Palatino Linotype" w:hAnsi="Palatino Linotype"/>
        </w:rPr>
        <w:t xml:space="preserve">,’ </w:t>
      </w:r>
      <w:r w:rsidRPr="007D40B2">
        <w:rPr>
          <w:rFonts w:ascii="Palatino Linotype" w:hAnsi="Palatino Linotype"/>
          <w:i/>
          <w:iCs/>
        </w:rPr>
        <w:t xml:space="preserve">Modern Theology </w:t>
      </w:r>
      <w:r w:rsidRPr="007D40B2">
        <w:rPr>
          <w:rFonts w:ascii="Palatino Linotype" w:hAnsi="Palatino Linotype"/>
        </w:rPr>
        <w:t>15 (1999)</w:t>
      </w:r>
      <w:r>
        <w:rPr>
          <w:rFonts w:ascii="Palatino Linotype" w:hAnsi="Palatino Linotype"/>
        </w:rPr>
        <w:t>:</w:t>
      </w:r>
      <w:r w:rsidRPr="007D40B2">
        <w:rPr>
          <w:rFonts w:ascii="Palatino Linotype" w:hAnsi="Palatino Linotype"/>
        </w:rPr>
        <w:t xml:space="preserve"> 387-415</w:t>
      </w:r>
      <w:r>
        <w:rPr>
          <w:rFonts w:ascii="Palatino Linotype" w:hAnsi="Palatino Linotype"/>
        </w:rPr>
        <w:t>.</w:t>
      </w:r>
    </w:p>
    <w:p w:rsidR="00526D25" w:rsidRPr="007D40B2" w:rsidRDefault="00526D25" w:rsidP="00526D25">
      <w:pPr>
        <w:jc w:val="both"/>
        <w:rPr>
          <w:rFonts w:ascii="Palatino Linotype" w:hAnsi="Palatino Linotype"/>
          <w:highlight w:val="yellow"/>
        </w:rPr>
      </w:pPr>
      <w:r w:rsidRPr="007D40B2">
        <w:rPr>
          <w:rFonts w:ascii="Palatino Linotype" w:hAnsi="Palatino Linotype"/>
        </w:rPr>
        <w:t xml:space="preserve">Harrison, </w:t>
      </w:r>
      <w:r>
        <w:rPr>
          <w:rFonts w:ascii="Palatino Linotype" w:hAnsi="Palatino Linotype"/>
        </w:rPr>
        <w:t xml:space="preserve">N.V., </w:t>
      </w:r>
      <w:r w:rsidRPr="007D40B2">
        <w:rPr>
          <w:rFonts w:ascii="Palatino Linotype" w:hAnsi="Palatino Linotype"/>
        </w:rPr>
        <w:t>‘</w:t>
      </w:r>
      <w:proofErr w:type="spellStart"/>
      <w:r w:rsidRPr="007D40B2">
        <w:rPr>
          <w:rFonts w:ascii="Palatino Linotype" w:hAnsi="Palatino Linotype"/>
        </w:rPr>
        <w:t>Zizioulas</w:t>
      </w:r>
      <w:proofErr w:type="spellEnd"/>
      <w:r w:rsidRPr="007D40B2">
        <w:rPr>
          <w:rFonts w:ascii="Palatino Linotype" w:hAnsi="Palatino Linotype"/>
        </w:rPr>
        <w:t xml:space="preserve"> on Communion and Otherness,’ </w:t>
      </w:r>
      <w:r w:rsidRPr="007D40B2">
        <w:rPr>
          <w:rFonts w:ascii="Palatino Linotype" w:hAnsi="Palatino Linotype"/>
          <w:i/>
          <w:iCs/>
        </w:rPr>
        <w:t>St Vladimir’s Theological Quarterly</w:t>
      </w:r>
      <w:r w:rsidRPr="007D40B2">
        <w:rPr>
          <w:rFonts w:ascii="Palatino Linotype" w:hAnsi="Palatino Linotype"/>
        </w:rPr>
        <w:t xml:space="preserve"> 42 (1998)</w:t>
      </w:r>
      <w:r>
        <w:rPr>
          <w:rFonts w:ascii="Palatino Linotype" w:hAnsi="Palatino Linotype"/>
        </w:rPr>
        <w:t>:</w:t>
      </w:r>
      <w:r w:rsidRPr="007D40B2">
        <w:rPr>
          <w:rFonts w:ascii="Palatino Linotype" w:hAnsi="Palatino Linotype"/>
        </w:rPr>
        <w:t xml:space="preserve"> 273-300</w:t>
      </w:r>
      <w:r>
        <w:rPr>
          <w:rFonts w:ascii="Palatino Linotype" w:hAnsi="Palatino Linotype"/>
        </w:rPr>
        <w:t>.</w:t>
      </w:r>
    </w:p>
    <w:p w:rsidR="00526D25" w:rsidRPr="007D40B2" w:rsidRDefault="00526D25" w:rsidP="00526D25">
      <w:pPr>
        <w:jc w:val="both"/>
        <w:rPr>
          <w:rFonts w:ascii="Palatino Linotype" w:hAnsi="Palatino Linotype"/>
        </w:rPr>
      </w:pPr>
      <w:r w:rsidRPr="007D40B2">
        <w:rPr>
          <w:rFonts w:ascii="Palatino Linotype" w:hAnsi="Palatino Linotype"/>
        </w:rPr>
        <w:t xml:space="preserve">Knight, </w:t>
      </w:r>
      <w:r>
        <w:rPr>
          <w:rFonts w:ascii="Palatino Linotype" w:hAnsi="Palatino Linotype"/>
        </w:rPr>
        <w:t xml:space="preserve">D.H., </w:t>
      </w:r>
      <w:r w:rsidRPr="007D40B2">
        <w:rPr>
          <w:rFonts w:ascii="Palatino Linotype" w:hAnsi="Palatino Linotype"/>
        </w:rPr>
        <w:t xml:space="preserve">ed., </w:t>
      </w:r>
      <w:proofErr w:type="gramStart"/>
      <w:r w:rsidRPr="007D40B2">
        <w:rPr>
          <w:rFonts w:ascii="Palatino Linotype" w:hAnsi="Palatino Linotype"/>
          <w:i/>
          <w:iCs/>
        </w:rPr>
        <w:t>The</w:t>
      </w:r>
      <w:proofErr w:type="gramEnd"/>
      <w:r w:rsidRPr="007D40B2">
        <w:rPr>
          <w:rFonts w:ascii="Palatino Linotype" w:hAnsi="Palatino Linotype"/>
          <w:i/>
          <w:iCs/>
        </w:rPr>
        <w:t xml:space="preserve"> Theology of John </w:t>
      </w:r>
      <w:proofErr w:type="spellStart"/>
      <w:r w:rsidRPr="007D40B2">
        <w:rPr>
          <w:rFonts w:ascii="Palatino Linotype" w:hAnsi="Palatino Linotype"/>
          <w:i/>
          <w:iCs/>
        </w:rPr>
        <w:t>Zizioulas</w:t>
      </w:r>
      <w:proofErr w:type="spellEnd"/>
      <w:r w:rsidRPr="007D40B2">
        <w:rPr>
          <w:rFonts w:ascii="Palatino Linotype" w:hAnsi="Palatino Linotype"/>
          <w:i/>
          <w:iCs/>
        </w:rPr>
        <w:t>: Personhood and the Church</w:t>
      </w:r>
      <w:r>
        <w:rPr>
          <w:rFonts w:ascii="Palatino Linotype" w:hAnsi="Palatino Linotype"/>
        </w:rPr>
        <w:t xml:space="preserve">, </w:t>
      </w:r>
      <w:r w:rsidRPr="007D40B2">
        <w:rPr>
          <w:rFonts w:ascii="Palatino Linotype" w:hAnsi="Palatino Linotype"/>
        </w:rPr>
        <w:t xml:space="preserve">Aldershot: </w:t>
      </w:r>
      <w:proofErr w:type="spellStart"/>
      <w:r w:rsidRPr="007D40B2">
        <w:rPr>
          <w:rFonts w:ascii="Palatino Linotype" w:hAnsi="Palatino Linotype"/>
        </w:rPr>
        <w:t>Ashgate</w:t>
      </w:r>
      <w:proofErr w:type="spellEnd"/>
      <w:r w:rsidRPr="007D40B2">
        <w:rPr>
          <w:rFonts w:ascii="Palatino Linotype" w:hAnsi="Palatino Linotype"/>
        </w:rPr>
        <w:t>, 2007</w:t>
      </w:r>
      <w:r>
        <w:rPr>
          <w:rFonts w:ascii="Palatino Linotype" w:hAnsi="Palatino Linotype"/>
        </w:rPr>
        <w:t>.</w:t>
      </w:r>
    </w:p>
    <w:p w:rsidR="00526D25" w:rsidRPr="007D40B2" w:rsidRDefault="00526D25" w:rsidP="00526D25">
      <w:pPr>
        <w:jc w:val="both"/>
        <w:rPr>
          <w:rFonts w:ascii="Palatino Linotype" w:hAnsi="Palatino Linotype"/>
          <w:highlight w:val="yellow"/>
        </w:rPr>
      </w:pPr>
      <w:proofErr w:type="spellStart"/>
      <w:r w:rsidRPr="007D40B2">
        <w:rPr>
          <w:rFonts w:ascii="Palatino Linotype" w:hAnsi="Palatino Linotype"/>
        </w:rPr>
        <w:t>McPartlan</w:t>
      </w:r>
      <w:proofErr w:type="spellEnd"/>
      <w:r w:rsidRPr="007D40B2">
        <w:rPr>
          <w:rFonts w:ascii="Palatino Linotype" w:hAnsi="Palatino Linotype"/>
        </w:rPr>
        <w:t xml:space="preserve">, </w:t>
      </w:r>
      <w:r>
        <w:rPr>
          <w:rFonts w:ascii="Palatino Linotype" w:hAnsi="Palatino Linotype"/>
        </w:rPr>
        <w:t xml:space="preserve">P., </w:t>
      </w:r>
      <w:proofErr w:type="gramStart"/>
      <w:r w:rsidRPr="007D40B2">
        <w:rPr>
          <w:rFonts w:ascii="Palatino Linotype" w:hAnsi="Palatino Linotype"/>
          <w:i/>
          <w:iCs/>
        </w:rPr>
        <w:t>The</w:t>
      </w:r>
      <w:proofErr w:type="gramEnd"/>
      <w:r w:rsidRPr="007D40B2">
        <w:rPr>
          <w:rFonts w:ascii="Palatino Linotype" w:hAnsi="Palatino Linotype"/>
          <w:i/>
          <w:iCs/>
        </w:rPr>
        <w:t xml:space="preserve"> Eucharist makes the church</w:t>
      </w:r>
      <w:r>
        <w:rPr>
          <w:rFonts w:ascii="Palatino Linotype" w:hAnsi="Palatino Linotype"/>
        </w:rPr>
        <w:t xml:space="preserve">, </w:t>
      </w:r>
      <w:r w:rsidRPr="007D40B2">
        <w:rPr>
          <w:rFonts w:ascii="Palatino Linotype" w:hAnsi="Palatino Linotype"/>
        </w:rPr>
        <w:t>Edinburgh: T &amp; T Clark, 1993</w:t>
      </w:r>
      <w:r>
        <w:rPr>
          <w:rFonts w:ascii="Palatino Linotype" w:hAnsi="Palatino Linotype"/>
        </w:rPr>
        <w:t>.</w:t>
      </w: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Papanikolaou</w:t>
      </w:r>
      <w:proofErr w:type="spellEnd"/>
      <w:r w:rsidRPr="007D40B2">
        <w:rPr>
          <w:rFonts w:ascii="Palatino Linotype" w:hAnsi="Palatino Linotype"/>
        </w:rPr>
        <w:t xml:space="preserve">, </w:t>
      </w:r>
      <w:r>
        <w:rPr>
          <w:rFonts w:ascii="Palatino Linotype" w:hAnsi="Palatino Linotype"/>
        </w:rPr>
        <w:t xml:space="preserve">A., </w:t>
      </w:r>
      <w:r w:rsidRPr="007D40B2">
        <w:rPr>
          <w:rFonts w:ascii="Palatino Linotype" w:hAnsi="Palatino Linotype"/>
        </w:rPr>
        <w:t xml:space="preserve">‘Is John </w:t>
      </w:r>
      <w:proofErr w:type="spellStart"/>
      <w:r w:rsidRPr="007D40B2">
        <w:rPr>
          <w:rFonts w:ascii="Palatino Linotype" w:hAnsi="Palatino Linotype"/>
        </w:rPr>
        <w:t>Zizioulas</w:t>
      </w:r>
      <w:proofErr w:type="spellEnd"/>
      <w:r w:rsidRPr="007D40B2">
        <w:rPr>
          <w:rFonts w:ascii="Palatino Linotype" w:hAnsi="Palatino Linotype"/>
        </w:rPr>
        <w:t xml:space="preserve"> </w:t>
      </w:r>
      <w:proofErr w:type="spellStart"/>
      <w:r w:rsidRPr="007D40B2">
        <w:rPr>
          <w:rFonts w:ascii="Palatino Linotype" w:hAnsi="Palatino Linotype"/>
        </w:rPr>
        <w:t>an</w:t>
      </w:r>
      <w:proofErr w:type="spellEnd"/>
      <w:r w:rsidRPr="007D40B2">
        <w:rPr>
          <w:rFonts w:ascii="Palatino Linotype" w:hAnsi="Palatino Linotype"/>
        </w:rPr>
        <w:t xml:space="preserve"> existentialist in disguise? A response to Lucian </w:t>
      </w:r>
      <w:proofErr w:type="spellStart"/>
      <w:r w:rsidRPr="007D40B2">
        <w:rPr>
          <w:rFonts w:ascii="Palatino Linotype" w:hAnsi="Palatino Linotype"/>
        </w:rPr>
        <w:t>Turcescu</w:t>
      </w:r>
      <w:proofErr w:type="spellEnd"/>
      <w:r w:rsidRPr="007D40B2">
        <w:rPr>
          <w:rFonts w:ascii="Palatino Linotype" w:hAnsi="Palatino Linotype"/>
        </w:rPr>
        <w:t xml:space="preserve">,’ </w:t>
      </w:r>
      <w:r w:rsidRPr="007D40B2">
        <w:rPr>
          <w:rFonts w:ascii="Palatino Linotype" w:hAnsi="Palatino Linotype"/>
          <w:i/>
          <w:iCs/>
        </w:rPr>
        <w:t xml:space="preserve">Modern Theology </w:t>
      </w:r>
      <w:r w:rsidRPr="007D40B2">
        <w:rPr>
          <w:rFonts w:ascii="Palatino Linotype" w:hAnsi="Palatino Linotype"/>
        </w:rPr>
        <w:t>20 (2004)</w:t>
      </w:r>
      <w:r>
        <w:rPr>
          <w:rFonts w:ascii="Palatino Linotype" w:hAnsi="Palatino Linotype"/>
        </w:rPr>
        <w:t>:</w:t>
      </w:r>
      <w:r w:rsidRPr="007D40B2">
        <w:rPr>
          <w:rFonts w:ascii="Palatino Linotype" w:hAnsi="Palatino Linotype"/>
        </w:rPr>
        <w:t xml:space="preserve"> 600-</w:t>
      </w:r>
      <w:r>
        <w:rPr>
          <w:rFonts w:ascii="Palatino Linotype" w:hAnsi="Palatino Linotype"/>
        </w:rPr>
        <w:t>60</w:t>
      </w:r>
      <w:r w:rsidRPr="007D40B2">
        <w:rPr>
          <w:rFonts w:ascii="Palatino Linotype" w:hAnsi="Palatino Linotype"/>
        </w:rPr>
        <w:t>8</w:t>
      </w:r>
      <w:r>
        <w:rPr>
          <w:rFonts w:ascii="Palatino Linotype" w:hAnsi="Palatino Linotype"/>
        </w:rPr>
        <w:t>.</w:t>
      </w:r>
    </w:p>
    <w:p w:rsidR="00526D25" w:rsidRPr="007D40B2" w:rsidRDefault="00526D25" w:rsidP="00526D25">
      <w:pPr>
        <w:jc w:val="both"/>
        <w:rPr>
          <w:rFonts w:ascii="Palatino Linotype" w:hAnsi="Palatino Linotype"/>
        </w:rPr>
      </w:pPr>
      <w:proofErr w:type="spellStart"/>
      <w:r w:rsidRPr="007D40B2">
        <w:rPr>
          <w:rFonts w:ascii="Palatino Linotype" w:hAnsi="Palatino Linotype"/>
        </w:rPr>
        <w:t>Turcescu</w:t>
      </w:r>
      <w:proofErr w:type="spellEnd"/>
      <w:r w:rsidRPr="007D40B2">
        <w:rPr>
          <w:rFonts w:ascii="Palatino Linotype" w:hAnsi="Palatino Linotype"/>
        </w:rPr>
        <w:t xml:space="preserve">, </w:t>
      </w:r>
      <w:r>
        <w:rPr>
          <w:rFonts w:ascii="Palatino Linotype" w:hAnsi="Palatino Linotype"/>
        </w:rPr>
        <w:t xml:space="preserve">L., </w:t>
      </w:r>
      <w:r w:rsidRPr="007D40B2">
        <w:rPr>
          <w:rFonts w:ascii="Palatino Linotype" w:hAnsi="Palatino Linotype"/>
        </w:rPr>
        <w:t xml:space="preserve">‘“Person” versus “individual”, and other modern </w:t>
      </w:r>
      <w:proofErr w:type="spellStart"/>
      <w:r w:rsidRPr="007D40B2">
        <w:rPr>
          <w:rFonts w:ascii="Palatino Linotype" w:hAnsi="Palatino Linotype"/>
        </w:rPr>
        <w:t>misreadings</w:t>
      </w:r>
      <w:proofErr w:type="spellEnd"/>
      <w:r w:rsidRPr="007D40B2">
        <w:rPr>
          <w:rFonts w:ascii="Palatino Linotype" w:hAnsi="Palatino Linotype"/>
        </w:rPr>
        <w:t xml:space="preserve"> of Gregory of Nyssa,’ </w:t>
      </w:r>
      <w:r w:rsidRPr="007D40B2">
        <w:rPr>
          <w:rFonts w:ascii="Palatino Linotype" w:hAnsi="Palatino Linotype"/>
          <w:i/>
          <w:iCs/>
        </w:rPr>
        <w:t>Modern Theology</w:t>
      </w:r>
      <w:r w:rsidRPr="007D40B2">
        <w:rPr>
          <w:rFonts w:ascii="Palatino Linotype" w:hAnsi="Palatino Linotype"/>
        </w:rPr>
        <w:t xml:space="preserve"> 18 (2002)</w:t>
      </w:r>
      <w:r>
        <w:rPr>
          <w:rFonts w:ascii="Palatino Linotype" w:hAnsi="Palatino Linotype"/>
        </w:rPr>
        <w:t>:</w:t>
      </w:r>
      <w:r w:rsidRPr="007D40B2">
        <w:rPr>
          <w:rFonts w:ascii="Palatino Linotype" w:hAnsi="Palatino Linotype"/>
        </w:rPr>
        <w:t xml:space="preserve"> 527-</w:t>
      </w:r>
      <w:r>
        <w:rPr>
          <w:rFonts w:ascii="Palatino Linotype" w:hAnsi="Palatino Linotype"/>
        </w:rPr>
        <w:t>5</w:t>
      </w:r>
      <w:r w:rsidRPr="007D40B2">
        <w:rPr>
          <w:rFonts w:ascii="Palatino Linotype" w:hAnsi="Palatino Linotype"/>
        </w:rPr>
        <w:t xml:space="preserve">39; </w:t>
      </w:r>
      <w:proofErr w:type="spellStart"/>
      <w:r w:rsidRPr="007D40B2">
        <w:rPr>
          <w:rFonts w:ascii="Palatino Linotype" w:hAnsi="Palatino Linotype"/>
          <w:smallCaps/>
        </w:rPr>
        <w:t>nb</w:t>
      </w:r>
      <w:proofErr w:type="spellEnd"/>
      <w:r w:rsidRPr="007D40B2">
        <w:rPr>
          <w:rFonts w:ascii="Palatino Linotype" w:hAnsi="Palatino Linotype"/>
          <w:smallCaps/>
        </w:rPr>
        <w:t xml:space="preserve">: </w:t>
      </w:r>
      <w:r w:rsidRPr="007D40B2">
        <w:rPr>
          <w:rFonts w:ascii="Palatino Linotype" w:hAnsi="Palatino Linotype"/>
        </w:rPr>
        <w:t xml:space="preserve">Blackwell subsequently brought this issue of </w:t>
      </w:r>
      <w:r w:rsidRPr="007D40B2">
        <w:rPr>
          <w:rFonts w:ascii="Palatino Linotype" w:hAnsi="Palatino Linotype"/>
          <w:i/>
          <w:iCs/>
        </w:rPr>
        <w:t xml:space="preserve">Modern Theology </w:t>
      </w:r>
      <w:r w:rsidRPr="007D40B2">
        <w:rPr>
          <w:rFonts w:ascii="Palatino Linotype" w:hAnsi="Palatino Linotype"/>
        </w:rPr>
        <w:t xml:space="preserve">out in their series ‘Directions in Modern Theology’ as S. </w:t>
      </w:r>
      <w:proofErr w:type="spellStart"/>
      <w:r w:rsidRPr="007D40B2">
        <w:rPr>
          <w:rFonts w:ascii="Palatino Linotype" w:hAnsi="Palatino Linotype"/>
        </w:rPr>
        <w:t>Coakley</w:t>
      </w:r>
      <w:proofErr w:type="spellEnd"/>
      <w:r w:rsidRPr="007D40B2">
        <w:rPr>
          <w:rFonts w:ascii="Palatino Linotype" w:hAnsi="Palatino Linotype"/>
        </w:rPr>
        <w:t xml:space="preserve">, ed., </w:t>
      </w:r>
      <w:r w:rsidRPr="007D40B2">
        <w:rPr>
          <w:rFonts w:ascii="Palatino Linotype" w:hAnsi="Palatino Linotype"/>
          <w:i/>
          <w:iCs/>
        </w:rPr>
        <w:t>Re-thinking Gregory of Nyssa</w:t>
      </w:r>
      <w:r>
        <w:rPr>
          <w:rFonts w:ascii="Palatino Linotype" w:hAnsi="Palatino Linotype"/>
        </w:rPr>
        <w:t>, Oxford: Blackwell, 2003.</w:t>
      </w:r>
    </w:p>
    <w:p w:rsidR="008C3338" w:rsidRDefault="008C3338"/>
    <w:sectPr w:rsidR="008C3338" w:rsidSect="008C333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526D25"/>
    <w:rsid w:val="00526D25"/>
    <w:rsid w:val="008C3338"/>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D25"/>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qFormat/>
    <w:rsid w:val="00526D25"/>
    <w:pPr>
      <w:keepNext/>
      <w:ind w:left="540" w:hanging="540"/>
      <w:jc w:val="center"/>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526D25"/>
    <w:rPr>
      <w:rFonts w:ascii="Times New Roman" w:eastAsia="Times New Roman" w:hAnsi="Times New Roman" w:cs="Times New Roman"/>
      <w:i/>
      <w:iCs/>
      <w:sz w:val="24"/>
      <w:szCs w:val="24"/>
    </w:rPr>
  </w:style>
  <w:style w:type="paragraph" w:styleId="NormalWeb">
    <w:name w:val="Normal (Web)"/>
    <w:basedOn w:val="Normal"/>
    <w:rsid w:val="00526D25"/>
    <w:pPr>
      <w:spacing w:before="100" w:beforeAutospacing="1" w:after="100" w:afterAutospacing="1"/>
    </w:pPr>
    <w:rPr>
      <w:rFonts w:eastAsia="SimSun"/>
      <w:lang w:eastAsia="zh-C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1600</Words>
  <Characters>9125</Characters>
  <Application>Microsoft Office Word</Application>
  <DocSecurity>0</DocSecurity>
  <Lines>76</Lines>
  <Paragraphs>21</Paragraphs>
  <ScaleCrop>false</ScaleCrop>
  <Company/>
  <LinksUpToDate>false</LinksUpToDate>
  <CharactersWithSpaces>10704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Augustine Casiday</dc:creator>
  <cp:lastModifiedBy>Augustine Casiday</cp:lastModifiedBy>
  <cp:revision>1</cp:revision>
  <dcterms:created xsi:type="dcterms:W3CDTF">2012-01-23T13:39:00Z</dcterms:created>
  <dcterms:modified xsi:type="dcterms:W3CDTF">2012-01-23T13:40:00Z</dcterms:modified>
</cp:coreProperties>
</file>