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12FE7" w14:textId="77777777" w:rsidR="00206FFA" w:rsidRDefault="00206FFA" w:rsidP="00206FFA">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p>
    <w:p w14:paraId="33DFF298" w14:textId="4FBD268C" w:rsidR="00206FFA" w:rsidRPr="00EB5D24" w:rsidRDefault="00206FFA" w:rsidP="00206FFA">
      <w:pPr>
        <w:jc w:val="center"/>
        <w:rPr>
          <w:rFonts w:ascii="Arial" w:hAnsi="Arial" w:cs="Arial"/>
          <w:b/>
          <w:bCs/>
          <w:sz w:val="52"/>
          <w:szCs w:val="52"/>
          <w:lang w:val="nl-NL"/>
        </w:rPr>
      </w:pPr>
      <w:r w:rsidRPr="00EB5D24">
        <w:rPr>
          <w:rFonts w:ascii="Arial" w:hAnsi="Arial" w:cs="Arial"/>
          <w:b/>
          <w:bCs/>
          <w:sz w:val="52"/>
          <w:szCs w:val="52"/>
          <w:lang w:val="nl-NL"/>
        </w:rPr>
        <w:t xml:space="preserve">Student </w:t>
      </w:r>
      <w:r w:rsidR="00137F6F">
        <w:rPr>
          <w:rFonts w:ascii="Arial" w:hAnsi="Arial" w:cs="Arial"/>
          <w:b/>
          <w:bCs/>
          <w:sz w:val="52"/>
          <w:szCs w:val="52"/>
          <w:lang w:val="nl-NL"/>
        </w:rPr>
        <w:t>N</w:t>
      </w:r>
      <w:r w:rsidRPr="00EB5D24">
        <w:rPr>
          <w:rFonts w:ascii="Arial" w:hAnsi="Arial" w:cs="Arial"/>
          <w:b/>
          <w:bCs/>
          <w:sz w:val="52"/>
          <w:szCs w:val="52"/>
          <w:lang w:val="nl-NL"/>
        </w:rPr>
        <w:t>ame:</w:t>
      </w:r>
      <w:r>
        <w:rPr>
          <w:rFonts w:ascii="Arial" w:hAnsi="Arial" w:cs="Arial"/>
          <w:b/>
          <w:bCs/>
          <w:sz w:val="52"/>
          <w:szCs w:val="52"/>
          <w:lang w:val="nl-NL"/>
        </w:rPr>
        <w:t xml:space="preserve"> </w:t>
      </w:r>
      <w:r w:rsidRPr="00EB5D24">
        <w:rPr>
          <w:rFonts w:ascii="Arial" w:hAnsi="Arial" w:cs="Arial"/>
          <w:b/>
          <w:bCs/>
          <w:sz w:val="52"/>
          <w:szCs w:val="52"/>
          <w:lang w:val="nl-NL"/>
        </w:rPr>
        <w:t>Nadia Bi</w:t>
      </w:r>
    </w:p>
    <w:p w14:paraId="316A8D15" w14:textId="77777777" w:rsidR="00206FFA" w:rsidRPr="00EB5D24" w:rsidRDefault="00206FFA" w:rsidP="00206FFA">
      <w:pPr>
        <w:jc w:val="center"/>
        <w:rPr>
          <w:rFonts w:ascii="Arial" w:hAnsi="Arial" w:cs="Arial"/>
          <w:b/>
          <w:bCs/>
          <w:sz w:val="52"/>
          <w:szCs w:val="52"/>
          <w:lang w:val="nl-NL"/>
        </w:rPr>
      </w:pPr>
    </w:p>
    <w:p w14:paraId="5FB33821" w14:textId="34D904BF" w:rsidR="00206FFA" w:rsidRDefault="00206FFA" w:rsidP="00206FFA">
      <w:pPr>
        <w:jc w:val="center"/>
        <w:rPr>
          <w:rFonts w:ascii="Arial" w:hAnsi="Arial" w:cs="Arial"/>
          <w:b/>
          <w:bCs/>
          <w:sz w:val="52"/>
          <w:szCs w:val="52"/>
          <w:lang w:val="nl-NL"/>
        </w:rPr>
      </w:pPr>
      <w:r w:rsidRPr="00EB5D24">
        <w:rPr>
          <w:rFonts w:ascii="Arial" w:hAnsi="Arial" w:cs="Arial"/>
          <w:b/>
          <w:bCs/>
          <w:sz w:val="52"/>
          <w:szCs w:val="52"/>
          <w:lang w:val="nl-NL"/>
        </w:rPr>
        <w:t xml:space="preserve">Student </w:t>
      </w:r>
      <w:r w:rsidR="00137F6F">
        <w:rPr>
          <w:rFonts w:ascii="Arial" w:hAnsi="Arial" w:cs="Arial"/>
          <w:b/>
          <w:bCs/>
          <w:sz w:val="52"/>
          <w:szCs w:val="52"/>
          <w:lang w:val="nl-NL"/>
        </w:rPr>
        <w:t>N</w:t>
      </w:r>
      <w:r w:rsidR="00137F6F" w:rsidRPr="00EB5D24">
        <w:rPr>
          <w:rFonts w:ascii="Arial" w:hAnsi="Arial" w:cs="Arial"/>
          <w:b/>
          <w:bCs/>
          <w:sz w:val="52"/>
          <w:szCs w:val="52"/>
          <w:lang w:val="nl-NL"/>
        </w:rPr>
        <w:t>um</w:t>
      </w:r>
      <w:r w:rsidR="00137F6F">
        <w:rPr>
          <w:rFonts w:ascii="Arial" w:hAnsi="Arial" w:cs="Arial"/>
          <w:b/>
          <w:bCs/>
          <w:sz w:val="52"/>
          <w:szCs w:val="52"/>
          <w:lang w:val="nl-NL"/>
        </w:rPr>
        <w:t>b</w:t>
      </w:r>
      <w:r w:rsidR="00137F6F" w:rsidRPr="00EB5D24">
        <w:rPr>
          <w:rFonts w:ascii="Arial" w:hAnsi="Arial" w:cs="Arial"/>
          <w:b/>
          <w:bCs/>
          <w:sz w:val="52"/>
          <w:szCs w:val="52"/>
          <w:lang w:val="nl-NL"/>
        </w:rPr>
        <w:t>er</w:t>
      </w:r>
      <w:r w:rsidR="00137F6F">
        <w:rPr>
          <w:rFonts w:ascii="Arial" w:hAnsi="Arial" w:cs="Arial"/>
          <w:b/>
          <w:bCs/>
          <w:sz w:val="52"/>
          <w:szCs w:val="52"/>
          <w:lang w:val="nl-NL"/>
        </w:rPr>
        <w:t xml:space="preserve"> </w:t>
      </w:r>
      <w:r w:rsidRPr="00EB5D24">
        <w:rPr>
          <w:rFonts w:ascii="Arial" w:hAnsi="Arial" w:cs="Arial"/>
          <w:b/>
          <w:bCs/>
          <w:sz w:val="52"/>
          <w:szCs w:val="52"/>
          <w:lang w:val="nl-NL"/>
        </w:rPr>
        <w:t>:</w:t>
      </w:r>
      <w:r>
        <w:rPr>
          <w:rFonts w:ascii="Arial" w:hAnsi="Arial" w:cs="Arial"/>
          <w:b/>
          <w:bCs/>
          <w:sz w:val="52"/>
          <w:szCs w:val="52"/>
          <w:lang w:val="nl-NL"/>
        </w:rPr>
        <w:t xml:space="preserve"> </w:t>
      </w:r>
      <w:r w:rsidRPr="00EB5D24">
        <w:rPr>
          <w:rFonts w:ascii="Arial" w:hAnsi="Arial" w:cs="Arial"/>
          <w:b/>
          <w:bCs/>
          <w:sz w:val="52"/>
          <w:szCs w:val="52"/>
          <w:lang w:val="nl-NL"/>
        </w:rPr>
        <w:t>2434187</w:t>
      </w:r>
    </w:p>
    <w:p w14:paraId="797D35D8" w14:textId="77777777" w:rsidR="00206FFA" w:rsidRDefault="00206FFA" w:rsidP="00206FFA">
      <w:pPr>
        <w:jc w:val="center"/>
        <w:rPr>
          <w:rFonts w:ascii="Arial" w:hAnsi="Arial" w:cs="Arial"/>
          <w:b/>
          <w:bCs/>
          <w:sz w:val="52"/>
          <w:szCs w:val="52"/>
          <w:lang w:val="nl-NL"/>
        </w:rPr>
      </w:pPr>
    </w:p>
    <w:p w14:paraId="53879E8C" w14:textId="77777777" w:rsidR="00206FFA" w:rsidRPr="00E53401" w:rsidRDefault="00206FFA" w:rsidP="00206FFA">
      <w:pPr>
        <w:jc w:val="center"/>
        <w:rPr>
          <w:rFonts w:ascii="Arial" w:hAnsi="Arial" w:cs="Arial"/>
          <w:b/>
          <w:bCs/>
          <w:sz w:val="52"/>
          <w:szCs w:val="52"/>
        </w:rPr>
      </w:pPr>
      <w:r w:rsidRPr="00D56943">
        <w:rPr>
          <w:rFonts w:ascii="Arial" w:hAnsi="Arial" w:cs="Arial"/>
          <w:b/>
          <w:bCs/>
          <w:sz w:val="52"/>
          <w:szCs w:val="52"/>
        </w:rPr>
        <w:t xml:space="preserve">Tutor </w:t>
      </w:r>
      <w:r>
        <w:rPr>
          <w:rFonts w:ascii="Arial" w:hAnsi="Arial" w:cs="Arial"/>
          <w:b/>
          <w:bCs/>
          <w:sz w:val="52"/>
          <w:szCs w:val="52"/>
        </w:rPr>
        <w:t>N</w:t>
      </w:r>
      <w:r w:rsidRPr="00D56943">
        <w:rPr>
          <w:rFonts w:ascii="Arial" w:hAnsi="Arial" w:cs="Arial"/>
          <w:b/>
          <w:bCs/>
          <w:sz w:val="52"/>
          <w:szCs w:val="52"/>
        </w:rPr>
        <w:t xml:space="preserve">ame: </w:t>
      </w:r>
      <w:r w:rsidRPr="00D56943">
        <w:rPr>
          <w:rFonts w:ascii="Arial" w:hAnsi="Arial" w:cs="Arial"/>
          <w:b/>
          <w:bCs/>
          <w:color w:val="1D2125"/>
          <w:sz w:val="52"/>
          <w:szCs w:val="52"/>
          <w:shd w:val="clear" w:color="auto" w:fill="FFFFFF"/>
        </w:rPr>
        <w:t>Rizwan Nadim</w:t>
      </w:r>
    </w:p>
    <w:p w14:paraId="14DA3D19" w14:textId="77777777" w:rsidR="00206FFA" w:rsidRPr="00D56943" w:rsidRDefault="00206FFA" w:rsidP="00206FFA">
      <w:pPr>
        <w:jc w:val="center"/>
        <w:rPr>
          <w:rFonts w:ascii="Segoe UI" w:hAnsi="Segoe UI" w:cs="Segoe UI"/>
          <w:color w:val="1D2125"/>
          <w:sz w:val="52"/>
          <w:szCs w:val="52"/>
          <w:shd w:val="clear" w:color="auto" w:fill="FFFFFF"/>
        </w:rPr>
      </w:pPr>
    </w:p>
    <w:p w14:paraId="1366B290" w14:textId="77777777" w:rsidR="00206FFA" w:rsidRPr="00D56943" w:rsidRDefault="00206FFA" w:rsidP="00206FFA">
      <w:pPr>
        <w:jc w:val="center"/>
        <w:rPr>
          <w:rFonts w:ascii="Segoe UI" w:hAnsi="Segoe UI" w:cs="Segoe UI"/>
          <w:b/>
          <w:bCs/>
          <w:color w:val="1D2125"/>
          <w:sz w:val="52"/>
          <w:szCs w:val="52"/>
          <w:shd w:val="clear" w:color="auto" w:fill="FFFFFF"/>
        </w:rPr>
      </w:pPr>
      <w:r w:rsidRPr="00D56943">
        <w:rPr>
          <w:rFonts w:ascii="Arial" w:hAnsi="Arial" w:cs="Arial"/>
          <w:b/>
          <w:bCs/>
          <w:color w:val="1D2125"/>
          <w:sz w:val="52"/>
          <w:szCs w:val="52"/>
          <w:shd w:val="clear" w:color="auto" w:fill="FFFFFF"/>
        </w:rPr>
        <w:t xml:space="preserve">Title </w:t>
      </w:r>
      <w:r>
        <w:rPr>
          <w:rFonts w:ascii="Arial" w:hAnsi="Arial" w:cs="Arial"/>
          <w:b/>
          <w:bCs/>
          <w:color w:val="1D2125"/>
          <w:sz w:val="52"/>
          <w:szCs w:val="52"/>
          <w:shd w:val="clear" w:color="auto" w:fill="FFFFFF"/>
        </w:rPr>
        <w:t>N</w:t>
      </w:r>
      <w:r w:rsidRPr="00D56943">
        <w:rPr>
          <w:rFonts w:ascii="Arial" w:hAnsi="Arial" w:cs="Arial"/>
          <w:b/>
          <w:bCs/>
          <w:color w:val="1D2125"/>
          <w:sz w:val="52"/>
          <w:szCs w:val="52"/>
          <w:shd w:val="clear" w:color="auto" w:fill="FFFFFF"/>
        </w:rPr>
        <w:t>ame</w:t>
      </w:r>
      <w:r w:rsidRPr="00D56943">
        <w:rPr>
          <w:rFonts w:ascii="Segoe UI" w:hAnsi="Segoe UI" w:cs="Segoe UI"/>
          <w:color w:val="1D2125"/>
          <w:sz w:val="52"/>
          <w:szCs w:val="52"/>
          <w:shd w:val="clear" w:color="auto" w:fill="FFFFFF"/>
        </w:rPr>
        <w:t>:</w:t>
      </w:r>
      <w:r w:rsidRPr="00D56943">
        <w:rPr>
          <w:rFonts w:ascii="Segoe UI" w:eastAsia="Times New Roman" w:hAnsi="Segoe UI" w:cs="Segoe UI"/>
          <w:b/>
          <w:bCs/>
          <w:color w:val="1D2125"/>
          <w:kern w:val="36"/>
          <w:sz w:val="52"/>
          <w:szCs w:val="52"/>
          <w:lang w:eastAsia="en-GB"/>
          <w14:ligatures w14:val="none"/>
        </w:rPr>
        <w:t xml:space="preserve"> </w:t>
      </w:r>
      <w:r w:rsidRPr="00D56943">
        <w:rPr>
          <w:rFonts w:ascii="Segoe UI" w:hAnsi="Segoe UI" w:cs="Segoe UI"/>
          <w:b/>
          <w:bCs/>
          <w:color w:val="1D2125"/>
          <w:sz w:val="52"/>
          <w:szCs w:val="52"/>
          <w:shd w:val="clear" w:color="auto" w:fill="FFFFFF"/>
        </w:rPr>
        <w:t xml:space="preserve">Principles of Health and Social Care Practice </w:t>
      </w:r>
      <w:r>
        <w:rPr>
          <w:rFonts w:ascii="Segoe UI" w:hAnsi="Segoe UI" w:cs="Segoe UI"/>
          <w:b/>
          <w:bCs/>
          <w:color w:val="1D2125"/>
          <w:sz w:val="52"/>
          <w:szCs w:val="52"/>
          <w:shd w:val="clear" w:color="auto" w:fill="FFFFFF"/>
        </w:rPr>
        <w:t>BMHP</w:t>
      </w:r>
      <w:r w:rsidRPr="00D56943">
        <w:rPr>
          <w:rFonts w:ascii="Segoe UI" w:hAnsi="Segoe UI" w:cs="Segoe UI"/>
          <w:b/>
          <w:bCs/>
          <w:color w:val="1D2125"/>
          <w:sz w:val="52"/>
          <w:szCs w:val="52"/>
          <w:shd w:val="clear" w:color="auto" w:fill="FFFFFF"/>
        </w:rPr>
        <w:t xml:space="preserve"> 5016</w:t>
      </w:r>
    </w:p>
    <w:p w14:paraId="65DD06EB" w14:textId="77777777" w:rsidR="00206FFA" w:rsidRDefault="00206FFA" w:rsidP="00206FFA">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6B5F3F95" w14:textId="77777777" w:rsidR="00206FFA" w:rsidRDefault="00206FFA" w:rsidP="00206FFA">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bookmarkStart w:id="0" w:name="_Toc234479902"/>
      <w:bookmarkStart w:id="1" w:name="_Toc235435259"/>
      <w:r>
        <w:rPr>
          <w:rFonts w:ascii="Times New Roman" w:eastAsia="Times New Roman" w:hAnsi="Times New Roman" w:cs="Times New Roman"/>
          <w:b/>
          <w:bCs/>
          <w:kern w:val="36"/>
          <w:sz w:val="48"/>
          <w:szCs w:val="48"/>
          <w:lang w:eastAsia="en-GB"/>
          <w14:ligatures w14:val="none"/>
        </w:rPr>
        <w:t>Date 26 July 2026</w:t>
      </w:r>
      <w:bookmarkEnd w:id="0"/>
      <w:bookmarkEnd w:id="1"/>
    </w:p>
    <w:p w14:paraId="014E4CAB" w14:textId="77777777" w:rsidR="00206FFA" w:rsidRDefault="00206FFA" w:rsidP="00206FFA">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p>
    <w:p w14:paraId="5892ACA9" w14:textId="77777777" w:rsidR="00206FFA" w:rsidRDefault="00206FFA" w:rsidP="00206FFA">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p>
    <w:p w14:paraId="4AF25287" w14:textId="77777777" w:rsidR="00206FFA" w:rsidRDefault="00206FFA" w:rsidP="00206FFA">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p>
    <w:p w14:paraId="4E221CD0" w14:textId="77777777" w:rsidR="00206FFA" w:rsidRDefault="00206FFA" w:rsidP="00206FFA">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p>
    <w:sdt>
      <w:sdtPr>
        <w:rPr>
          <w:rFonts w:asciiTheme="minorHAnsi" w:eastAsiaTheme="minorHAnsi" w:hAnsiTheme="minorHAnsi" w:cstheme="minorBidi"/>
          <w:color w:val="auto"/>
          <w:kern w:val="2"/>
          <w:sz w:val="24"/>
          <w:szCs w:val="24"/>
          <w:lang w:eastAsia="en-US"/>
          <w14:ligatures w14:val="standardContextual"/>
        </w:rPr>
        <w:id w:val="839045798"/>
        <w:docPartObj>
          <w:docPartGallery w:val="Table of Contents"/>
          <w:docPartUnique/>
        </w:docPartObj>
      </w:sdtPr>
      <w:sdtEndPr>
        <w:rPr>
          <w:b/>
          <w:bCs/>
        </w:rPr>
      </w:sdtEndPr>
      <w:sdtContent>
        <w:p w14:paraId="5492D8D1" w14:textId="3D0236EA" w:rsidR="00206FFA" w:rsidRDefault="00206FFA">
          <w:pPr>
            <w:pStyle w:val="TOCHeading"/>
          </w:pPr>
          <w:r>
            <w:t>Table of Contents</w:t>
          </w:r>
        </w:p>
        <w:p w14:paraId="2C80D007" w14:textId="46A85469" w:rsidR="0029210D" w:rsidRDefault="00206FF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435259" w:history="1">
            <w:r w:rsidR="0029210D" w:rsidRPr="00E359E0">
              <w:rPr>
                <w:rStyle w:val="Hyperlink"/>
                <w:rFonts w:ascii="Times New Roman" w:eastAsia="Times New Roman" w:hAnsi="Times New Roman" w:cs="Times New Roman"/>
                <w:b/>
                <w:bCs/>
                <w:noProof/>
                <w:kern w:val="36"/>
                <w:lang w:eastAsia="en-GB"/>
                <w14:ligatures w14:val="none"/>
              </w:rPr>
              <w:t>Date 26 July 2026</w:t>
            </w:r>
            <w:r w:rsidR="0029210D">
              <w:rPr>
                <w:noProof/>
                <w:webHidden/>
              </w:rPr>
              <w:tab/>
            </w:r>
            <w:r w:rsidR="0029210D">
              <w:rPr>
                <w:noProof/>
                <w:webHidden/>
              </w:rPr>
              <w:fldChar w:fldCharType="begin"/>
            </w:r>
            <w:r w:rsidR="0029210D">
              <w:rPr>
                <w:noProof/>
                <w:webHidden/>
              </w:rPr>
              <w:instrText xml:space="preserve"> PAGEREF _Toc235435259 \h </w:instrText>
            </w:r>
            <w:r w:rsidR="0029210D">
              <w:rPr>
                <w:noProof/>
                <w:webHidden/>
              </w:rPr>
            </w:r>
            <w:r w:rsidR="0029210D">
              <w:rPr>
                <w:noProof/>
                <w:webHidden/>
              </w:rPr>
              <w:fldChar w:fldCharType="separate"/>
            </w:r>
            <w:r w:rsidR="0029210D">
              <w:rPr>
                <w:noProof/>
                <w:webHidden/>
              </w:rPr>
              <w:t>1</w:t>
            </w:r>
            <w:r w:rsidR="0029210D">
              <w:rPr>
                <w:noProof/>
                <w:webHidden/>
              </w:rPr>
              <w:fldChar w:fldCharType="end"/>
            </w:r>
          </w:hyperlink>
        </w:p>
        <w:p w14:paraId="64B95C15" w14:textId="1DD55640" w:rsidR="0029210D" w:rsidRDefault="0029210D">
          <w:pPr>
            <w:pStyle w:val="TOC1"/>
            <w:tabs>
              <w:tab w:val="right" w:leader="dot" w:pos="9016"/>
            </w:tabs>
            <w:rPr>
              <w:rFonts w:eastAsiaTheme="minorEastAsia"/>
              <w:noProof/>
              <w:lang w:eastAsia="en-GB"/>
            </w:rPr>
          </w:pPr>
          <w:hyperlink w:anchor="_Toc235435260" w:history="1">
            <w:r w:rsidRPr="00E359E0">
              <w:rPr>
                <w:rStyle w:val="Hyperlink"/>
                <w:rFonts w:ascii="Arial" w:eastAsia="Times New Roman" w:hAnsi="Arial" w:cs="Arial"/>
                <w:b/>
                <w:bCs/>
                <w:noProof/>
                <w:kern w:val="36"/>
                <w:lang w:eastAsia="en-GB"/>
                <w14:ligatures w14:val="none"/>
              </w:rPr>
              <w:t>Evaluating Person-Centred Care and Partnership Working in UK Mental Health Services</w:t>
            </w:r>
            <w:r>
              <w:rPr>
                <w:noProof/>
                <w:webHidden/>
              </w:rPr>
              <w:tab/>
            </w:r>
            <w:r>
              <w:rPr>
                <w:noProof/>
                <w:webHidden/>
              </w:rPr>
              <w:fldChar w:fldCharType="begin"/>
            </w:r>
            <w:r>
              <w:rPr>
                <w:noProof/>
                <w:webHidden/>
              </w:rPr>
              <w:instrText xml:space="preserve"> PAGEREF _Toc235435260 \h </w:instrText>
            </w:r>
            <w:r>
              <w:rPr>
                <w:noProof/>
                <w:webHidden/>
              </w:rPr>
            </w:r>
            <w:r>
              <w:rPr>
                <w:noProof/>
                <w:webHidden/>
              </w:rPr>
              <w:fldChar w:fldCharType="separate"/>
            </w:r>
            <w:r>
              <w:rPr>
                <w:noProof/>
                <w:webHidden/>
              </w:rPr>
              <w:t>3</w:t>
            </w:r>
            <w:r>
              <w:rPr>
                <w:noProof/>
                <w:webHidden/>
              </w:rPr>
              <w:fldChar w:fldCharType="end"/>
            </w:r>
          </w:hyperlink>
        </w:p>
        <w:p w14:paraId="360E83AC" w14:textId="581C7AAA" w:rsidR="0029210D" w:rsidRDefault="0029210D">
          <w:pPr>
            <w:pStyle w:val="TOC2"/>
            <w:tabs>
              <w:tab w:val="right" w:leader="dot" w:pos="9016"/>
            </w:tabs>
            <w:rPr>
              <w:rFonts w:eastAsiaTheme="minorEastAsia"/>
              <w:noProof/>
              <w:lang w:eastAsia="en-GB"/>
            </w:rPr>
          </w:pPr>
          <w:hyperlink w:anchor="_Toc235435261" w:history="1">
            <w:r w:rsidRPr="00E359E0">
              <w:rPr>
                <w:rStyle w:val="Hyperlink"/>
                <w:rFonts w:ascii="Arial" w:eastAsia="Times New Roman" w:hAnsi="Arial" w:cs="Arial"/>
                <w:b/>
                <w:bCs/>
                <w:noProof/>
                <w:kern w:val="0"/>
                <w:lang w:eastAsia="en-GB"/>
                <w14:ligatures w14:val="none"/>
              </w:rPr>
              <w:t>Abstract</w:t>
            </w:r>
            <w:r>
              <w:rPr>
                <w:noProof/>
                <w:webHidden/>
              </w:rPr>
              <w:tab/>
            </w:r>
            <w:r>
              <w:rPr>
                <w:noProof/>
                <w:webHidden/>
              </w:rPr>
              <w:fldChar w:fldCharType="begin"/>
            </w:r>
            <w:r>
              <w:rPr>
                <w:noProof/>
                <w:webHidden/>
              </w:rPr>
              <w:instrText xml:space="preserve"> PAGEREF _Toc235435261 \h </w:instrText>
            </w:r>
            <w:r>
              <w:rPr>
                <w:noProof/>
                <w:webHidden/>
              </w:rPr>
            </w:r>
            <w:r>
              <w:rPr>
                <w:noProof/>
                <w:webHidden/>
              </w:rPr>
              <w:fldChar w:fldCharType="separate"/>
            </w:r>
            <w:r>
              <w:rPr>
                <w:noProof/>
                <w:webHidden/>
              </w:rPr>
              <w:t>3</w:t>
            </w:r>
            <w:r>
              <w:rPr>
                <w:noProof/>
                <w:webHidden/>
              </w:rPr>
              <w:fldChar w:fldCharType="end"/>
            </w:r>
          </w:hyperlink>
        </w:p>
        <w:p w14:paraId="65DE227E" w14:textId="63C9C500" w:rsidR="0029210D" w:rsidRDefault="0029210D">
          <w:pPr>
            <w:pStyle w:val="TOC1"/>
            <w:tabs>
              <w:tab w:val="right" w:leader="dot" w:pos="9016"/>
            </w:tabs>
            <w:rPr>
              <w:rFonts w:eastAsiaTheme="minorEastAsia"/>
              <w:noProof/>
              <w:lang w:eastAsia="en-GB"/>
            </w:rPr>
          </w:pPr>
          <w:hyperlink w:anchor="_Toc235435262" w:history="1">
            <w:r w:rsidRPr="00E359E0">
              <w:rPr>
                <w:rStyle w:val="Hyperlink"/>
                <w:rFonts w:ascii="Arial" w:eastAsia="Times New Roman" w:hAnsi="Arial" w:cs="Arial"/>
                <w:b/>
                <w:bCs/>
                <w:noProof/>
                <w:kern w:val="36"/>
                <w:lang w:eastAsia="en-GB"/>
                <w14:ligatures w14:val="none"/>
              </w:rPr>
              <w:t>Introduction</w:t>
            </w:r>
            <w:r>
              <w:rPr>
                <w:noProof/>
                <w:webHidden/>
              </w:rPr>
              <w:tab/>
            </w:r>
            <w:r>
              <w:rPr>
                <w:noProof/>
                <w:webHidden/>
              </w:rPr>
              <w:fldChar w:fldCharType="begin"/>
            </w:r>
            <w:r>
              <w:rPr>
                <w:noProof/>
                <w:webHidden/>
              </w:rPr>
              <w:instrText xml:space="preserve"> PAGEREF _Toc235435262 \h </w:instrText>
            </w:r>
            <w:r>
              <w:rPr>
                <w:noProof/>
                <w:webHidden/>
              </w:rPr>
            </w:r>
            <w:r>
              <w:rPr>
                <w:noProof/>
                <w:webHidden/>
              </w:rPr>
              <w:fldChar w:fldCharType="separate"/>
            </w:r>
            <w:r>
              <w:rPr>
                <w:noProof/>
                <w:webHidden/>
              </w:rPr>
              <w:t>3</w:t>
            </w:r>
            <w:r>
              <w:rPr>
                <w:noProof/>
                <w:webHidden/>
              </w:rPr>
              <w:fldChar w:fldCharType="end"/>
            </w:r>
          </w:hyperlink>
        </w:p>
        <w:p w14:paraId="15DE20C8" w14:textId="259C413B" w:rsidR="0029210D" w:rsidRDefault="0029210D">
          <w:pPr>
            <w:pStyle w:val="TOC1"/>
            <w:tabs>
              <w:tab w:val="right" w:leader="dot" w:pos="9016"/>
            </w:tabs>
            <w:rPr>
              <w:rFonts w:eastAsiaTheme="minorEastAsia"/>
              <w:noProof/>
              <w:lang w:eastAsia="en-GB"/>
            </w:rPr>
          </w:pPr>
          <w:hyperlink w:anchor="_Toc235435263" w:history="1">
            <w:r w:rsidRPr="00E359E0">
              <w:rPr>
                <w:rStyle w:val="Hyperlink"/>
                <w:rFonts w:ascii="Arial" w:eastAsia="Times New Roman" w:hAnsi="Arial" w:cs="Arial"/>
                <w:b/>
                <w:bCs/>
                <w:noProof/>
                <w:kern w:val="36"/>
                <w:lang w:eastAsia="en-GB"/>
                <w14:ligatures w14:val="none"/>
              </w:rPr>
              <w:t>Definition of Person-Centred Care (PCC)</w:t>
            </w:r>
            <w:r>
              <w:rPr>
                <w:noProof/>
                <w:webHidden/>
              </w:rPr>
              <w:tab/>
            </w:r>
            <w:r>
              <w:rPr>
                <w:noProof/>
                <w:webHidden/>
              </w:rPr>
              <w:fldChar w:fldCharType="begin"/>
            </w:r>
            <w:r>
              <w:rPr>
                <w:noProof/>
                <w:webHidden/>
              </w:rPr>
              <w:instrText xml:space="preserve"> PAGEREF _Toc235435263 \h </w:instrText>
            </w:r>
            <w:r>
              <w:rPr>
                <w:noProof/>
                <w:webHidden/>
              </w:rPr>
            </w:r>
            <w:r>
              <w:rPr>
                <w:noProof/>
                <w:webHidden/>
              </w:rPr>
              <w:fldChar w:fldCharType="separate"/>
            </w:r>
            <w:r>
              <w:rPr>
                <w:noProof/>
                <w:webHidden/>
              </w:rPr>
              <w:t>4</w:t>
            </w:r>
            <w:r>
              <w:rPr>
                <w:noProof/>
                <w:webHidden/>
              </w:rPr>
              <w:fldChar w:fldCharType="end"/>
            </w:r>
          </w:hyperlink>
        </w:p>
        <w:p w14:paraId="059C4671" w14:textId="0AE25C83" w:rsidR="0029210D" w:rsidRDefault="0029210D">
          <w:pPr>
            <w:pStyle w:val="TOC1"/>
            <w:tabs>
              <w:tab w:val="right" w:leader="dot" w:pos="9016"/>
            </w:tabs>
            <w:rPr>
              <w:rFonts w:eastAsiaTheme="minorEastAsia"/>
              <w:noProof/>
              <w:lang w:eastAsia="en-GB"/>
            </w:rPr>
          </w:pPr>
          <w:hyperlink w:anchor="_Toc235435264" w:history="1">
            <w:r w:rsidRPr="00E359E0">
              <w:rPr>
                <w:rStyle w:val="Hyperlink"/>
                <w:rFonts w:ascii="Arial" w:eastAsia="Times New Roman" w:hAnsi="Arial" w:cs="Arial"/>
                <w:b/>
                <w:bCs/>
                <w:noProof/>
                <w:kern w:val="36"/>
                <w:lang w:eastAsia="en-GB"/>
                <w14:ligatures w14:val="none"/>
              </w:rPr>
              <w:t>Relevant Theories Supporting Person-Centred Care</w:t>
            </w:r>
            <w:r>
              <w:rPr>
                <w:noProof/>
                <w:webHidden/>
              </w:rPr>
              <w:tab/>
            </w:r>
            <w:r>
              <w:rPr>
                <w:noProof/>
                <w:webHidden/>
              </w:rPr>
              <w:fldChar w:fldCharType="begin"/>
            </w:r>
            <w:r>
              <w:rPr>
                <w:noProof/>
                <w:webHidden/>
              </w:rPr>
              <w:instrText xml:space="preserve"> PAGEREF _Toc235435264 \h </w:instrText>
            </w:r>
            <w:r>
              <w:rPr>
                <w:noProof/>
                <w:webHidden/>
              </w:rPr>
            </w:r>
            <w:r>
              <w:rPr>
                <w:noProof/>
                <w:webHidden/>
              </w:rPr>
              <w:fldChar w:fldCharType="separate"/>
            </w:r>
            <w:r>
              <w:rPr>
                <w:noProof/>
                <w:webHidden/>
              </w:rPr>
              <w:t>4</w:t>
            </w:r>
            <w:r>
              <w:rPr>
                <w:noProof/>
                <w:webHidden/>
              </w:rPr>
              <w:fldChar w:fldCharType="end"/>
            </w:r>
          </w:hyperlink>
        </w:p>
        <w:p w14:paraId="57470FDA" w14:textId="12909E24" w:rsidR="0029210D" w:rsidRDefault="0029210D">
          <w:pPr>
            <w:pStyle w:val="TOC1"/>
            <w:tabs>
              <w:tab w:val="right" w:leader="dot" w:pos="9016"/>
            </w:tabs>
            <w:rPr>
              <w:rFonts w:eastAsiaTheme="minorEastAsia"/>
              <w:noProof/>
              <w:lang w:eastAsia="en-GB"/>
            </w:rPr>
          </w:pPr>
          <w:hyperlink w:anchor="_Toc235435265" w:history="1">
            <w:r w:rsidRPr="00E359E0">
              <w:rPr>
                <w:rStyle w:val="Hyperlink"/>
                <w:rFonts w:ascii="Arial" w:eastAsia="Times New Roman" w:hAnsi="Arial" w:cs="Arial"/>
                <w:b/>
                <w:bCs/>
                <w:noProof/>
                <w:kern w:val="36"/>
                <w:lang w:eastAsia="en-GB"/>
                <w14:ligatures w14:val="none"/>
              </w:rPr>
              <w:t>Ethical Fundamentals in Person-Centred Care and Partnership Working</w:t>
            </w:r>
            <w:r>
              <w:rPr>
                <w:noProof/>
                <w:webHidden/>
              </w:rPr>
              <w:tab/>
            </w:r>
            <w:r>
              <w:rPr>
                <w:noProof/>
                <w:webHidden/>
              </w:rPr>
              <w:fldChar w:fldCharType="begin"/>
            </w:r>
            <w:r>
              <w:rPr>
                <w:noProof/>
                <w:webHidden/>
              </w:rPr>
              <w:instrText xml:space="preserve"> PAGEREF _Toc235435265 \h </w:instrText>
            </w:r>
            <w:r>
              <w:rPr>
                <w:noProof/>
                <w:webHidden/>
              </w:rPr>
            </w:r>
            <w:r>
              <w:rPr>
                <w:noProof/>
                <w:webHidden/>
              </w:rPr>
              <w:fldChar w:fldCharType="separate"/>
            </w:r>
            <w:r>
              <w:rPr>
                <w:noProof/>
                <w:webHidden/>
              </w:rPr>
              <w:t>4</w:t>
            </w:r>
            <w:r>
              <w:rPr>
                <w:noProof/>
                <w:webHidden/>
              </w:rPr>
              <w:fldChar w:fldCharType="end"/>
            </w:r>
          </w:hyperlink>
        </w:p>
        <w:p w14:paraId="5C37FDE1" w14:textId="5B45D5F2" w:rsidR="0029210D" w:rsidRDefault="0029210D">
          <w:pPr>
            <w:pStyle w:val="TOC2"/>
            <w:tabs>
              <w:tab w:val="right" w:leader="dot" w:pos="9016"/>
            </w:tabs>
            <w:rPr>
              <w:rFonts w:eastAsiaTheme="minorEastAsia"/>
              <w:noProof/>
              <w:lang w:eastAsia="en-GB"/>
            </w:rPr>
          </w:pPr>
          <w:hyperlink w:anchor="_Toc235435266" w:history="1">
            <w:r w:rsidRPr="00E359E0">
              <w:rPr>
                <w:rStyle w:val="Hyperlink"/>
                <w:rFonts w:ascii="Arial" w:eastAsia="Times New Roman" w:hAnsi="Arial" w:cs="Arial"/>
                <w:b/>
                <w:bCs/>
                <w:noProof/>
                <w:kern w:val="0"/>
                <w:lang w:eastAsia="en-GB"/>
                <w14:ligatures w14:val="none"/>
              </w:rPr>
              <w:t>Evaluation of Partnership Working (PW)</w:t>
            </w:r>
            <w:r>
              <w:rPr>
                <w:noProof/>
                <w:webHidden/>
              </w:rPr>
              <w:tab/>
            </w:r>
            <w:r>
              <w:rPr>
                <w:noProof/>
                <w:webHidden/>
              </w:rPr>
              <w:fldChar w:fldCharType="begin"/>
            </w:r>
            <w:r>
              <w:rPr>
                <w:noProof/>
                <w:webHidden/>
              </w:rPr>
              <w:instrText xml:space="preserve"> PAGEREF _Toc235435266 \h </w:instrText>
            </w:r>
            <w:r>
              <w:rPr>
                <w:noProof/>
                <w:webHidden/>
              </w:rPr>
            </w:r>
            <w:r>
              <w:rPr>
                <w:noProof/>
                <w:webHidden/>
              </w:rPr>
              <w:fldChar w:fldCharType="separate"/>
            </w:r>
            <w:r>
              <w:rPr>
                <w:noProof/>
                <w:webHidden/>
              </w:rPr>
              <w:t>5</w:t>
            </w:r>
            <w:r>
              <w:rPr>
                <w:noProof/>
                <w:webHidden/>
              </w:rPr>
              <w:fldChar w:fldCharType="end"/>
            </w:r>
          </w:hyperlink>
        </w:p>
        <w:p w14:paraId="6B1378DA" w14:textId="6ADA32F8" w:rsidR="0029210D" w:rsidRDefault="0029210D">
          <w:pPr>
            <w:pStyle w:val="TOC1"/>
            <w:tabs>
              <w:tab w:val="right" w:leader="dot" w:pos="9016"/>
            </w:tabs>
            <w:rPr>
              <w:rFonts w:eastAsiaTheme="minorEastAsia"/>
              <w:noProof/>
              <w:lang w:eastAsia="en-GB"/>
            </w:rPr>
          </w:pPr>
          <w:hyperlink w:anchor="_Toc235435267" w:history="1">
            <w:r w:rsidRPr="00E359E0">
              <w:rPr>
                <w:rStyle w:val="Hyperlink"/>
                <w:rFonts w:ascii="Arial" w:eastAsia="Times New Roman" w:hAnsi="Arial" w:cs="Arial"/>
                <w:b/>
                <w:bCs/>
                <w:noProof/>
                <w:kern w:val="36"/>
                <w:lang w:eastAsia="en-GB"/>
                <w14:ligatures w14:val="none"/>
              </w:rPr>
              <w:t>Policy and Legislation</w:t>
            </w:r>
            <w:r>
              <w:rPr>
                <w:noProof/>
                <w:webHidden/>
              </w:rPr>
              <w:tab/>
            </w:r>
            <w:r>
              <w:rPr>
                <w:noProof/>
                <w:webHidden/>
              </w:rPr>
              <w:fldChar w:fldCharType="begin"/>
            </w:r>
            <w:r>
              <w:rPr>
                <w:noProof/>
                <w:webHidden/>
              </w:rPr>
              <w:instrText xml:space="preserve"> PAGEREF _Toc235435267 \h </w:instrText>
            </w:r>
            <w:r>
              <w:rPr>
                <w:noProof/>
                <w:webHidden/>
              </w:rPr>
            </w:r>
            <w:r>
              <w:rPr>
                <w:noProof/>
                <w:webHidden/>
              </w:rPr>
              <w:fldChar w:fldCharType="separate"/>
            </w:r>
            <w:r>
              <w:rPr>
                <w:noProof/>
                <w:webHidden/>
              </w:rPr>
              <w:t>6</w:t>
            </w:r>
            <w:r>
              <w:rPr>
                <w:noProof/>
                <w:webHidden/>
              </w:rPr>
              <w:fldChar w:fldCharType="end"/>
            </w:r>
          </w:hyperlink>
        </w:p>
        <w:p w14:paraId="65103469" w14:textId="38EB37CE" w:rsidR="0029210D" w:rsidRDefault="0029210D">
          <w:pPr>
            <w:pStyle w:val="TOC1"/>
            <w:tabs>
              <w:tab w:val="right" w:leader="dot" w:pos="9016"/>
            </w:tabs>
            <w:rPr>
              <w:rFonts w:eastAsiaTheme="minorEastAsia"/>
              <w:noProof/>
              <w:lang w:eastAsia="en-GB"/>
            </w:rPr>
          </w:pPr>
          <w:hyperlink w:anchor="_Toc235435268" w:history="1">
            <w:r w:rsidRPr="00E359E0">
              <w:rPr>
                <w:rStyle w:val="Hyperlink"/>
                <w:rFonts w:ascii="Arial" w:eastAsia="Times New Roman" w:hAnsi="Arial" w:cs="Arial"/>
                <w:b/>
                <w:bCs/>
                <w:noProof/>
                <w:kern w:val="36"/>
                <w:lang w:eastAsia="en-GB"/>
                <w14:ligatures w14:val="none"/>
              </w:rPr>
              <w:t>Recommendations</w:t>
            </w:r>
            <w:r>
              <w:rPr>
                <w:noProof/>
                <w:webHidden/>
              </w:rPr>
              <w:tab/>
            </w:r>
            <w:r>
              <w:rPr>
                <w:noProof/>
                <w:webHidden/>
              </w:rPr>
              <w:fldChar w:fldCharType="begin"/>
            </w:r>
            <w:r>
              <w:rPr>
                <w:noProof/>
                <w:webHidden/>
              </w:rPr>
              <w:instrText xml:space="preserve"> PAGEREF _Toc235435268 \h </w:instrText>
            </w:r>
            <w:r>
              <w:rPr>
                <w:noProof/>
                <w:webHidden/>
              </w:rPr>
            </w:r>
            <w:r>
              <w:rPr>
                <w:noProof/>
                <w:webHidden/>
              </w:rPr>
              <w:fldChar w:fldCharType="separate"/>
            </w:r>
            <w:r>
              <w:rPr>
                <w:noProof/>
                <w:webHidden/>
              </w:rPr>
              <w:t>7</w:t>
            </w:r>
            <w:r>
              <w:rPr>
                <w:noProof/>
                <w:webHidden/>
              </w:rPr>
              <w:fldChar w:fldCharType="end"/>
            </w:r>
          </w:hyperlink>
        </w:p>
        <w:p w14:paraId="39B78BAB" w14:textId="57F26D68" w:rsidR="0029210D" w:rsidRDefault="0029210D">
          <w:pPr>
            <w:pStyle w:val="TOC1"/>
            <w:tabs>
              <w:tab w:val="right" w:leader="dot" w:pos="9016"/>
            </w:tabs>
            <w:rPr>
              <w:rFonts w:eastAsiaTheme="minorEastAsia"/>
              <w:noProof/>
              <w:lang w:eastAsia="en-GB"/>
            </w:rPr>
          </w:pPr>
          <w:hyperlink w:anchor="_Toc235435269" w:history="1">
            <w:r w:rsidRPr="00E359E0">
              <w:rPr>
                <w:rStyle w:val="Hyperlink"/>
                <w:rFonts w:ascii="Arial" w:eastAsia="Times New Roman" w:hAnsi="Arial" w:cs="Arial"/>
                <w:b/>
                <w:bCs/>
                <w:noProof/>
                <w:kern w:val="36"/>
                <w:lang w:eastAsia="en-GB"/>
                <w14:ligatures w14:val="none"/>
              </w:rPr>
              <w:t>Conclusion</w:t>
            </w:r>
            <w:r>
              <w:rPr>
                <w:noProof/>
                <w:webHidden/>
              </w:rPr>
              <w:tab/>
            </w:r>
            <w:r>
              <w:rPr>
                <w:noProof/>
                <w:webHidden/>
              </w:rPr>
              <w:fldChar w:fldCharType="begin"/>
            </w:r>
            <w:r>
              <w:rPr>
                <w:noProof/>
                <w:webHidden/>
              </w:rPr>
              <w:instrText xml:space="preserve"> PAGEREF _Toc235435269 \h </w:instrText>
            </w:r>
            <w:r>
              <w:rPr>
                <w:noProof/>
                <w:webHidden/>
              </w:rPr>
            </w:r>
            <w:r>
              <w:rPr>
                <w:noProof/>
                <w:webHidden/>
              </w:rPr>
              <w:fldChar w:fldCharType="separate"/>
            </w:r>
            <w:r>
              <w:rPr>
                <w:noProof/>
                <w:webHidden/>
              </w:rPr>
              <w:t>8</w:t>
            </w:r>
            <w:r>
              <w:rPr>
                <w:noProof/>
                <w:webHidden/>
              </w:rPr>
              <w:fldChar w:fldCharType="end"/>
            </w:r>
          </w:hyperlink>
        </w:p>
        <w:p w14:paraId="5175EBB2" w14:textId="0ADFC99D" w:rsidR="0029210D" w:rsidRDefault="0029210D">
          <w:pPr>
            <w:pStyle w:val="TOC2"/>
            <w:tabs>
              <w:tab w:val="right" w:leader="dot" w:pos="9016"/>
            </w:tabs>
            <w:rPr>
              <w:rFonts w:eastAsiaTheme="minorEastAsia"/>
              <w:noProof/>
              <w:lang w:eastAsia="en-GB"/>
            </w:rPr>
          </w:pPr>
          <w:hyperlink w:anchor="_Toc235435270" w:history="1">
            <w:r w:rsidRPr="00E359E0">
              <w:rPr>
                <w:rStyle w:val="Hyperlink"/>
                <w:rFonts w:ascii="Times New Roman" w:eastAsia="Times New Roman" w:hAnsi="Times New Roman" w:cs="Times New Roman"/>
                <w:b/>
                <w:bCs/>
                <w:noProof/>
                <w:kern w:val="0"/>
                <w:lang w:eastAsia="en-GB"/>
                <w14:ligatures w14:val="none"/>
              </w:rPr>
              <w:t>Reference List</w:t>
            </w:r>
            <w:r>
              <w:rPr>
                <w:noProof/>
                <w:webHidden/>
              </w:rPr>
              <w:tab/>
            </w:r>
            <w:r>
              <w:rPr>
                <w:noProof/>
                <w:webHidden/>
              </w:rPr>
              <w:fldChar w:fldCharType="begin"/>
            </w:r>
            <w:r>
              <w:rPr>
                <w:noProof/>
                <w:webHidden/>
              </w:rPr>
              <w:instrText xml:space="preserve"> PAGEREF _Toc235435270 \h </w:instrText>
            </w:r>
            <w:r>
              <w:rPr>
                <w:noProof/>
                <w:webHidden/>
              </w:rPr>
            </w:r>
            <w:r>
              <w:rPr>
                <w:noProof/>
                <w:webHidden/>
              </w:rPr>
              <w:fldChar w:fldCharType="separate"/>
            </w:r>
            <w:r>
              <w:rPr>
                <w:noProof/>
                <w:webHidden/>
              </w:rPr>
              <w:t>9</w:t>
            </w:r>
            <w:r>
              <w:rPr>
                <w:noProof/>
                <w:webHidden/>
              </w:rPr>
              <w:fldChar w:fldCharType="end"/>
            </w:r>
          </w:hyperlink>
        </w:p>
        <w:p w14:paraId="2094B646" w14:textId="33DFFDEE" w:rsidR="00206FFA" w:rsidRDefault="00206FFA">
          <w:r>
            <w:rPr>
              <w:b/>
              <w:bCs/>
            </w:rPr>
            <w:fldChar w:fldCharType="end"/>
          </w:r>
        </w:p>
      </w:sdtContent>
    </w:sdt>
    <w:p w14:paraId="6FC49D25" w14:textId="77777777" w:rsidR="00206FFA" w:rsidRDefault="00206FFA" w:rsidP="00206FFA">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p>
    <w:p w14:paraId="3D50B52D" w14:textId="77777777" w:rsidR="00206FFA" w:rsidRDefault="00206FFA" w:rsidP="00206FFA">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p>
    <w:p w14:paraId="24827F44" w14:textId="77777777" w:rsidR="0029210D" w:rsidRDefault="0029210D" w:rsidP="00206FFA">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p>
    <w:p w14:paraId="1D04CF69" w14:textId="77777777" w:rsidR="0029210D" w:rsidRDefault="0029210D" w:rsidP="00206FFA">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p>
    <w:p w14:paraId="73DFDBAE" w14:textId="77777777" w:rsidR="0029210D" w:rsidRDefault="0029210D" w:rsidP="00206FFA">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p>
    <w:p w14:paraId="70E57040" w14:textId="77777777" w:rsidR="0029210D" w:rsidRDefault="0029210D" w:rsidP="0029210D">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644A2232" w14:textId="77777777" w:rsidR="0029210D" w:rsidRDefault="0029210D" w:rsidP="0029210D">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7C4A39D4" w14:textId="2D104595" w:rsidR="00D82CBE" w:rsidRPr="0029210D" w:rsidRDefault="00D82CBE" w:rsidP="0029210D">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2" w:name="_Toc235435260"/>
      <w:r w:rsidRPr="0029210D">
        <w:rPr>
          <w:rFonts w:ascii="Arial" w:eastAsia="Times New Roman" w:hAnsi="Arial" w:cs="Arial"/>
          <w:b/>
          <w:bCs/>
          <w:kern w:val="36"/>
          <w:sz w:val="22"/>
          <w:szCs w:val="22"/>
          <w:lang w:eastAsia="en-GB"/>
          <w14:ligatures w14:val="none"/>
        </w:rPr>
        <w:lastRenderedPageBreak/>
        <w:t>Evaluating Person-Centred Care and Partnership Working in UK Mental Health Services</w:t>
      </w:r>
      <w:bookmarkEnd w:id="2"/>
    </w:p>
    <w:p w14:paraId="46996A68" w14:textId="77777777" w:rsidR="00D82CBE" w:rsidRPr="0029210D" w:rsidRDefault="00D82CBE" w:rsidP="0029210D">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bookmarkStart w:id="3" w:name="_Toc235435261"/>
      <w:r w:rsidRPr="0029210D">
        <w:rPr>
          <w:rFonts w:ascii="Arial" w:eastAsia="Times New Roman" w:hAnsi="Arial" w:cs="Arial"/>
          <w:b/>
          <w:bCs/>
          <w:kern w:val="0"/>
          <w:sz w:val="22"/>
          <w:szCs w:val="22"/>
          <w:lang w:eastAsia="en-GB"/>
          <w14:ligatures w14:val="none"/>
        </w:rPr>
        <w:t>Abstract</w:t>
      </w:r>
      <w:bookmarkEnd w:id="3"/>
    </w:p>
    <w:p w14:paraId="0694034F"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Person-centred care (PCC) and partnership working (PW) are essential approaches within UK mental health services, supporting individuals to receive personalised, coordinated, and recovery-focused care. PCC places individuals at the centre of decision-making by respecting their values, preferences, rights, and personal experiences. Partnership working encourages collaboration between healthcare professionals, service users, carers, and organisations to provide holistic support. This report evaluates the importance of PCC and PW within mental health practice by exploring relevant theories, ethical principles, policies, and legislation. The findings highlight that PCC improves patient involvement, satisfaction, autonomy, and recovery outcomes, while PW strengthens communication, continuity of care, and service integration. However, challenges such as limited resources, workforce pressures, and communication barriers can affect effective implementation. Recommendations include improving professional training, strengthening multidisciplinary collaboration, increasing the use of digital technology, and developing policies that further support integrated mental health care.</w:t>
      </w:r>
    </w:p>
    <w:p w14:paraId="774F93E9" w14:textId="02C163CF" w:rsidR="00D82CBE" w:rsidRPr="00D82CBE" w:rsidRDefault="00D82CBE" w:rsidP="0029210D">
      <w:pPr>
        <w:spacing w:after="0" w:line="360" w:lineRule="auto"/>
        <w:rPr>
          <w:rFonts w:ascii="Times New Roman" w:eastAsia="Times New Roman" w:hAnsi="Times New Roman" w:cs="Times New Roman"/>
          <w:kern w:val="0"/>
          <w:lang w:eastAsia="en-GB"/>
          <w14:ligatures w14:val="none"/>
        </w:rPr>
      </w:pPr>
    </w:p>
    <w:p w14:paraId="42EA43E9" w14:textId="77777777" w:rsidR="00D82CBE" w:rsidRPr="0029210D" w:rsidRDefault="00D82CBE" w:rsidP="0029210D">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4" w:name="_Toc235435262"/>
      <w:r w:rsidRPr="0029210D">
        <w:rPr>
          <w:rFonts w:ascii="Arial" w:eastAsia="Times New Roman" w:hAnsi="Arial" w:cs="Arial"/>
          <w:b/>
          <w:bCs/>
          <w:kern w:val="36"/>
          <w:sz w:val="22"/>
          <w:szCs w:val="22"/>
          <w:lang w:eastAsia="en-GB"/>
          <w14:ligatures w14:val="none"/>
        </w:rPr>
        <w:t>Introduction</w:t>
      </w:r>
      <w:bookmarkEnd w:id="4"/>
    </w:p>
    <w:p w14:paraId="303C1BA2"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Health and social care services in the United Kingdom are increasingly shaped by person-centred care (PCC) and partnership working (PW). These approaches are essential within mental health services, where individuals often have complex needs requiring coordinated support. PCC focuses on respecting individuals’ values, preferences, and choices while promoting dignity, autonomy, and shared decision-making (NICE, 2021). PW involves collaboration between professionals, service users, carers, and organisations to provide effective and integrated care (NHS England, 2019). This report will explore PCC and PW, including theories, ethics, legislation, practical application, and recommendations for improving mental health practice.</w:t>
      </w:r>
    </w:p>
    <w:p w14:paraId="0CFCF577" w14:textId="45644F9D" w:rsidR="00D82CBE" w:rsidRPr="0029210D" w:rsidRDefault="00D82CBE" w:rsidP="0029210D">
      <w:pPr>
        <w:spacing w:after="0" w:line="360" w:lineRule="auto"/>
        <w:rPr>
          <w:rFonts w:ascii="Arial" w:eastAsia="Times New Roman" w:hAnsi="Arial" w:cs="Arial"/>
          <w:kern w:val="0"/>
          <w:sz w:val="22"/>
          <w:szCs w:val="22"/>
          <w:lang w:eastAsia="en-GB"/>
          <w14:ligatures w14:val="none"/>
        </w:rPr>
      </w:pPr>
    </w:p>
    <w:p w14:paraId="4E063F94" w14:textId="77777777" w:rsidR="0029210D" w:rsidRDefault="0029210D" w:rsidP="0029210D">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0A04717A" w14:textId="77777777" w:rsidR="0029210D" w:rsidRDefault="0029210D" w:rsidP="0029210D">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5F618103" w14:textId="60C1E894" w:rsidR="00D82CBE" w:rsidRPr="0029210D" w:rsidRDefault="00D82CBE" w:rsidP="0029210D">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5" w:name="_Toc235435263"/>
      <w:r w:rsidRPr="0029210D">
        <w:rPr>
          <w:rFonts w:ascii="Arial" w:eastAsia="Times New Roman" w:hAnsi="Arial" w:cs="Arial"/>
          <w:b/>
          <w:bCs/>
          <w:kern w:val="36"/>
          <w:sz w:val="22"/>
          <w:szCs w:val="22"/>
          <w:lang w:eastAsia="en-GB"/>
          <w14:ligatures w14:val="none"/>
        </w:rPr>
        <w:lastRenderedPageBreak/>
        <w:t>Definition of Person-Centred Care (PCC)</w:t>
      </w:r>
      <w:bookmarkEnd w:id="5"/>
    </w:p>
    <w:p w14:paraId="14783F49" w14:textId="77777777" w:rsidR="00206FFA" w:rsidRPr="00206FFA" w:rsidRDefault="00206FFA" w:rsidP="0029210D">
      <w:pPr>
        <w:pStyle w:val="isselectedend"/>
        <w:spacing w:line="360" w:lineRule="auto"/>
        <w:rPr>
          <w:rFonts w:ascii="Arial" w:hAnsi="Arial" w:cs="Arial"/>
          <w:sz w:val="22"/>
          <w:szCs w:val="22"/>
        </w:rPr>
      </w:pPr>
      <w:r w:rsidRPr="00206FFA">
        <w:rPr>
          <w:rFonts w:ascii="Arial" w:hAnsi="Arial" w:cs="Arial"/>
          <w:sz w:val="22"/>
          <w:szCs w:val="22"/>
        </w:rPr>
        <w:t>Person-centred care (PCC) is an approach that places the individual at the centre of care planning and decision-making. It recognises that each person has unique values, beliefs, preferences, and experiences that should influence the support they receive. PCC moves away from focusing only on diagnosis and symptoms by considering the individual’s physical, psychological, emotional, and social needs (McCormack and McCance, 2017).</w:t>
      </w:r>
    </w:p>
    <w:p w14:paraId="64209E39" w14:textId="77777777" w:rsidR="00206FFA" w:rsidRPr="00206FFA" w:rsidRDefault="00206FFA" w:rsidP="0029210D">
      <w:pPr>
        <w:pStyle w:val="isselectedend"/>
        <w:spacing w:line="360" w:lineRule="auto"/>
        <w:rPr>
          <w:rFonts w:ascii="Arial" w:hAnsi="Arial" w:cs="Arial"/>
          <w:sz w:val="22"/>
          <w:szCs w:val="22"/>
        </w:rPr>
      </w:pPr>
      <w:r w:rsidRPr="00206FFA">
        <w:rPr>
          <w:rFonts w:ascii="Arial" w:hAnsi="Arial" w:cs="Arial"/>
          <w:sz w:val="22"/>
          <w:szCs w:val="22"/>
        </w:rPr>
        <w:t>Rogers (1961) suggested that effective care requires empathy, respect, and genuine understanding between professionals and individuals. In mental health services, PCC helps develop positive therapeutic relationships where service users feel valued, listened to, and involved in decisions about their treatment. This can increase empowerment, independence, and recovery.</w:t>
      </w:r>
    </w:p>
    <w:p w14:paraId="5262CE37" w14:textId="77777777" w:rsidR="00206FFA" w:rsidRPr="00206FFA" w:rsidRDefault="00206FFA" w:rsidP="0029210D">
      <w:pPr>
        <w:pStyle w:val="isselectedend"/>
        <w:spacing w:line="360" w:lineRule="auto"/>
        <w:rPr>
          <w:rFonts w:ascii="Arial" w:hAnsi="Arial" w:cs="Arial"/>
          <w:sz w:val="22"/>
          <w:szCs w:val="22"/>
        </w:rPr>
      </w:pPr>
      <w:r w:rsidRPr="00206FFA">
        <w:rPr>
          <w:rFonts w:ascii="Arial" w:hAnsi="Arial" w:cs="Arial"/>
          <w:sz w:val="22"/>
          <w:szCs w:val="22"/>
        </w:rPr>
        <w:t>The benefits of PCC include improved patient satisfaction, stronger relationships with professionals, and better health outcomes. NICE (2021) highlights that shared decision-making is essential within recovery-focused mental health care. For example, a person experiencing depression may work with a mental health team to choose suitable treatments, including therapy, medication, and community support.</w:t>
      </w:r>
    </w:p>
    <w:p w14:paraId="338E0832" w14:textId="77777777" w:rsidR="00206FFA" w:rsidRPr="00206FFA" w:rsidRDefault="00206FFA" w:rsidP="0029210D">
      <w:pPr>
        <w:pStyle w:val="NormalWeb"/>
        <w:spacing w:line="360" w:lineRule="auto"/>
        <w:rPr>
          <w:rFonts w:ascii="Arial" w:hAnsi="Arial" w:cs="Arial"/>
          <w:sz w:val="22"/>
          <w:szCs w:val="22"/>
        </w:rPr>
      </w:pPr>
      <w:r w:rsidRPr="00206FFA">
        <w:rPr>
          <w:rFonts w:ascii="Arial" w:hAnsi="Arial" w:cs="Arial"/>
          <w:sz w:val="22"/>
          <w:szCs w:val="22"/>
        </w:rPr>
        <w:t>However, PCC can be limited by staff shortages, high workloads, limited resources, and resistance to organisational change. These challenges may reduce the time available for personalised care. Despite these barriers, PCC remains essential in UK mental health services by promoting dignity, autonomy, and improved quality of life.</w:t>
      </w:r>
    </w:p>
    <w:p w14:paraId="2829481A" w14:textId="77777777" w:rsidR="0029210D" w:rsidRDefault="0029210D" w:rsidP="0029210D">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36AAC073" w14:textId="03C498DF" w:rsidR="00D82CBE" w:rsidRPr="0029210D" w:rsidRDefault="00D82CBE" w:rsidP="0029210D">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6" w:name="_Toc235435264"/>
      <w:r w:rsidRPr="0029210D">
        <w:rPr>
          <w:rFonts w:ascii="Arial" w:eastAsia="Times New Roman" w:hAnsi="Arial" w:cs="Arial"/>
          <w:b/>
          <w:bCs/>
          <w:kern w:val="36"/>
          <w:sz w:val="22"/>
          <w:szCs w:val="22"/>
          <w:lang w:eastAsia="en-GB"/>
          <w14:ligatures w14:val="none"/>
        </w:rPr>
        <w:t>Relevant Theories Supporting Person-Centred Care</w:t>
      </w:r>
      <w:bookmarkEnd w:id="6"/>
    </w:p>
    <w:p w14:paraId="4FA5D41E"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Several theories provide a foundation for understanding and applying person-centred care (PCC) within mental health services. These theories emphasise the importance of individuality, empowerment, relationships, and supporting people to achieve their personal goals.</w:t>
      </w:r>
    </w:p>
    <w:p w14:paraId="27C762A9"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 xml:space="preserve">One important theory underpinning PCC is </w:t>
      </w:r>
      <w:r w:rsidRPr="00206FFA">
        <w:rPr>
          <w:rFonts w:ascii="Arial" w:eastAsia="Times New Roman" w:hAnsi="Arial" w:cs="Arial"/>
          <w:b/>
          <w:bCs/>
          <w:kern w:val="0"/>
          <w:sz w:val="22"/>
          <w:szCs w:val="22"/>
          <w:lang w:eastAsia="en-GB"/>
          <w14:ligatures w14:val="none"/>
        </w:rPr>
        <w:t>Rogers’ Person-Centred Theory (1961)</w:t>
      </w:r>
      <w:r w:rsidRPr="00206FFA">
        <w:rPr>
          <w:rFonts w:ascii="Arial" w:eastAsia="Times New Roman" w:hAnsi="Arial" w:cs="Arial"/>
          <w:kern w:val="0"/>
          <w:sz w:val="22"/>
          <w:szCs w:val="22"/>
          <w:lang w:eastAsia="en-GB"/>
          <w14:ligatures w14:val="none"/>
        </w:rPr>
        <w:t xml:space="preserve">. Rogers argued that effective helping relationships require three key conditions: empathy, genuineness, and unconditional positive regard. In healthcare settings, this means professionals should listen to individuals without judgement and recognise their experiences as meaningful. Within mental health services, this theory supports the development of </w:t>
      </w:r>
      <w:r w:rsidRPr="00206FFA">
        <w:rPr>
          <w:rFonts w:ascii="Arial" w:eastAsia="Times New Roman" w:hAnsi="Arial" w:cs="Arial"/>
          <w:kern w:val="0"/>
          <w:sz w:val="22"/>
          <w:szCs w:val="22"/>
          <w:lang w:eastAsia="en-GB"/>
          <w14:ligatures w14:val="none"/>
        </w:rPr>
        <w:lastRenderedPageBreak/>
        <w:t>trusting relationships between service users and professionals. For example, a mental health nurse supporting a person experiencing anxiety should take time to understand their concerns and involve them in decisions about treatment rather than focusing only on reducing symptoms.</w:t>
      </w:r>
    </w:p>
    <w:p w14:paraId="2720A61E"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 xml:space="preserve">Another significant theory related to PCC is the </w:t>
      </w:r>
      <w:r w:rsidRPr="00206FFA">
        <w:rPr>
          <w:rFonts w:ascii="Arial" w:eastAsia="Times New Roman" w:hAnsi="Arial" w:cs="Arial"/>
          <w:b/>
          <w:bCs/>
          <w:kern w:val="0"/>
          <w:sz w:val="22"/>
          <w:szCs w:val="22"/>
          <w:lang w:eastAsia="en-GB"/>
          <w14:ligatures w14:val="none"/>
        </w:rPr>
        <w:t>Recovery Model</w:t>
      </w:r>
      <w:r w:rsidRPr="00206FFA">
        <w:rPr>
          <w:rFonts w:ascii="Arial" w:eastAsia="Times New Roman" w:hAnsi="Arial" w:cs="Arial"/>
          <w:kern w:val="0"/>
          <w:sz w:val="22"/>
          <w:szCs w:val="22"/>
          <w:lang w:eastAsia="en-GB"/>
          <w14:ligatures w14:val="none"/>
        </w:rPr>
        <w:t>, which has become central within modern mental health practice. The Recovery Model focuses on hope, empowerment, independence, and personal meaning rather than simply managing illness. It recognises that recovery is different for each individual and that people can live meaningful lives despite experiencing mental health difficulties. Within mental health services, professionals support individuals to identify their own recovery goals, such as returning to employment, improving relationships, or developing coping strategies. This approach strengthens autonomy and supports shared decision-making.</w:t>
      </w:r>
    </w:p>
    <w:p w14:paraId="2A9193A2"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b/>
          <w:bCs/>
          <w:kern w:val="0"/>
          <w:sz w:val="22"/>
          <w:szCs w:val="22"/>
          <w:lang w:eastAsia="en-GB"/>
          <w14:ligatures w14:val="none"/>
        </w:rPr>
        <w:t>Maslow’s Hierarchy of Needs (1943)</w:t>
      </w:r>
      <w:r w:rsidRPr="00206FFA">
        <w:rPr>
          <w:rFonts w:ascii="Arial" w:eastAsia="Times New Roman" w:hAnsi="Arial" w:cs="Arial"/>
          <w:kern w:val="0"/>
          <w:sz w:val="22"/>
          <w:szCs w:val="22"/>
          <w:lang w:eastAsia="en-GB"/>
          <w14:ligatures w14:val="none"/>
        </w:rPr>
        <w:t xml:space="preserve"> also contributes to understanding PCC by highlighting that individuals have different levels of needs that influence wellbeing. Maslow identified basic physiological needs, safety, belonging, esteem, and self-actualisation as important stages of human development. In mental health settings, professionals must consider wider factors affecting an individual’s wellbeing, such as housing, relationships, financial difficulties, and social support. For example, a person experiencing depression may require support with safe accommodation and social connections before they can focus fully on personal development and recovery.</w:t>
      </w:r>
    </w:p>
    <w:p w14:paraId="2DD97350"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These theories support PCC by encouraging professionals to see individuals as whole people rather than focusing only on their diagnosis. They promote respect, involvement, empowerment, and collaboration between service users and healthcare professionals. However, applying these theories in practice can be challenging due to pressures within mental health services, including staff shortages, limited funding, and high caseloads. Although professionals may understand the importance of PCC, practical barriers can reduce the amount of time available for meaningful engagement.</w:t>
      </w:r>
    </w:p>
    <w:p w14:paraId="0A298627"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Overall, theories such as Rogers’ Person-Centred Theory, the Recovery Model, and Maslow’s Hierarchy of Needs provide valuable frameworks for delivering effective PCC within mental health services. They demonstrate that successful care requires more than clinical treatment; it requires understanding the individual’s experiences, supporting their choices, and working collaboratively towards recovery.</w:t>
      </w:r>
    </w:p>
    <w:p w14:paraId="760C4195" w14:textId="7A26CAE3" w:rsidR="00D82CBE" w:rsidRPr="00206FFA" w:rsidRDefault="00D82CBE" w:rsidP="0029210D">
      <w:pPr>
        <w:spacing w:after="0" w:line="360" w:lineRule="auto"/>
        <w:rPr>
          <w:rFonts w:ascii="Arial" w:eastAsia="Times New Roman" w:hAnsi="Arial" w:cs="Arial"/>
          <w:kern w:val="0"/>
          <w:sz w:val="22"/>
          <w:szCs w:val="22"/>
          <w:lang w:eastAsia="en-GB"/>
          <w14:ligatures w14:val="none"/>
        </w:rPr>
      </w:pPr>
    </w:p>
    <w:p w14:paraId="4F3CF2E7" w14:textId="77777777" w:rsidR="00D82CBE" w:rsidRPr="0029210D" w:rsidRDefault="00D82CBE" w:rsidP="0029210D">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7" w:name="_Toc235435265"/>
      <w:r w:rsidRPr="0029210D">
        <w:rPr>
          <w:rFonts w:ascii="Arial" w:eastAsia="Times New Roman" w:hAnsi="Arial" w:cs="Arial"/>
          <w:b/>
          <w:bCs/>
          <w:kern w:val="36"/>
          <w:sz w:val="22"/>
          <w:szCs w:val="22"/>
          <w:lang w:eastAsia="en-GB"/>
          <w14:ligatures w14:val="none"/>
        </w:rPr>
        <w:lastRenderedPageBreak/>
        <w:t>Ethical Fundamentals in Person-Centred Care and Partnership Working</w:t>
      </w:r>
      <w:bookmarkEnd w:id="7"/>
    </w:p>
    <w:p w14:paraId="069A257A" w14:textId="77777777" w:rsidR="00D82CBE" w:rsidRPr="00206FFA" w:rsidRDefault="00D82CBE" w:rsidP="0029210D">
      <w:pPr>
        <w:pStyle w:val="isselectedend"/>
        <w:spacing w:line="360" w:lineRule="auto"/>
        <w:rPr>
          <w:rFonts w:ascii="Arial" w:hAnsi="Arial" w:cs="Arial"/>
          <w:sz w:val="22"/>
          <w:szCs w:val="22"/>
        </w:rPr>
      </w:pPr>
      <w:r w:rsidRPr="00206FFA">
        <w:rPr>
          <w:rFonts w:ascii="Arial" w:hAnsi="Arial" w:cs="Arial"/>
          <w:sz w:val="22"/>
          <w:szCs w:val="22"/>
        </w:rPr>
        <w:t>Ethical principles are essential within health and social care because they guide professionals in making safe, respectful, and fair decisions. Within mental health services, ethical practice supports both person-centred care (PCC) and partnership working (PW) by ensuring individuals’ rights, dignity, autonomy, and wellbeing are protected.</w:t>
      </w:r>
    </w:p>
    <w:p w14:paraId="629C671A" w14:textId="77777777" w:rsidR="00D82CBE" w:rsidRPr="00206FFA" w:rsidRDefault="00D82CBE" w:rsidP="0029210D">
      <w:pPr>
        <w:pStyle w:val="isselectedend"/>
        <w:spacing w:line="360" w:lineRule="auto"/>
        <w:rPr>
          <w:rFonts w:ascii="Arial" w:hAnsi="Arial" w:cs="Arial"/>
          <w:sz w:val="22"/>
          <w:szCs w:val="22"/>
        </w:rPr>
      </w:pPr>
      <w:r w:rsidRPr="00206FFA">
        <w:rPr>
          <w:rFonts w:ascii="Arial" w:hAnsi="Arial" w:cs="Arial"/>
          <w:sz w:val="22"/>
          <w:szCs w:val="22"/>
        </w:rPr>
        <w:t>The principle of autonomy refers to respecting an individual’s right to make decisions about their own care and treatment. This is a key element of PCC because individuals should be involved in decisions whenever possible. For example, a person experiencing depression should be supported to understand different treatment options and make informed choices about their care. However, ethical dilemmas may occur when a person’s choices create concerns about their safety, particularly when compulsory treatment is considered under the Mental Health Act 1983 (amended 2007).</w:t>
      </w:r>
    </w:p>
    <w:p w14:paraId="252C299D" w14:textId="77777777" w:rsidR="00D82CBE" w:rsidRPr="00206FFA" w:rsidRDefault="00D82CBE" w:rsidP="0029210D">
      <w:pPr>
        <w:pStyle w:val="isselectedend"/>
        <w:spacing w:line="360" w:lineRule="auto"/>
        <w:rPr>
          <w:rFonts w:ascii="Arial" w:hAnsi="Arial" w:cs="Arial"/>
          <w:sz w:val="22"/>
          <w:szCs w:val="22"/>
        </w:rPr>
      </w:pPr>
      <w:r w:rsidRPr="00206FFA">
        <w:rPr>
          <w:rFonts w:ascii="Arial" w:hAnsi="Arial" w:cs="Arial"/>
          <w:sz w:val="22"/>
          <w:szCs w:val="22"/>
        </w:rPr>
        <w:t>Beneficence refers to the responsibility of healthcare professionals to act in the best interests of individuals and promote their wellbeing. In mental health services, this involves providing effective treatments, emotional support, and interventions that improve quality of life. Non-maleficence requires professionals to avoid causing harm by carefully considering the risks and benefits of treatments. Justice ensures fair access to services regardless of background and is supported by the Equality Act 2010.</w:t>
      </w:r>
    </w:p>
    <w:p w14:paraId="2A45255B" w14:textId="77777777" w:rsidR="00D82CBE" w:rsidRPr="00206FFA" w:rsidRDefault="00D82CBE" w:rsidP="0029210D">
      <w:pPr>
        <w:pStyle w:val="NormalWeb"/>
        <w:spacing w:line="360" w:lineRule="auto"/>
        <w:rPr>
          <w:rFonts w:ascii="Arial" w:hAnsi="Arial" w:cs="Arial"/>
          <w:sz w:val="22"/>
          <w:szCs w:val="22"/>
        </w:rPr>
      </w:pPr>
      <w:r w:rsidRPr="00206FFA">
        <w:rPr>
          <w:rFonts w:ascii="Arial" w:hAnsi="Arial" w:cs="Arial"/>
          <w:sz w:val="22"/>
          <w:szCs w:val="22"/>
        </w:rPr>
        <w:t>Overall, ethical principles provide a framework for compassionate and safe mental health care. They help professionals balance individual choices with safeguarding responsibilities while strengthening PCC and PW.</w:t>
      </w:r>
    </w:p>
    <w:p w14:paraId="2E070CD0" w14:textId="77777777" w:rsidR="00D82CBE" w:rsidRPr="00206FFA" w:rsidRDefault="00D82CBE" w:rsidP="0029210D">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61608F46" w14:textId="77777777" w:rsidR="00206FFA" w:rsidRPr="0029210D" w:rsidRDefault="00206FFA" w:rsidP="0029210D">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bookmarkStart w:id="8" w:name="_Toc235435266"/>
      <w:r w:rsidRPr="0029210D">
        <w:rPr>
          <w:rFonts w:ascii="Arial" w:eastAsia="Times New Roman" w:hAnsi="Arial" w:cs="Arial"/>
          <w:b/>
          <w:bCs/>
          <w:kern w:val="0"/>
          <w:sz w:val="22"/>
          <w:szCs w:val="22"/>
          <w:lang w:eastAsia="en-GB"/>
          <w14:ligatures w14:val="none"/>
        </w:rPr>
        <w:t>Evaluation of Partnership Working (PW)</w:t>
      </w:r>
      <w:bookmarkEnd w:id="8"/>
    </w:p>
    <w:p w14:paraId="5065692D" w14:textId="77777777" w:rsidR="00206FFA" w:rsidRPr="00206FFA" w:rsidRDefault="00206FFA"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Partnership working (PW) involves professionals, organisations, service users, carers, and communities collaborating to achieve improved health and social care outcomes. Within mental health services, PW is essential because individuals often require support from multiple services, including the NHS, social care, housing providers, and voluntary organisations. Effective partnership working ensures that care is coordinated, consistent, and focused on individual needs.</w:t>
      </w:r>
    </w:p>
    <w:p w14:paraId="5D80C55A" w14:textId="77777777" w:rsidR="00206FFA" w:rsidRPr="00206FFA" w:rsidRDefault="00206FFA"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 xml:space="preserve">The development of Integrated Care Systems (ICSs) has strengthened partnership working by encouraging NHS organisations, local authorities, and community services to collaborate. </w:t>
      </w:r>
      <w:r w:rsidRPr="00206FFA">
        <w:rPr>
          <w:rFonts w:ascii="Arial" w:eastAsia="Times New Roman" w:hAnsi="Arial" w:cs="Arial"/>
          <w:kern w:val="0"/>
          <w:sz w:val="22"/>
          <w:szCs w:val="22"/>
          <w:lang w:eastAsia="en-GB"/>
          <w14:ligatures w14:val="none"/>
        </w:rPr>
        <w:lastRenderedPageBreak/>
        <w:t>NHS England (2019) highlights that integrated services can improve communication, reduce duplication, and provide more personalised support. For example, a person experiencing severe depression may receive support from a GP, psychiatrist, psychologist, and social worker to address medical, psychological, and social needs.</w:t>
      </w:r>
    </w:p>
    <w:p w14:paraId="301FFE04" w14:textId="77777777" w:rsidR="00206FFA" w:rsidRPr="00206FFA" w:rsidRDefault="00206FFA"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The benefits of PW include improved service delivery, better outcomes, and increased service user involvement. Working collaboratively allows individuals to participate in decisions about their care and recovery goals. However, challenges such as poor communication, confidentiality concerns, different organisational priorities, limited funding, and staff shortages can reduce effectiveness.</w:t>
      </w:r>
    </w:p>
    <w:p w14:paraId="56609DA4" w14:textId="77777777" w:rsidR="00206FFA" w:rsidRPr="00206FFA" w:rsidRDefault="00206FFA"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Overall, partnership working remains essential within UK mental health services. Effective collaboration between multidisciplinary teams helps provide holistic, safe, and person-centred care while supporting individuals throughout their recovery journey.</w:t>
      </w:r>
    </w:p>
    <w:p w14:paraId="47AE28C3" w14:textId="77777777" w:rsidR="00206FFA" w:rsidRPr="00206FFA" w:rsidRDefault="00206FFA" w:rsidP="0029210D">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6C7ECDB3" w14:textId="13A6DC01" w:rsidR="00D82CBE" w:rsidRPr="00D82CBE" w:rsidRDefault="00D82CBE" w:rsidP="0029210D">
      <w:pPr>
        <w:spacing w:after="0" w:line="360" w:lineRule="auto"/>
        <w:rPr>
          <w:rFonts w:ascii="Times New Roman" w:eastAsia="Times New Roman" w:hAnsi="Times New Roman" w:cs="Times New Roman"/>
          <w:kern w:val="0"/>
          <w:lang w:eastAsia="en-GB"/>
          <w14:ligatures w14:val="none"/>
        </w:rPr>
      </w:pPr>
    </w:p>
    <w:p w14:paraId="57A646AF" w14:textId="77777777" w:rsidR="00D82CBE" w:rsidRPr="0029210D" w:rsidRDefault="00D82CBE" w:rsidP="0029210D">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9" w:name="_Toc235435267"/>
      <w:r w:rsidRPr="0029210D">
        <w:rPr>
          <w:rFonts w:ascii="Arial" w:eastAsia="Times New Roman" w:hAnsi="Arial" w:cs="Arial"/>
          <w:b/>
          <w:bCs/>
          <w:kern w:val="36"/>
          <w:sz w:val="22"/>
          <w:szCs w:val="22"/>
          <w:lang w:eastAsia="en-GB"/>
          <w14:ligatures w14:val="none"/>
        </w:rPr>
        <w:t>Policy and Legislation</w:t>
      </w:r>
      <w:bookmarkEnd w:id="9"/>
    </w:p>
    <w:p w14:paraId="20F28EC1"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Several key UK policies and laws support person-centred care (PCC) and partnership working (PW) within mental health services. These frameworks aim to protect individuals’ rights, promote equality, improve service quality, and encourage collaboration between organisations.</w:t>
      </w:r>
    </w:p>
    <w:p w14:paraId="145B3A2A"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 xml:space="preserve">The </w:t>
      </w:r>
      <w:r w:rsidRPr="00206FFA">
        <w:rPr>
          <w:rFonts w:ascii="Arial" w:eastAsia="Times New Roman" w:hAnsi="Arial" w:cs="Arial"/>
          <w:b/>
          <w:bCs/>
          <w:kern w:val="0"/>
          <w:sz w:val="22"/>
          <w:szCs w:val="22"/>
          <w:lang w:eastAsia="en-GB"/>
          <w14:ligatures w14:val="none"/>
        </w:rPr>
        <w:t>Care Act 2014</w:t>
      </w:r>
      <w:r w:rsidRPr="00206FFA">
        <w:rPr>
          <w:rFonts w:ascii="Arial" w:eastAsia="Times New Roman" w:hAnsi="Arial" w:cs="Arial"/>
          <w:kern w:val="0"/>
          <w:sz w:val="22"/>
          <w:szCs w:val="22"/>
          <w:lang w:eastAsia="en-GB"/>
          <w14:ligatures w14:val="none"/>
        </w:rPr>
        <w:t xml:space="preserve"> promotes wellbeing, prevention, and personalised care by ensuring individuals are involved in decisions about their care and support (Department of Health and Social Care, 2014). The Act places importance on cooperation between health and social care organisations, supporting partnership working. Within mental health services, this allows professionals to consider an individual’s wider needs, including social relationships, housing, and community support.</w:t>
      </w:r>
    </w:p>
    <w:p w14:paraId="0AD30BA4"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 xml:space="preserve">The </w:t>
      </w:r>
      <w:r w:rsidRPr="00206FFA">
        <w:rPr>
          <w:rFonts w:ascii="Arial" w:eastAsia="Times New Roman" w:hAnsi="Arial" w:cs="Arial"/>
          <w:b/>
          <w:bCs/>
          <w:kern w:val="0"/>
          <w:sz w:val="22"/>
          <w:szCs w:val="22"/>
          <w:lang w:eastAsia="en-GB"/>
          <w14:ligatures w14:val="none"/>
        </w:rPr>
        <w:t>Health and Care Act 2022</w:t>
      </w:r>
      <w:r w:rsidRPr="00206FFA">
        <w:rPr>
          <w:rFonts w:ascii="Arial" w:eastAsia="Times New Roman" w:hAnsi="Arial" w:cs="Arial"/>
          <w:kern w:val="0"/>
          <w:sz w:val="22"/>
          <w:szCs w:val="22"/>
          <w:lang w:eastAsia="en-GB"/>
          <w14:ligatures w14:val="none"/>
        </w:rPr>
        <w:t xml:space="preserve"> strengthens integrated working through Integrated Care Systems (ICSs). It encourages NHS organisations, local authorities, and voluntary services to collaborate when planning and delivering care. In mental health settings, this supports professionals from different services working together to create coordinated care plans. For example, a person experiencing a mental health crisis may receive support from emergency services, mental health teams, social care, and community organisations.</w:t>
      </w:r>
    </w:p>
    <w:p w14:paraId="5D7256C3"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lastRenderedPageBreak/>
        <w:t xml:space="preserve">The </w:t>
      </w:r>
      <w:r w:rsidRPr="00206FFA">
        <w:rPr>
          <w:rFonts w:ascii="Arial" w:eastAsia="Times New Roman" w:hAnsi="Arial" w:cs="Arial"/>
          <w:b/>
          <w:bCs/>
          <w:kern w:val="0"/>
          <w:sz w:val="22"/>
          <w:szCs w:val="22"/>
          <w:lang w:eastAsia="en-GB"/>
          <w14:ligatures w14:val="none"/>
        </w:rPr>
        <w:t>Health and Social Care Act 2012</w:t>
      </w:r>
      <w:r w:rsidRPr="00206FFA">
        <w:rPr>
          <w:rFonts w:ascii="Arial" w:eastAsia="Times New Roman" w:hAnsi="Arial" w:cs="Arial"/>
          <w:kern w:val="0"/>
          <w:sz w:val="22"/>
          <w:szCs w:val="22"/>
          <w:lang w:eastAsia="en-GB"/>
          <w14:ligatures w14:val="none"/>
        </w:rPr>
        <w:t xml:space="preserve"> introduced changes aimed at improving patient choice, accountability, and quality of care. It supports PCC by encouraging individuals to have greater involvement in decisions about their healthcare. However, changes to service organisation have also been criticised for contributing to fragmentation between some services, which may create challenges for partnership working.</w:t>
      </w:r>
    </w:p>
    <w:p w14:paraId="06775BEC"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 xml:space="preserve">The </w:t>
      </w:r>
      <w:r w:rsidRPr="00206FFA">
        <w:rPr>
          <w:rFonts w:ascii="Arial" w:eastAsia="Times New Roman" w:hAnsi="Arial" w:cs="Arial"/>
          <w:b/>
          <w:bCs/>
          <w:kern w:val="0"/>
          <w:sz w:val="22"/>
          <w:szCs w:val="22"/>
          <w:lang w:eastAsia="en-GB"/>
          <w14:ligatures w14:val="none"/>
        </w:rPr>
        <w:t>Mental Capacity Act 2005</w:t>
      </w:r>
      <w:r w:rsidRPr="00206FFA">
        <w:rPr>
          <w:rFonts w:ascii="Arial" w:eastAsia="Times New Roman" w:hAnsi="Arial" w:cs="Arial"/>
          <w:kern w:val="0"/>
          <w:sz w:val="22"/>
          <w:szCs w:val="22"/>
          <w:lang w:eastAsia="en-GB"/>
          <w14:ligatures w14:val="none"/>
        </w:rPr>
        <w:t xml:space="preserve"> supports individuals who may lack the capacity to make specific decisions by promoting decision-making support and best-interest principles (Department of Health, 2005). This legislation supports PCC by ensuring that professionals involve individuals as much as possible while protecting those who are unable to make certain decisions independently.</w:t>
      </w:r>
    </w:p>
    <w:p w14:paraId="2C0E217C"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 xml:space="preserve">The </w:t>
      </w:r>
      <w:r w:rsidRPr="00206FFA">
        <w:rPr>
          <w:rFonts w:ascii="Arial" w:eastAsia="Times New Roman" w:hAnsi="Arial" w:cs="Arial"/>
          <w:b/>
          <w:bCs/>
          <w:kern w:val="0"/>
          <w:sz w:val="22"/>
          <w:szCs w:val="22"/>
          <w:lang w:eastAsia="en-GB"/>
          <w14:ligatures w14:val="none"/>
        </w:rPr>
        <w:t>Human Rights Act 1998</w:t>
      </w:r>
      <w:r w:rsidRPr="00206FFA">
        <w:rPr>
          <w:rFonts w:ascii="Arial" w:eastAsia="Times New Roman" w:hAnsi="Arial" w:cs="Arial"/>
          <w:kern w:val="0"/>
          <w:sz w:val="22"/>
          <w:szCs w:val="22"/>
          <w:lang w:eastAsia="en-GB"/>
          <w14:ligatures w14:val="none"/>
        </w:rPr>
        <w:t xml:space="preserve"> protects important rights, including dignity, privacy, liberty, and respect for family life. This is particularly relevant within mental health services where individuals may experience compulsory treatment. Professionals must ensure that any restrictions are necessary, proportionate, and respectful of the individual’s rights.</w:t>
      </w:r>
    </w:p>
    <w:p w14:paraId="35276717"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 xml:space="preserve">The </w:t>
      </w:r>
      <w:r w:rsidRPr="00206FFA">
        <w:rPr>
          <w:rFonts w:ascii="Arial" w:eastAsia="Times New Roman" w:hAnsi="Arial" w:cs="Arial"/>
          <w:b/>
          <w:bCs/>
          <w:kern w:val="0"/>
          <w:sz w:val="22"/>
          <w:szCs w:val="22"/>
          <w:lang w:eastAsia="en-GB"/>
          <w14:ligatures w14:val="none"/>
        </w:rPr>
        <w:t>Equality Act 2010</w:t>
      </w:r>
      <w:r w:rsidRPr="00206FFA">
        <w:rPr>
          <w:rFonts w:ascii="Arial" w:eastAsia="Times New Roman" w:hAnsi="Arial" w:cs="Arial"/>
          <w:kern w:val="0"/>
          <w:sz w:val="22"/>
          <w:szCs w:val="22"/>
          <w:lang w:eastAsia="en-GB"/>
          <w14:ligatures w14:val="none"/>
        </w:rPr>
        <w:t xml:space="preserve"> protects individuals from discrimination and requires healthcare providers to make reasonable adjustments to improve access to services. For example, mental health services may provide accessible information, communication support, or flexible appointments to ensure equal access for individuals with different needs.</w:t>
      </w:r>
    </w:p>
    <w:p w14:paraId="43AABD6A"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 xml:space="preserve">The </w:t>
      </w:r>
      <w:r w:rsidRPr="00206FFA">
        <w:rPr>
          <w:rFonts w:ascii="Arial" w:eastAsia="Times New Roman" w:hAnsi="Arial" w:cs="Arial"/>
          <w:b/>
          <w:bCs/>
          <w:kern w:val="0"/>
          <w:sz w:val="22"/>
          <w:szCs w:val="22"/>
          <w:lang w:eastAsia="en-GB"/>
          <w14:ligatures w14:val="none"/>
        </w:rPr>
        <w:t>Mental Health Act 1983 (amended 2007)</w:t>
      </w:r>
      <w:r w:rsidRPr="00206FFA">
        <w:rPr>
          <w:rFonts w:ascii="Arial" w:eastAsia="Times New Roman" w:hAnsi="Arial" w:cs="Arial"/>
          <w:kern w:val="0"/>
          <w:sz w:val="22"/>
          <w:szCs w:val="22"/>
          <w:lang w:eastAsia="en-GB"/>
          <w14:ligatures w14:val="none"/>
        </w:rPr>
        <w:t xml:space="preserve"> provides the legal framework for compulsory assessment, treatment, and detention when individuals pose serious risks to themselves or others. Although compulsory intervention may limit autonomy, professionals must use the least restrictive approach and continue involving individuals in decisions wherever possible.</w:t>
      </w:r>
    </w:p>
    <w:p w14:paraId="0831601B"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Overall, these policies and laws provide a strong foundation for PCC and PW within mental health services. They influence everyday practice by guiding professionals to protect rights, encourage collaboration, involve service users, and provide safe and effective care. However, challenges such as limited resources, workforce pressures, and increasing demand can make implementation difficult.</w:t>
      </w:r>
    </w:p>
    <w:p w14:paraId="6940A20E" w14:textId="52CC054C" w:rsidR="00D82CBE" w:rsidRPr="00D82CBE" w:rsidRDefault="00D82CBE" w:rsidP="0029210D">
      <w:pPr>
        <w:spacing w:after="0" w:line="360" w:lineRule="auto"/>
        <w:rPr>
          <w:rFonts w:ascii="Times New Roman" w:eastAsia="Times New Roman" w:hAnsi="Times New Roman" w:cs="Times New Roman"/>
          <w:kern w:val="0"/>
          <w:lang w:eastAsia="en-GB"/>
          <w14:ligatures w14:val="none"/>
        </w:rPr>
      </w:pPr>
    </w:p>
    <w:p w14:paraId="6F95E067" w14:textId="77777777" w:rsidR="00D82CBE" w:rsidRPr="0029210D" w:rsidRDefault="00D82CBE" w:rsidP="0029210D">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10" w:name="_Toc235435268"/>
      <w:r w:rsidRPr="0029210D">
        <w:rPr>
          <w:rFonts w:ascii="Arial" w:eastAsia="Times New Roman" w:hAnsi="Arial" w:cs="Arial"/>
          <w:b/>
          <w:bCs/>
          <w:kern w:val="36"/>
          <w:sz w:val="22"/>
          <w:szCs w:val="22"/>
          <w:lang w:eastAsia="en-GB"/>
          <w14:ligatures w14:val="none"/>
        </w:rPr>
        <w:t>Recommendations</w:t>
      </w:r>
      <w:bookmarkEnd w:id="10"/>
    </w:p>
    <w:p w14:paraId="63CED025"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 xml:space="preserve">To improve person-centred care and partnership working within UK mental health services, several areas require further development. One important recommendation is increasing </w:t>
      </w:r>
      <w:r w:rsidRPr="00206FFA">
        <w:rPr>
          <w:rFonts w:ascii="Arial" w:eastAsia="Times New Roman" w:hAnsi="Arial" w:cs="Arial"/>
          <w:kern w:val="0"/>
          <w:sz w:val="22"/>
          <w:szCs w:val="22"/>
          <w:lang w:eastAsia="en-GB"/>
          <w14:ligatures w14:val="none"/>
        </w:rPr>
        <w:lastRenderedPageBreak/>
        <w:t>staff training in person-centred approaches, communication skills, and shared decision-making. Regular training would help professionals develop stronger relationships with service users and ensure that care remains focused on individual needs rather than organisational priorities.</w:t>
      </w:r>
    </w:p>
    <w:p w14:paraId="1013F7AE"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Another recommendation is improving the use of digital technology to support communication between services. Shared electronic care records could allow professionals across health, social care, and voluntary organisations to access appropriate information more efficiently, reducing delays and improving continuity of care. However, digital systems must consider confidentiality, data protection, and inequalities for individuals who have limited access to technology.</w:t>
      </w:r>
    </w:p>
    <w:p w14:paraId="691198B0"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Strengthening collaboration between NHS services, social care, and voluntary organisations is also essential. Developing stronger partnerships can improve access to wider support, including housing, employment, and community services. However, barriers such as funding limitations, different organisational cultures, and staff capacity must be addressed to ensure effective implementation.</w:t>
      </w:r>
    </w:p>
    <w:p w14:paraId="631B86E8"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Further research and evaluation are also recommended to identify the most effective approaches for delivering PCC and PW. Evidence-based improvements can help shape future mental health policies and ensure services continue to meet the changing needs of individuals.</w:t>
      </w:r>
    </w:p>
    <w:p w14:paraId="32134C7F" w14:textId="63575240" w:rsidR="00D82CBE" w:rsidRPr="00D82CBE" w:rsidRDefault="00D82CBE" w:rsidP="0029210D">
      <w:pPr>
        <w:spacing w:after="0" w:line="360" w:lineRule="auto"/>
        <w:rPr>
          <w:rFonts w:ascii="Times New Roman" w:eastAsia="Times New Roman" w:hAnsi="Times New Roman" w:cs="Times New Roman"/>
          <w:kern w:val="0"/>
          <w:lang w:eastAsia="en-GB"/>
          <w14:ligatures w14:val="none"/>
        </w:rPr>
      </w:pPr>
    </w:p>
    <w:p w14:paraId="296A724A" w14:textId="77777777" w:rsidR="00D82CBE" w:rsidRPr="0029210D" w:rsidRDefault="00D82CBE" w:rsidP="0029210D">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11" w:name="_Toc235435269"/>
      <w:r w:rsidRPr="0029210D">
        <w:rPr>
          <w:rFonts w:ascii="Arial" w:eastAsia="Times New Roman" w:hAnsi="Arial" w:cs="Arial"/>
          <w:b/>
          <w:bCs/>
          <w:kern w:val="36"/>
          <w:sz w:val="22"/>
          <w:szCs w:val="22"/>
          <w:lang w:eastAsia="en-GB"/>
          <w14:ligatures w14:val="none"/>
        </w:rPr>
        <w:t>Conclusion</w:t>
      </w:r>
      <w:bookmarkEnd w:id="11"/>
    </w:p>
    <w:p w14:paraId="73AF45AA"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Person-centred care and partnership working are essential approaches within UK mental health services. PCC ensures that individuals are treated with dignity, respect, and involvement, while PW enables professionals and organisations to provide coordinated and holistic support. Theories such as Rogers’ Person-Centred Theory, the Recovery Model, and Maslow’s Hierarchy of Needs demonstrate the importance of empowerment, relationships, and recognising individual needs.</w:t>
      </w:r>
    </w:p>
    <w:p w14:paraId="26108139" w14:textId="77777777" w:rsidR="00D82CBE" w:rsidRPr="00206FFA"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t>Ethical principles, including autonomy, beneficence, non-maleficence, and justice, guide professionals in delivering safe and respectful care. Policies and legislation, including the Care Act 2014, Health and Care Act 2022, Mental Capacity Act 2005, Human Rights Act 1998, and Equality Act 2010, provide important frameworks that support PCC and PW.</w:t>
      </w:r>
    </w:p>
    <w:p w14:paraId="64EB6688" w14:textId="4637B927" w:rsidR="00206FFA" w:rsidRPr="0029210D" w:rsidRDefault="00D82CBE" w:rsidP="0029210D">
      <w:pPr>
        <w:spacing w:before="100" w:beforeAutospacing="1" w:after="100" w:afterAutospacing="1" w:line="360" w:lineRule="auto"/>
        <w:rPr>
          <w:rFonts w:ascii="Arial" w:eastAsia="Times New Roman" w:hAnsi="Arial" w:cs="Arial"/>
          <w:kern w:val="0"/>
          <w:sz w:val="22"/>
          <w:szCs w:val="22"/>
          <w:lang w:eastAsia="en-GB"/>
          <w14:ligatures w14:val="none"/>
        </w:rPr>
      </w:pPr>
      <w:r w:rsidRPr="00206FFA">
        <w:rPr>
          <w:rFonts w:ascii="Arial" w:eastAsia="Times New Roman" w:hAnsi="Arial" w:cs="Arial"/>
          <w:kern w:val="0"/>
          <w:sz w:val="22"/>
          <w:szCs w:val="22"/>
          <w:lang w:eastAsia="en-GB"/>
          <w14:ligatures w14:val="none"/>
        </w:rPr>
        <w:lastRenderedPageBreak/>
        <w:t>Although challenges such as limited resources, communication barriers, and workforce pressures remain, improving training, technology, and collaboration can strengthen future mental health services. Overall, PCC and PW remain fundamental to achieving recovery-focused, integrated, and high-quality mental health care.</w:t>
      </w:r>
    </w:p>
    <w:p w14:paraId="44499323" w14:textId="35C94C65" w:rsidR="00D82CBE" w:rsidRPr="00D82CBE" w:rsidRDefault="00D82CBE" w:rsidP="00D82C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2" w:name="_Toc235435270"/>
      <w:r w:rsidRPr="00D82CBE">
        <w:rPr>
          <w:rFonts w:ascii="Times New Roman" w:eastAsia="Times New Roman" w:hAnsi="Times New Roman" w:cs="Times New Roman"/>
          <w:b/>
          <w:bCs/>
          <w:kern w:val="0"/>
          <w:sz w:val="36"/>
          <w:szCs w:val="36"/>
          <w:lang w:eastAsia="en-GB"/>
          <w14:ligatures w14:val="none"/>
        </w:rPr>
        <w:t>Reference List</w:t>
      </w:r>
      <w:bookmarkEnd w:id="12"/>
    </w:p>
    <w:p w14:paraId="559E7DC1" w14:textId="00ADA13D"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C4B3F5D" w14:textId="77777777"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2CBE">
        <w:rPr>
          <w:rFonts w:ascii="Times New Roman" w:eastAsia="Times New Roman" w:hAnsi="Times New Roman" w:cs="Times New Roman"/>
          <w:kern w:val="0"/>
          <w:lang w:eastAsia="en-GB"/>
          <w14:ligatures w14:val="none"/>
        </w:rPr>
        <w:t xml:space="preserve">Department of Health (2005) </w:t>
      </w:r>
      <w:r w:rsidRPr="00D82CBE">
        <w:rPr>
          <w:rFonts w:ascii="Times New Roman" w:eastAsia="Times New Roman" w:hAnsi="Times New Roman" w:cs="Times New Roman"/>
          <w:i/>
          <w:iCs/>
          <w:kern w:val="0"/>
          <w:lang w:eastAsia="en-GB"/>
          <w14:ligatures w14:val="none"/>
        </w:rPr>
        <w:t>Mental Capacity Act 2005: Code of Practice</w:t>
      </w:r>
      <w:r w:rsidRPr="00D82CBE">
        <w:rPr>
          <w:rFonts w:ascii="Times New Roman" w:eastAsia="Times New Roman" w:hAnsi="Times New Roman" w:cs="Times New Roman"/>
          <w:kern w:val="0"/>
          <w:lang w:eastAsia="en-GB"/>
          <w14:ligatures w14:val="none"/>
        </w:rPr>
        <w:t>. London: The Stationery Office.</w:t>
      </w:r>
    </w:p>
    <w:p w14:paraId="2DCA9BFE" w14:textId="77777777"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2CBE">
        <w:rPr>
          <w:rFonts w:ascii="Times New Roman" w:eastAsia="Times New Roman" w:hAnsi="Times New Roman" w:cs="Times New Roman"/>
          <w:kern w:val="0"/>
          <w:lang w:eastAsia="en-GB"/>
          <w14:ligatures w14:val="none"/>
        </w:rPr>
        <w:t xml:space="preserve">Department of Health (2007) </w:t>
      </w:r>
      <w:r w:rsidRPr="00D82CBE">
        <w:rPr>
          <w:rFonts w:ascii="Times New Roman" w:eastAsia="Times New Roman" w:hAnsi="Times New Roman" w:cs="Times New Roman"/>
          <w:i/>
          <w:iCs/>
          <w:kern w:val="0"/>
          <w:lang w:eastAsia="en-GB"/>
          <w14:ligatures w14:val="none"/>
        </w:rPr>
        <w:t>Mental Health Act 1983: Code of Practice</w:t>
      </w:r>
      <w:r w:rsidRPr="00D82CBE">
        <w:rPr>
          <w:rFonts w:ascii="Times New Roman" w:eastAsia="Times New Roman" w:hAnsi="Times New Roman" w:cs="Times New Roman"/>
          <w:kern w:val="0"/>
          <w:lang w:eastAsia="en-GB"/>
          <w14:ligatures w14:val="none"/>
        </w:rPr>
        <w:t>. London: The Stationery Office.</w:t>
      </w:r>
    </w:p>
    <w:p w14:paraId="50CF2482" w14:textId="148647F9"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2CBE">
        <w:rPr>
          <w:rFonts w:ascii="Times New Roman" w:eastAsia="Times New Roman" w:hAnsi="Times New Roman" w:cs="Times New Roman"/>
          <w:kern w:val="0"/>
          <w:lang w:eastAsia="en-GB"/>
          <w14:ligatures w14:val="none"/>
        </w:rPr>
        <w:t xml:space="preserve">Department of Health and Social Care (2014) </w:t>
      </w:r>
      <w:r w:rsidRPr="00D82CBE">
        <w:rPr>
          <w:rFonts w:ascii="Times New Roman" w:eastAsia="Times New Roman" w:hAnsi="Times New Roman" w:cs="Times New Roman"/>
          <w:i/>
          <w:iCs/>
          <w:kern w:val="0"/>
          <w:lang w:eastAsia="en-GB"/>
          <w14:ligatures w14:val="none"/>
        </w:rPr>
        <w:t>Care Act 2014</w:t>
      </w:r>
      <w:r w:rsidRPr="00D82CBE">
        <w:rPr>
          <w:rFonts w:ascii="Times New Roman" w:eastAsia="Times New Roman" w:hAnsi="Times New Roman" w:cs="Times New Roman"/>
          <w:kern w:val="0"/>
          <w:lang w:eastAsia="en-GB"/>
          <w14:ligatures w14:val="none"/>
        </w:rPr>
        <w:t xml:space="preserve">. London: The Stationery Office. Available at: </w:t>
      </w:r>
      <w:hyperlink r:id="rId6" w:tgtFrame="_new" w:history="1">
        <w:r w:rsidRPr="00D82CBE">
          <w:rPr>
            <w:rFonts w:ascii="Times New Roman" w:eastAsia="Times New Roman" w:hAnsi="Times New Roman" w:cs="Times New Roman"/>
            <w:color w:val="0000FF"/>
            <w:kern w:val="0"/>
            <w:u w:val="single"/>
            <w:lang w:eastAsia="en-GB"/>
            <w14:ligatures w14:val="none"/>
          </w:rPr>
          <w:t>https://www.legislation.gov.uk/ukpga/2014/23/contents</w:t>
        </w:r>
      </w:hyperlink>
      <w:r w:rsidRPr="00D82CBE">
        <w:rPr>
          <w:rFonts w:ascii="Times New Roman" w:eastAsia="Times New Roman" w:hAnsi="Times New Roman" w:cs="Times New Roman"/>
          <w:kern w:val="0"/>
          <w:lang w:eastAsia="en-GB"/>
          <w14:ligatures w14:val="none"/>
        </w:rPr>
        <w:t xml:space="preserve"> (Accessed: </w:t>
      </w:r>
      <w:r w:rsidR="002C602F">
        <w:rPr>
          <w:rFonts w:ascii="Times New Roman" w:eastAsia="Times New Roman" w:hAnsi="Times New Roman" w:cs="Times New Roman"/>
          <w:kern w:val="0"/>
          <w:lang w:eastAsia="en-GB"/>
          <w14:ligatures w14:val="none"/>
        </w:rPr>
        <w:t>17</w:t>
      </w:r>
      <w:r w:rsidRPr="00D82CBE">
        <w:rPr>
          <w:rFonts w:ascii="Times New Roman" w:eastAsia="Times New Roman" w:hAnsi="Times New Roman" w:cs="Times New Roman"/>
          <w:kern w:val="0"/>
          <w:lang w:eastAsia="en-GB"/>
          <w14:ligatures w14:val="none"/>
        </w:rPr>
        <w:t xml:space="preserve"> July 2026).</w:t>
      </w:r>
    </w:p>
    <w:p w14:paraId="35B862C6" w14:textId="21265F37"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2CBE">
        <w:rPr>
          <w:rFonts w:ascii="Times New Roman" w:eastAsia="Times New Roman" w:hAnsi="Times New Roman" w:cs="Times New Roman"/>
          <w:kern w:val="0"/>
          <w:lang w:eastAsia="en-GB"/>
          <w14:ligatures w14:val="none"/>
        </w:rPr>
        <w:t xml:space="preserve">Department of Health and Social Care (2022) </w:t>
      </w:r>
      <w:r w:rsidRPr="00D82CBE">
        <w:rPr>
          <w:rFonts w:ascii="Times New Roman" w:eastAsia="Times New Roman" w:hAnsi="Times New Roman" w:cs="Times New Roman"/>
          <w:i/>
          <w:iCs/>
          <w:kern w:val="0"/>
          <w:lang w:eastAsia="en-GB"/>
          <w14:ligatures w14:val="none"/>
        </w:rPr>
        <w:t>Health and Care Act 2022</w:t>
      </w:r>
      <w:r w:rsidRPr="00D82CBE">
        <w:rPr>
          <w:rFonts w:ascii="Times New Roman" w:eastAsia="Times New Roman" w:hAnsi="Times New Roman" w:cs="Times New Roman"/>
          <w:kern w:val="0"/>
          <w:lang w:eastAsia="en-GB"/>
          <w14:ligatures w14:val="none"/>
        </w:rPr>
        <w:t xml:space="preserve">. London: The Stationery Office. Available at: </w:t>
      </w:r>
      <w:hyperlink r:id="rId7" w:tgtFrame="_new" w:history="1">
        <w:r w:rsidRPr="00D82CBE">
          <w:rPr>
            <w:rFonts w:ascii="Times New Roman" w:eastAsia="Times New Roman" w:hAnsi="Times New Roman" w:cs="Times New Roman"/>
            <w:color w:val="0000FF"/>
            <w:kern w:val="0"/>
            <w:u w:val="single"/>
            <w:lang w:eastAsia="en-GB"/>
            <w14:ligatures w14:val="none"/>
          </w:rPr>
          <w:t>https://www.legislation.gov.uk/ukpga/2022/31/contents</w:t>
        </w:r>
      </w:hyperlink>
      <w:r w:rsidRPr="00D82CBE">
        <w:rPr>
          <w:rFonts w:ascii="Times New Roman" w:eastAsia="Times New Roman" w:hAnsi="Times New Roman" w:cs="Times New Roman"/>
          <w:kern w:val="0"/>
          <w:lang w:eastAsia="en-GB"/>
          <w14:ligatures w14:val="none"/>
        </w:rPr>
        <w:t xml:space="preserve"> (Accessed: </w:t>
      </w:r>
      <w:r w:rsidR="002C602F">
        <w:rPr>
          <w:rFonts w:ascii="Times New Roman" w:eastAsia="Times New Roman" w:hAnsi="Times New Roman" w:cs="Times New Roman"/>
          <w:kern w:val="0"/>
          <w:lang w:eastAsia="en-GB"/>
          <w14:ligatures w14:val="none"/>
        </w:rPr>
        <w:t>18</w:t>
      </w:r>
      <w:r w:rsidRPr="00D82CBE">
        <w:rPr>
          <w:rFonts w:ascii="Times New Roman" w:eastAsia="Times New Roman" w:hAnsi="Times New Roman" w:cs="Times New Roman"/>
          <w:kern w:val="0"/>
          <w:lang w:eastAsia="en-GB"/>
          <w14:ligatures w14:val="none"/>
        </w:rPr>
        <w:t xml:space="preserve"> July 2026).</w:t>
      </w:r>
    </w:p>
    <w:p w14:paraId="7DB20DB5" w14:textId="6BA71F6B"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2CBE">
        <w:rPr>
          <w:rFonts w:ascii="Times New Roman" w:eastAsia="Times New Roman" w:hAnsi="Times New Roman" w:cs="Times New Roman"/>
          <w:kern w:val="0"/>
          <w:lang w:eastAsia="en-GB"/>
          <w14:ligatures w14:val="none"/>
        </w:rPr>
        <w:t xml:space="preserve">Department of Health (2012) </w:t>
      </w:r>
      <w:r w:rsidRPr="00D82CBE">
        <w:rPr>
          <w:rFonts w:ascii="Times New Roman" w:eastAsia="Times New Roman" w:hAnsi="Times New Roman" w:cs="Times New Roman"/>
          <w:i/>
          <w:iCs/>
          <w:kern w:val="0"/>
          <w:lang w:eastAsia="en-GB"/>
          <w14:ligatures w14:val="none"/>
        </w:rPr>
        <w:t>Health and Social Care Act 2012</w:t>
      </w:r>
      <w:r w:rsidRPr="00D82CBE">
        <w:rPr>
          <w:rFonts w:ascii="Times New Roman" w:eastAsia="Times New Roman" w:hAnsi="Times New Roman" w:cs="Times New Roman"/>
          <w:kern w:val="0"/>
          <w:lang w:eastAsia="en-GB"/>
          <w14:ligatures w14:val="none"/>
        </w:rPr>
        <w:t xml:space="preserve">. London: The Stationery Office. Available at: </w:t>
      </w:r>
      <w:hyperlink r:id="rId8" w:tgtFrame="_new" w:history="1">
        <w:r w:rsidRPr="00D82CBE">
          <w:rPr>
            <w:rFonts w:ascii="Times New Roman" w:eastAsia="Times New Roman" w:hAnsi="Times New Roman" w:cs="Times New Roman"/>
            <w:color w:val="0000FF"/>
            <w:kern w:val="0"/>
            <w:u w:val="single"/>
            <w:lang w:eastAsia="en-GB"/>
            <w14:ligatures w14:val="none"/>
          </w:rPr>
          <w:t>https://www.legislation.gov.uk/ukpga/2012/7/contents</w:t>
        </w:r>
      </w:hyperlink>
      <w:r w:rsidRPr="00D82CBE">
        <w:rPr>
          <w:rFonts w:ascii="Times New Roman" w:eastAsia="Times New Roman" w:hAnsi="Times New Roman" w:cs="Times New Roman"/>
          <w:kern w:val="0"/>
          <w:lang w:eastAsia="en-GB"/>
          <w14:ligatures w14:val="none"/>
        </w:rPr>
        <w:t xml:space="preserve"> (Accessed: </w:t>
      </w:r>
      <w:r w:rsidR="002C602F">
        <w:rPr>
          <w:rFonts w:ascii="Times New Roman" w:eastAsia="Times New Roman" w:hAnsi="Times New Roman" w:cs="Times New Roman"/>
          <w:kern w:val="0"/>
          <w:lang w:eastAsia="en-GB"/>
          <w14:ligatures w14:val="none"/>
        </w:rPr>
        <w:t>14</w:t>
      </w:r>
      <w:r w:rsidRPr="00D82CBE">
        <w:rPr>
          <w:rFonts w:ascii="Times New Roman" w:eastAsia="Times New Roman" w:hAnsi="Times New Roman" w:cs="Times New Roman"/>
          <w:kern w:val="0"/>
          <w:lang w:eastAsia="en-GB"/>
          <w14:ligatures w14:val="none"/>
        </w:rPr>
        <w:t xml:space="preserve"> July 2026).</w:t>
      </w:r>
    </w:p>
    <w:p w14:paraId="32C4D968" w14:textId="247ADC08"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2CBE">
        <w:rPr>
          <w:rFonts w:ascii="Times New Roman" w:eastAsia="Times New Roman" w:hAnsi="Times New Roman" w:cs="Times New Roman"/>
          <w:kern w:val="0"/>
          <w:lang w:eastAsia="en-GB"/>
          <w14:ligatures w14:val="none"/>
        </w:rPr>
        <w:t xml:space="preserve">Equality Act (2010) </w:t>
      </w:r>
      <w:r w:rsidRPr="00D82CBE">
        <w:rPr>
          <w:rFonts w:ascii="Times New Roman" w:eastAsia="Times New Roman" w:hAnsi="Times New Roman" w:cs="Times New Roman"/>
          <w:i/>
          <w:iCs/>
          <w:kern w:val="0"/>
          <w:lang w:eastAsia="en-GB"/>
          <w14:ligatures w14:val="none"/>
        </w:rPr>
        <w:t>Equality Act 2010</w:t>
      </w:r>
      <w:r w:rsidRPr="00D82CBE">
        <w:rPr>
          <w:rFonts w:ascii="Times New Roman" w:eastAsia="Times New Roman" w:hAnsi="Times New Roman" w:cs="Times New Roman"/>
          <w:kern w:val="0"/>
          <w:lang w:eastAsia="en-GB"/>
          <w14:ligatures w14:val="none"/>
        </w:rPr>
        <w:t xml:space="preserve">. London: The Stationery Office. Available at: </w:t>
      </w:r>
      <w:hyperlink r:id="rId9" w:tgtFrame="_new" w:history="1">
        <w:r w:rsidRPr="00D82CBE">
          <w:rPr>
            <w:rFonts w:ascii="Times New Roman" w:eastAsia="Times New Roman" w:hAnsi="Times New Roman" w:cs="Times New Roman"/>
            <w:color w:val="0000FF"/>
            <w:kern w:val="0"/>
            <w:u w:val="single"/>
            <w:lang w:eastAsia="en-GB"/>
            <w14:ligatures w14:val="none"/>
          </w:rPr>
          <w:t>https://www.legislation.gov.uk/ukpga/2010/15/contents</w:t>
        </w:r>
      </w:hyperlink>
      <w:r w:rsidRPr="00D82CBE">
        <w:rPr>
          <w:rFonts w:ascii="Times New Roman" w:eastAsia="Times New Roman" w:hAnsi="Times New Roman" w:cs="Times New Roman"/>
          <w:kern w:val="0"/>
          <w:lang w:eastAsia="en-GB"/>
          <w14:ligatures w14:val="none"/>
        </w:rPr>
        <w:t xml:space="preserve"> (Accessed: </w:t>
      </w:r>
      <w:r w:rsidR="005E41A8">
        <w:rPr>
          <w:rFonts w:ascii="Times New Roman" w:eastAsia="Times New Roman" w:hAnsi="Times New Roman" w:cs="Times New Roman"/>
          <w:kern w:val="0"/>
          <w:lang w:eastAsia="en-GB"/>
          <w14:ligatures w14:val="none"/>
        </w:rPr>
        <w:t>16</w:t>
      </w:r>
      <w:r w:rsidR="002C602F">
        <w:rPr>
          <w:rFonts w:ascii="Times New Roman" w:eastAsia="Times New Roman" w:hAnsi="Times New Roman" w:cs="Times New Roman"/>
          <w:kern w:val="0"/>
          <w:lang w:eastAsia="en-GB"/>
          <w14:ligatures w14:val="none"/>
        </w:rPr>
        <w:t xml:space="preserve"> </w:t>
      </w:r>
      <w:r w:rsidRPr="00D82CBE">
        <w:rPr>
          <w:rFonts w:ascii="Times New Roman" w:eastAsia="Times New Roman" w:hAnsi="Times New Roman" w:cs="Times New Roman"/>
          <w:kern w:val="0"/>
          <w:lang w:eastAsia="en-GB"/>
          <w14:ligatures w14:val="none"/>
        </w:rPr>
        <w:t>July 2026).</w:t>
      </w:r>
    </w:p>
    <w:p w14:paraId="44D53FFA" w14:textId="3687BDAF"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2CBE">
        <w:rPr>
          <w:rFonts w:ascii="Times New Roman" w:eastAsia="Times New Roman" w:hAnsi="Times New Roman" w:cs="Times New Roman"/>
          <w:kern w:val="0"/>
          <w:lang w:eastAsia="en-GB"/>
          <w14:ligatures w14:val="none"/>
        </w:rPr>
        <w:t xml:space="preserve">Human Rights Act (1998) </w:t>
      </w:r>
      <w:r w:rsidRPr="00D82CBE">
        <w:rPr>
          <w:rFonts w:ascii="Times New Roman" w:eastAsia="Times New Roman" w:hAnsi="Times New Roman" w:cs="Times New Roman"/>
          <w:i/>
          <w:iCs/>
          <w:kern w:val="0"/>
          <w:lang w:eastAsia="en-GB"/>
          <w14:ligatures w14:val="none"/>
        </w:rPr>
        <w:t>Human Rights Act 1998</w:t>
      </w:r>
      <w:r w:rsidRPr="00D82CBE">
        <w:rPr>
          <w:rFonts w:ascii="Times New Roman" w:eastAsia="Times New Roman" w:hAnsi="Times New Roman" w:cs="Times New Roman"/>
          <w:kern w:val="0"/>
          <w:lang w:eastAsia="en-GB"/>
          <w14:ligatures w14:val="none"/>
        </w:rPr>
        <w:t xml:space="preserve">. London: The Stationery Office. Available at: </w:t>
      </w:r>
      <w:hyperlink r:id="rId10" w:tgtFrame="_new" w:history="1">
        <w:r w:rsidRPr="00D82CBE">
          <w:rPr>
            <w:rFonts w:ascii="Times New Roman" w:eastAsia="Times New Roman" w:hAnsi="Times New Roman" w:cs="Times New Roman"/>
            <w:color w:val="0000FF"/>
            <w:kern w:val="0"/>
            <w:u w:val="single"/>
            <w:lang w:eastAsia="en-GB"/>
            <w14:ligatures w14:val="none"/>
          </w:rPr>
          <w:t>https://www.legislation.gov.uk/ukpga/1998/42/contents</w:t>
        </w:r>
      </w:hyperlink>
      <w:r w:rsidRPr="00D82CBE">
        <w:rPr>
          <w:rFonts w:ascii="Times New Roman" w:eastAsia="Times New Roman" w:hAnsi="Times New Roman" w:cs="Times New Roman"/>
          <w:kern w:val="0"/>
          <w:lang w:eastAsia="en-GB"/>
          <w14:ligatures w14:val="none"/>
        </w:rPr>
        <w:t xml:space="preserve"> (Accessed: </w:t>
      </w:r>
      <w:r w:rsidR="005E41A8">
        <w:rPr>
          <w:rFonts w:ascii="Times New Roman" w:eastAsia="Times New Roman" w:hAnsi="Times New Roman" w:cs="Times New Roman"/>
          <w:kern w:val="0"/>
          <w:lang w:eastAsia="en-GB"/>
          <w14:ligatures w14:val="none"/>
        </w:rPr>
        <w:t>13</w:t>
      </w:r>
      <w:r w:rsidRPr="00D82CBE">
        <w:rPr>
          <w:rFonts w:ascii="Times New Roman" w:eastAsia="Times New Roman" w:hAnsi="Times New Roman" w:cs="Times New Roman"/>
          <w:kern w:val="0"/>
          <w:lang w:eastAsia="en-GB"/>
          <w14:ligatures w14:val="none"/>
        </w:rPr>
        <w:t xml:space="preserve"> July 2026).</w:t>
      </w:r>
    </w:p>
    <w:p w14:paraId="44042174" w14:textId="77777777"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2CBE">
        <w:rPr>
          <w:rFonts w:ascii="Times New Roman" w:eastAsia="Times New Roman" w:hAnsi="Times New Roman" w:cs="Times New Roman"/>
          <w:kern w:val="0"/>
          <w:lang w:eastAsia="en-GB"/>
          <w14:ligatures w14:val="none"/>
        </w:rPr>
        <w:t xml:space="preserve">Maslow, A.H. (1943) ‘A theory of human motivation’, </w:t>
      </w:r>
      <w:r w:rsidRPr="00D82CBE">
        <w:rPr>
          <w:rFonts w:ascii="Times New Roman" w:eastAsia="Times New Roman" w:hAnsi="Times New Roman" w:cs="Times New Roman"/>
          <w:i/>
          <w:iCs/>
          <w:kern w:val="0"/>
          <w:lang w:eastAsia="en-GB"/>
          <w14:ligatures w14:val="none"/>
        </w:rPr>
        <w:t>Psychological Review</w:t>
      </w:r>
      <w:r w:rsidRPr="00D82CBE">
        <w:rPr>
          <w:rFonts w:ascii="Times New Roman" w:eastAsia="Times New Roman" w:hAnsi="Times New Roman" w:cs="Times New Roman"/>
          <w:kern w:val="0"/>
          <w:lang w:eastAsia="en-GB"/>
          <w14:ligatures w14:val="none"/>
        </w:rPr>
        <w:t>, 50(4), pp. 370–396.</w:t>
      </w:r>
    </w:p>
    <w:p w14:paraId="6D842B7D" w14:textId="77777777"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2CBE">
        <w:rPr>
          <w:rFonts w:ascii="Times New Roman" w:eastAsia="Times New Roman" w:hAnsi="Times New Roman" w:cs="Times New Roman"/>
          <w:kern w:val="0"/>
          <w:lang w:eastAsia="en-GB"/>
          <w14:ligatures w14:val="none"/>
        </w:rPr>
        <w:t xml:space="preserve">McCormack, B. and McCance, T. (2017) </w:t>
      </w:r>
      <w:r w:rsidRPr="00D82CBE">
        <w:rPr>
          <w:rFonts w:ascii="Times New Roman" w:eastAsia="Times New Roman" w:hAnsi="Times New Roman" w:cs="Times New Roman"/>
          <w:i/>
          <w:iCs/>
          <w:kern w:val="0"/>
          <w:lang w:eastAsia="en-GB"/>
          <w14:ligatures w14:val="none"/>
        </w:rPr>
        <w:t>Person-Centred Practice in Nursing and Health Care: Theory and Practice</w:t>
      </w:r>
      <w:r w:rsidRPr="00D82CBE">
        <w:rPr>
          <w:rFonts w:ascii="Times New Roman" w:eastAsia="Times New Roman" w:hAnsi="Times New Roman" w:cs="Times New Roman"/>
          <w:kern w:val="0"/>
          <w:lang w:eastAsia="en-GB"/>
          <w14:ligatures w14:val="none"/>
        </w:rPr>
        <w:t>. 2nd edn. Chichester: Wiley Blackwell.</w:t>
      </w:r>
    </w:p>
    <w:p w14:paraId="02855E23" w14:textId="6776A3B2"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2CBE">
        <w:rPr>
          <w:rFonts w:ascii="Times New Roman" w:eastAsia="Times New Roman" w:hAnsi="Times New Roman" w:cs="Times New Roman"/>
          <w:kern w:val="0"/>
          <w:lang w:eastAsia="en-GB"/>
          <w14:ligatures w14:val="none"/>
        </w:rPr>
        <w:t xml:space="preserve">National Institute for Health and Care Excellence (NICE) (2021) </w:t>
      </w:r>
      <w:r w:rsidRPr="00D82CBE">
        <w:rPr>
          <w:rFonts w:ascii="Times New Roman" w:eastAsia="Times New Roman" w:hAnsi="Times New Roman" w:cs="Times New Roman"/>
          <w:i/>
          <w:iCs/>
          <w:kern w:val="0"/>
          <w:lang w:eastAsia="en-GB"/>
          <w14:ligatures w14:val="none"/>
        </w:rPr>
        <w:t>Shared decision making: NICE guideline NG197</w:t>
      </w:r>
      <w:r w:rsidRPr="00D82CBE">
        <w:rPr>
          <w:rFonts w:ascii="Times New Roman" w:eastAsia="Times New Roman" w:hAnsi="Times New Roman" w:cs="Times New Roman"/>
          <w:kern w:val="0"/>
          <w:lang w:eastAsia="en-GB"/>
          <w14:ligatures w14:val="none"/>
        </w:rPr>
        <w:t xml:space="preserve">. London: NICE. Available at: </w:t>
      </w:r>
      <w:hyperlink r:id="rId11" w:tgtFrame="_new" w:history="1">
        <w:r w:rsidRPr="00D82CBE">
          <w:rPr>
            <w:rFonts w:ascii="Times New Roman" w:eastAsia="Times New Roman" w:hAnsi="Times New Roman" w:cs="Times New Roman"/>
            <w:color w:val="0000FF"/>
            <w:kern w:val="0"/>
            <w:u w:val="single"/>
            <w:lang w:eastAsia="en-GB"/>
            <w14:ligatures w14:val="none"/>
          </w:rPr>
          <w:t>https://www.nice.org.uk/guidance/ng197</w:t>
        </w:r>
      </w:hyperlink>
      <w:r w:rsidRPr="00D82CBE">
        <w:rPr>
          <w:rFonts w:ascii="Times New Roman" w:eastAsia="Times New Roman" w:hAnsi="Times New Roman" w:cs="Times New Roman"/>
          <w:kern w:val="0"/>
          <w:lang w:eastAsia="en-GB"/>
          <w14:ligatures w14:val="none"/>
        </w:rPr>
        <w:t xml:space="preserve"> (Accessed: </w:t>
      </w:r>
      <w:r w:rsidR="005E41A8">
        <w:rPr>
          <w:rFonts w:ascii="Times New Roman" w:eastAsia="Times New Roman" w:hAnsi="Times New Roman" w:cs="Times New Roman"/>
          <w:kern w:val="0"/>
          <w:lang w:eastAsia="en-GB"/>
          <w14:ligatures w14:val="none"/>
        </w:rPr>
        <w:t>10</w:t>
      </w:r>
      <w:r w:rsidRPr="00D82CBE">
        <w:rPr>
          <w:rFonts w:ascii="Times New Roman" w:eastAsia="Times New Roman" w:hAnsi="Times New Roman" w:cs="Times New Roman"/>
          <w:kern w:val="0"/>
          <w:lang w:eastAsia="en-GB"/>
          <w14:ligatures w14:val="none"/>
        </w:rPr>
        <w:t xml:space="preserve"> July 2026).</w:t>
      </w:r>
    </w:p>
    <w:p w14:paraId="517924C7" w14:textId="6001E7D4"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2CBE">
        <w:rPr>
          <w:rFonts w:ascii="Times New Roman" w:eastAsia="Times New Roman" w:hAnsi="Times New Roman" w:cs="Times New Roman"/>
          <w:kern w:val="0"/>
          <w:lang w:eastAsia="en-GB"/>
          <w14:ligatures w14:val="none"/>
        </w:rPr>
        <w:t xml:space="preserve">NHS England (2019) </w:t>
      </w:r>
      <w:r w:rsidRPr="00D82CBE">
        <w:rPr>
          <w:rFonts w:ascii="Times New Roman" w:eastAsia="Times New Roman" w:hAnsi="Times New Roman" w:cs="Times New Roman"/>
          <w:i/>
          <w:iCs/>
          <w:kern w:val="0"/>
          <w:lang w:eastAsia="en-GB"/>
          <w14:ligatures w14:val="none"/>
        </w:rPr>
        <w:t>The NHS Long Term Plan</w:t>
      </w:r>
      <w:r w:rsidRPr="00D82CBE">
        <w:rPr>
          <w:rFonts w:ascii="Times New Roman" w:eastAsia="Times New Roman" w:hAnsi="Times New Roman" w:cs="Times New Roman"/>
          <w:kern w:val="0"/>
          <w:lang w:eastAsia="en-GB"/>
          <w14:ligatures w14:val="none"/>
        </w:rPr>
        <w:t xml:space="preserve">. London: NHS England. Available at: </w:t>
      </w:r>
      <w:hyperlink r:id="rId12" w:tgtFrame="_new" w:history="1">
        <w:r w:rsidRPr="00D82CBE">
          <w:rPr>
            <w:rFonts w:ascii="Times New Roman" w:eastAsia="Times New Roman" w:hAnsi="Times New Roman" w:cs="Times New Roman"/>
            <w:color w:val="0000FF"/>
            <w:kern w:val="0"/>
            <w:u w:val="single"/>
            <w:lang w:eastAsia="en-GB"/>
            <w14:ligatures w14:val="none"/>
          </w:rPr>
          <w:t>https://www.longtermplan.nhs.uk</w:t>
        </w:r>
      </w:hyperlink>
      <w:r w:rsidRPr="00D82CBE">
        <w:rPr>
          <w:rFonts w:ascii="Times New Roman" w:eastAsia="Times New Roman" w:hAnsi="Times New Roman" w:cs="Times New Roman"/>
          <w:kern w:val="0"/>
          <w:lang w:eastAsia="en-GB"/>
          <w14:ligatures w14:val="none"/>
        </w:rPr>
        <w:t xml:space="preserve"> (Accessed: </w:t>
      </w:r>
      <w:r w:rsidR="005E41A8">
        <w:rPr>
          <w:rFonts w:ascii="Times New Roman" w:eastAsia="Times New Roman" w:hAnsi="Times New Roman" w:cs="Times New Roman"/>
          <w:kern w:val="0"/>
          <w:lang w:eastAsia="en-GB"/>
          <w14:ligatures w14:val="none"/>
        </w:rPr>
        <w:t>15</w:t>
      </w:r>
      <w:r w:rsidRPr="00D82CBE">
        <w:rPr>
          <w:rFonts w:ascii="Times New Roman" w:eastAsia="Times New Roman" w:hAnsi="Times New Roman" w:cs="Times New Roman"/>
          <w:kern w:val="0"/>
          <w:lang w:eastAsia="en-GB"/>
          <w14:ligatures w14:val="none"/>
        </w:rPr>
        <w:t xml:space="preserve"> July 2026).</w:t>
      </w:r>
    </w:p>
    <w:p w14:paraId="2F84CBC0" w14:textId="00930C6C"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2CBE">
        <w:rPr>
          <w:rFonts w:ascii="Times New Roman" w:eastAsia="Times New Roman" w:hAnsi="Times New Roman" w:cs="Times New Roman"/>
          <w:kern w:val="0"/>
          <w:lang w:eastAsia="en-GB"/>
          <w14:ligatures w14:val="none"/>
        </w:rPr>
        <w:t xml:space="preserve">NHS England (2022) </w:t>
      </w:r>
      <w:r w:rsidRPr="00D82CBE">
        <w:rPr>
          <w:rFonts w:ascii="Times New Roman" w:eastAsia="Times New Roman" w:hAnsi="Times New Roman" w:cs="Times New Roman"/>
          <w:i/>
          <w:iCs/>
          <w:kern w:val="0"/>
          <w:lang w:eastAsia="en-GB"/>
          <w14:ligatures w14:val="none"/>
        </w:rPr>
        <w:t>Integrated Care Systems: Design Framework</w:t>
      </w:r>
      <w:r w:rsidRPr="00D82CBE">
        <w:rPr>
          <w:rFonts w:ascii="Times New Roman" w:eastAsia="Times New Roman" w:hAnsi="Times New Roman" w:cs="Times New Roman"/>
          <w:kern w:val="0"/>
          <w:lang w:eastAsia="en-GB"/>
          <w14:ligatures w14:val="none"/>
        </w:rPr>
        <w:t xml:space="preserve">. London: NHS England. Available at: </w:t>
      </w:r>
      <w:hyperlink r:id="rId13" w:tgtFrame="_new" w:history="1">
        <w:r w:rsidRPr="00D82CBE">
          <w:rPr>
            <w:rFonts w:ascii="Times New Roman" w:eastAsia="Times New Roman" w:hAnsi="Times New Roman" w:cs="Times New Roman"/>
            <w:color w:val="0000FF"/>
            <w:kern w:val="0"/>
            <w:u w:val="single"/>
            <w:lang w:eastAsia="en-GB"/>
            <w14:ligatures w14:val="none"/>
          </w:rPr>
          <w:t>https://www.england.nhs.uk</w:t>
        </w:r>
      </w:hyperlink>
      <w:r w:rsidRPr="00D82CBE">
        <w:rPr>
          <w:rFonts w:ascii="Times New Roman" w:eastAsia="Times New Roman" w:hAnsi="Times New Roman" w:cs="Times New Roman"/>
          <w:kern w:val="0"/>
          <w:lang w:eastAsia="en-GB"/>
          <w14:ligatures w14:val="none"/>
        </w:rPr>
        <w:t xml:space="preserve"> (Accessed: </w:t>
      </w:r>
      <w:r w:rsidR="005E41A8">
        <w:rPr>
          <w:rFonts w:ascii="Times New Roman" w:eastAsia="Times New Roman" w:hAnsi="Times New Roman" w:cs="Times New Roman"/>
          <w:kern w:val="0"/>
          <w:lang w:eastAsia="en-GB"/>
          <w14:ligatures w14:val="none"/>
        </w:rPr>
        <w:t>13</w:t>
      </w:r>
      <w:r w:rsidRPr="00D82CBE">
        <w:rPr>
          <w:rFonts w:ascii="Times New Roman" w:eastAsia="Times New Roman" w:hAnsi="Times New Roman" w:cs="Times New Roman"/>
          <w:kern w:val="0"/>
          <w:lang w:eastAsia="en-GB"/>
          <w14:ligatures w14:val="none"/>
        </w:rPr>
        <w:t xml:space="preserve"> July 2026).</w:t>
      </w:r>
    </w:p>
    <w:p w14:paraId="14894CFC" w14:textId="77777777"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2CBE">
        <w:rPr>
          <w:rFonts w:ascii="Times New Roman" w:eastAsia="Times New Roman" w:hAnsi="Times New Roman" w:cs="Times New Roman"/>
          <w:kern w:val="0"/>
          <w:lang w:eastAsia="en-GB"/>
          <w14:ligatures w14:val="none"/>
        </w:rPr>
        <w:lastRenderedPageBreak/>
        <w:t xml:space="preserve">Rogers, C.R. (1961) </w:t>
      </w:r>
      <w:r w:rsidRPr="00D82CBE">
        <w:rPr>
          <w:rFonts w:ascii="Times New Roman" w:eastAsia="Times New Roman" w:hAnsi="Times New Roman" w:cs="Times New Roman"/>
          <w:i/>
          <w:iCs/>
          <w:kern w:val="0"/>
          <w:lang w:eastAsia="en-GB"/>
          <w14:ligatures w14:val="none"/>
        </w:rPr>
        <w:t>On Becoming a Person: A Therapist’s View of Psychotherapy</w:t>
      </w:r>
      <w:r w:rsidRPr="00D82CBE">
        <w:rPr>
          <w:rFonts w:ascii="Times New Roman" w:eastAsia="Times New Roman" w:hAnsi="Times New Roman" w:cs="Times New Roman"/>
          <w:kern w:val="0"/>
          <w:lang w:eastAsia="en-GB"/>
          <w14:ligatures w14:val="none"/>
        </w:rPr>
        <w:t>. Boston: Houghton Mifflin.</w:t>
      </w:r>
    </w:p>
    <w:p w14:paraId="725B16EB" w14:textId="301F7021"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2CBE">
        <w:rPr>
          <w:rFonts w:ascii="Times New Roman" w:eastAsia="Times New Roman" w:hAnsi="Times New Roman" w:cs="Times New Roman"/>
          <w:kern w:val="0"/>
          <w:lang w:eastAsia="en-GB"/>
          <w14:ligatures w14:val="none"/>
        </w:rPr>
        <w:t xml:space="preserve">Care Quality Commission (CQC) (2023) </w:t>
      </w:r>
      <w:r w:rsidRPr="00D82CBE">
        <w:rPr>
          <w:rFonts w:ascii="Times New Roman" w:eastAsia="Times New Roman" w:hAnsi="Times New Roman" w:cs="Times New Roman"/>
          <w:i/>
          <w:iCs/>
          <w:kern w:val="0"/>
          <w:lang w:eastAsia="en-GB"/>
          <w14:ligatures w14:val="none"/>
        </w:rPr>
        <w:t>State of Care 2022/23: The annual assessment of health and social care in England</w:t>
      </w:r>
      <w:r w:rsidRPr="00D82CBE">
        <w:rPr>
          <w:rFonts w:ascii="Times New Roman" w:eastAsia="Times New Roman" w:hAnsi="Times New Roman" w:cs="Times New Roman"/>
          <w:kern w:val="0"/>
          <w:lang w:eastAsia="en-GB"/>
          <w14:ligatures w14:val="none"/>
        </w:rPr>
        <w:t xml:space="preserve">. London: CQC. Available at: </w:t>
      </w:r>
      <w:hyperlink r:id="rId14" w:tgtFrame="_new" w:history="1">
        <w:r w:rsidRPr="00D82CBE">
          <w:rPr>
            <w:rFonts w:ascii="Times New Roman" w:eastAsia="Times New Roman" w:hAnsi="Times New Roman" w:cs="Times New Roman"/>
            <w:color w:val="0000FF"/>
            <w:kern w:val="0"/>
            <w:u w:val="single"/>
            <w:lang w:eastAsia="en-GB"/>
            <w14:ligatures w14:val="none"/>
          </w:rPr>
          <w:t>https://www.cqc.org.uk</w:t>
        </w:r>
      </w:hyperlink>
      <w:r w:rsidRPr="00D82CBE">
        <w:rPr>
          <w:rFonts w:ascii="Times New Roman" w:eastAsia="Times New Roman" w:hAnsi="Times New Roman" w:cs="Times New Roman"/>
          <w:kern w:val="0"/>
          <w:lang w:eastAsia="en-GB"/>
          <w14:ligatures w14:val="none"/>
        </w:rPr>
        <w:t xml:space="preserve"> (Accessed: </w:t>
      </w:r>
      <w:r w:rsidR="005E41A8">
        <w:rPr>
          <w:rFonts w:ascii="Times New Roman" w:eastAsia="Times New Roman" w:hAnsi="Times New Roman" w:cs="Times New Roman"/>
          <w:kern w:val="0"/>
          <w:lang w:eastAsia="en-GB"/>
          <w14:ligatures w14:val="none"/>
        </w:rPr>
        <w:t>15</w:t>
      </w:r>
      <w:r w:rsidRPr="00D82CBE">
        <w:rPr>
          <w:rFonts w:ascii="Times New Roman" w:eastAsia="Times New Roman" w:hAnsi="Times New Roman" w:cs="Times New Roman"/>
          <w:kern w:val="0"/>
          <w:lang w:eastAsia="en-GB"/>
          <w14:ligatures w14:val="none"/>
        </w:rPr>
        <w:t xml:space="preserve"> July 2026).</w:t>
      </w:r>
    </w:p>
    <w:p w14:paraId="2B8B1821" w14:textId="2A8DB9EE" w:rsidR="00D82CBE" w:rsidRPr="00D82CBE" w:rsidRDefault="00D82CBE" w:rsidP="00D82C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2CBE">
        <w:rPr>
          <w:rFonts w:ascii="Times New Roman" w:eastAsia="Times New Roman" w:hAnsi="Times New Roman" w:cs="Times New Roman"/>
          <w:kern w:val="0"/>
          <w:lang w:eastAsia="en-GB"/>
          <w14:ligatures w14:val="none"/>
        </w:rPr>
        <w:t xml:space="preserve">World Health Organization (WHO) (2023) </w:t>
      </w:r>
      <w:r w:rsidRPr="00D82CBE">
        <w:rPr>
          <w:rFonts w:ascii="Times New Roman" w:eastAsia="Times New Roman" w:hAnsi="Times New Roman" w:cs="Times New Roman"/>
          <w:i/>
          <w:iCs/>
          <w:kern w:val="0"/>
          <w:lang w:eastAsia="en-GB"/>
          <w14:ligatures w14:val="none"/>
        </w:rPr>
        <w:t>Comprehensive Mental Health Action Plan 2013–2030</w:t>
      </w:r>
      <w:r w:rsidRPr="00D82CBE">
        <w:rPr>
          <w:rFonts w:ascii="Times New Roman" w:eastAsia="Times New Roman" w:hAnsi="Times New Roman" w:cs="Times New Roman"/>
          <w:kern w:val="0"/>
          <w:lang w:eastAsia="en-GB"/>
          <w14:ligatures w14:val="none"/>
        </w:rPr>
        <w:t xml:space="preserve">. Geneva: World Health Organization. Available at: </w:t>
      </w:r>
      <w:hyperlink r:id="rId15" w:tgtFrame="_new" w:history="1">
        <w:r w:rsidRPr="00D82CBE">
          <w:rPr>
            <w:rFonts w:ascii="Times New Roman" w:eastAsia="Times New Roman" w:hAnsi="Times New Roman" w:cs="Times New Roman"/>
            <w:color w:val="0000FF"/>
            <w:kern w:val="0"/>
            <w:u w:val="single"/>
            <w:lang w:eastAsia="en-GB"/>
            <w14:ligatures w14:val="none"/>
          </w:rPr>
          <w:t>https://www.who.int</w:t>
        </w:r>
      </w:hyperlink>
      <w:r w:rsidRPr="00D82CBE">
        <w:rPr>
          <w:rFonts w:ascii="Times New Roman" w:eastAsia="Times New Roman" w:hAnsi="Times New Roman" w:cs="Times New Roman"/>
          <w:kern w:val="0"/>
          <w:lang w:eastAsia="en-GB"/>
          <w14:ligatures w14:val="none"/>
        </w:rPr>
        <w:t xml:space="preserve"> (Accessed:  </w:t>
      </w:r>
      <w:r w:rsidR="00BC0F5C">
        <w:rPr>
          <w:rFonts w:ascii="Times New Roman" w:eastAsia="Times New Roman" w:hAnsi="Times New Roman" w:cs="Times New Roman"/>
          <w:kern w:val="0"/>
          <w:lang w:eastAsia="en-GB"/>
          <w14:ligatures w14:val="none"/>
        </w:rPr>
        <w:t xml:space="preserve">10 </w:t>
      </w:r>
      <w:r w:rsidRPr="00D82CBE">
        <w:rPr>
          <w:rFonts w:ascii="Times New Roman" w:eastAsia="Times New Roman" w:hAnsi="Times New Roman" w:cs="Times New Roman"/>
          <w:kern w:val="0"/>
          <w:lang w:eastAsia="en-GB"/>
          <w14:ligatures w14:val="none"/>
        </w:rPr>
        <w:t>July 2026).</w:t>
      </w:r>
    </w:p>
    <w:p w14:paraId="1FD18C97" w14:textId="77777777" w:rsidR="00CB3A65" w:rsidRDefault="00CB3A65"/>
    <w:sectPr w:rsidR="00CB3A6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AB108" w14:textId="77777777" w:rsidR="000B6927" w:rsidRDefault="000B6927" w:rsidP="0029210D">
      <w:pPr>
        <w:spacing w:after="0" w:line="240" w:lineRule="auto"/>
      </w:pPr>
      <w:r>
        <w:separator/>
      </w:r>
    </w:p>
  </w:endnote>
  <w:endnote w:type="continuationSeparator" w:id="0">
    <w:p w14:paraId="5AA09FDA" w14:textId="77777777" w:rsidR="000B6927" w:rsidRDefault="000B6927" w:rsidP="00292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2989880"/>
      <w:docPartObj>
        <w:docPartGallery w:val="Page Numbers (Bottom of Page)"/>
        <w:docPartUnique/>
      </w:docPartObj>
    </w:sdtPr>
    <w:sdtContent>
      <w:p w14:paraId="5F821963" w14:textId="456C4F5B" w:rsidR="0029210D" w:rsidRDefault="0029210D">
        <w:pPr>
          <w:pStyle w:val="Footer"/>
          <w:jc w:val="right"/>
        </w:pPr>
        <w:r>
          <w:fldChar w:fldCharType="begin"/>
        </w:r>
        <w:r>
          <w:instrText>PAGE   \* MERGEFORMAT</w:instrText>
        </w:r>
        <w:r>
          <w:fldChar w:fldCharType="separate"/>
        </w:r>
        <w:r>
          <w:t>2</w:t>
        </w:r>
        <w:r>
          <w:fldChar w:fldCharType="end"/>
        </w:r>
      </w:p>
    </w:sdtContent>
  </w:sdt>
  <w:p w14:paraId="0BBF2CB8" w14:textId="77777777" w:rsidR="0029210D" w:rsidRDefault="002921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4C795" w14:textId="77777777" w:rsidR="000B6927" w:rsidRDefault="000B6927" w:rsidP="0029210D">
      <w:pPr>
        <w:spacing w:after="0" w:line="240" w:lineRule="auto"/>
      </w:pPr>
      <w:r>
        <w:separator/>
      </w:r>
    </w:p>
  </w:footnote>
  <w:footnote w:type="continuationSeparator" w:id="0">
    <w:p w14:paraId="478E2E34" w14:textId="77777777" w:rsidR="000B6927" w:rsidRDefault="000B6927" w:rsidP="002921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BE"/>
    <w:rsid w:val="000B6927"/>
    <w:rsid w:val="00137F6F"/>
    <w:rsid w:val="00206FFA"/>
    <w:rsid w:val="0029210D"/>
    <w:rsid w:val="002C602F"/>
    <w:rsid w:val="002D6D10"/>
    <w:rsid w:val="003458BA"/>
    <w:rsid w:val="004B5EC2"/>
    <w:rsid w:val="005E41A8"/>
    <w:rsid w:val="00BC0F5C"/>
    <w:rsid w:val="00CB3A65"/>
    <w:rsid w:val="00D82CBE"/>
    <w:rsid w:val="00E75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713B7"/>
  <w15:chartTrackingRefBased/>
  <w15:docId w15:val="{CEBAD202-246C-4512-9FD9-BAD1C8232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2C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2C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2C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2C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2C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2C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2C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2C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2C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C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2C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2C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2C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2C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2C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C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C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CBE"/>
    <w:rPr>
      <w:rFonts w:eastAsiaTheme="majorEastAsia" w:cstheme="majorBidi"/>
      <w:color w:val="272727" w:themeColor="text1" w:themeTint="D8"/>
    </w:rPr>
  </w:style>
  <w:style w:type="paragraph" w:styleId="Title">
    <w:name w:val="Title"/>
    <w:basedOn w:val="Normal"/>
    <w:next w:val="Normal"/>
    <w:link w:val="TitleChar"/>
    <w:uiPriority w:val="10"/>
    <w:qFormat/>
    <w:rsid w:val="00D82C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C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C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2C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CBE"/>
    <w:pPr>
      <w:spacing w:before="160"/>
      <w:jc w:val="center"/>
    </w:pPr>
    <w:rPr>
      <w:i/>
      <w:iCs/>
      <w:color w:val="404040" w:themeColor="text1" w:themeTint="BF"/>
    </w:rPr>
  </w:style>
  <w:style w:type="character" w:customStyle="1" w:styleId="QuoteChar">
    <w:name w:val="Quote Char"/>
    <w:basedOn w:val="DefaultParagraphFont"/>
    <w:link w:val="Quote"/>
    <w:uiPriority w:val="29"/>
    <w:rsid w:val="00D82CBE"/>
    <w:rPr>
      <w:i/>
      <w:iCs/>
      <w:color w:val="404040" w:themeColor="text1" w:themeTint="BF"/>
    </w:rPr>
  </w:style>
  <w:style w:type="paragraph" w:styleId="ListParagraph">
    <w:name w:val="List Paragraph"/>
    <w:basedOn w:val="Normal"/>
    <w:uiPriority w:val="34"/>
    <w:qFormat/>
    <w:rsid w:val="00D82CBE"/>
    <w:pPr>
      <w:ind w:left="720"/>
      <w:contextualSpacing/>
    </w:pPr>
  </w:style>
  <w:style w:type="character" w:styleId="IntenseEmphasis">
    <w:name w:val="Intense Emphasis"/>
    <w:basedOn w:val="DefaultParagraphFont"/>
    <w:uiPriority w:val="21"/>
    <w:qFormat/>
    <w:rsid w:val="00D82CBE"/>
    <w:rPr>
      <w:i/>
      <w:iCs/>
      <w:color w:val="0F4761" w:themeColor="accent1" w:themeShade="BF"/>
    </w:rPr>
  </w:style>
  <w:style w:type="paragraph" w:styleId="IntenseQuote">
    <w:name w:val="Intense Quote"/>
    <w:basedOn w:val="Normal"/>
    <w:next w:val="Normal"/>
    <w:link w:val="IntenseQuoteChar"/>
    <w:uiPriority w:val="30"/>
    <w:qFormat/>
    <w:rsid w:val="00D82C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2CBE"/>
    <w:rPr>
      <w:i/>
      <w:iCs/>
      <w:color w:val="0F4761" w:themeColor="accent1" w:themeShade="BF"/>
    </w:rPr>
  </w:style>
  <w:style w:type="character" w:styleId="IntenseReference">
    <w:name w:val="Intense Reference"/>
    <w:basedOn w:val="DefaultParagraphFont"/>
    <w:uiPriority w:val="32"/>
    <w:qFormat/>
    <w:rsid w:val="00D82CBE"/>
    <w:rPr>
      <w:b/>
      <w:bCs/>
      <w:smallCaps/>
      <w:color w:val="0F4761" w:themeColor="accent1" w:themeShade="BF"/>
      <w:spacing w:val="5"/>
    </w:rPr>
  </w:style>
  <w:style w:type="paragraph" w:customStyle="1" w:styleId="isselectedend">
    <w:name w:val="isselectedend"/>
    <w:basedOn w:val="Normal"/>
    <w:rsid w:val="00D82CB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D82CB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206FF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06FFA"/>
    <w:pPr>
      <w:spacing w:after="100"/>
    </w:pPr>
  </w:style>
  <w:style w:type="paragraph" w:styleId="TOC2">
    <w:name w:val="toc 2"/>
    <w:basedOn w:val="Normal"/>
    <w:next w:val="Normal"/>
    <w:autoRedefine/>
    <w:uiPriority w:val="39"/>
    <w:unhideWhenUsed/>
    <w:rsid w:val="00206FFA"/>
    <w:pPr>
      <w:spacing w:after="100"/>
      <w:ind w:left="240"/>
    </w:pPr>
  </w:style>
  <w:style w:type="character" w:styleId="Hyperlink">
    <w:name w:val="Hyperlink"/>
    <w:basedOn w:val="DefaultParagraphFont"/>
    <w:uiPriority w:val="99"/>
    <w:unhideWhenUsed/>
    <w:rsid w:val="00206FFA"/>
    <w:rPr>
      <w:color w:val="467886" w:themeColor="hyperlink"/>
      <w:u w:val="single"/>
    </w:rPr>
  </w:style>
  <w:style w:type="paragraph" w:styleId="TOC3">
    <w:name w:val="toc 3"/>
    <w:basedOn w:val="Normal"/>
    <w:next w:val="Normal"/>
    <w:autoRedefine/>
    <w:uiPriority w:val="39"/>
    <w:unhideWhenUsed/>
    <w:rsid w:val="00206FFA"/>
    <w:pPr>
      <w:spacing w:after="100" w:line="259" w:lineRule="auto"/>
      <w:ind w:left="440"/>
    </w:pPr>
    <w:rPr>
      <w:rFonts w:eastAsiaTheme="minorEastAsia" w:cs="Times New Roman"/>
      <w:kern w:val="0"/>
      <w:sz w:val="22"/>
      <w:szCs w:val="22"/>
      <w:lang w:eastAsia="en-GB"/>
      <w14:ligatures w14:val="none"/>
    </w:rPr>
  </w:style>
  <w:style w:type="paragraph" w:styleId="Header">
    <w:name w:val="header"/>
    <w:basedOn w:val="Normal"/>
    <w:link w:val="HeaderChar"/>
    <w:uiPriority w:val="99"/>
    <w:unhideWhenUsed/>
    <w:rsid w:val="002921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10D"/>
  </w:style>
  <w:style w:type="paragraph" w:styleId="Footer">
    <w:name w:val="footer"/>
    <w:basedOn w:val="Normal"/>
    <w:link w:val="FooterChar"/>
    <w:uiPriority w:val="99"/>
    <w:unhideWhenUsed/>
    <w:rsid w:val="002921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2/7/contents" TargetMode="External"/><Relationship Id="rId13" Type="http://schemas.openxmlformats.org/officeDocument/2006/relationships/hyperlink" Target="https://www.england.nhs.uk"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egislation.gov.uk/ukpga/2022/31/contents" TargetMode="External"/><Relationship Id="rId12" Type="http://schemas.openxmlformats.org/officeDocument/2006/relationships/hyperlink" Target="https://www.longtermplan.nhs.uk"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legislation.gov.uk/ukpga/2014/23/contents" TargetMode="External"/><Relationship Id="rId11" Type="http://schemas.openxmlformats.org/officeDocument/2006/relationships/hyperlink" Target="https://www.nice.org.uk/guidance/ng197" TargetMode="External"/><Relationship Id="rId5" Type="http://schemas.openxmlformats.org/officeDocument/2006/relationships/endnotes" Target="endnotes.xml"/><Relationship Id="rId15" Type="http://schemas.openxmlformats.org/officeDocument/2006/relationships/hyperlink" Target="https://www.who.int" TargetMode="External"/><Relationship Id="rId10" Type="http://schemas.openxmlformats.org/officeDocument/2006/relationships/hyperlink" Target="https://www.legislation.gov.uk/ukpga/1998/42/contents" TargetMode="External"/><Relationship Id="rId4" Type="http://schemas.openxmlformats.org/officeDocument/2006/relationships/footnotes" Target="footnotes.xml"/><Relationship Id="rId9" Type="http://schemas.openxmlformats.org/officeDocument/2006/relationships/hyperlink" Target="https://www.legislation.gov.uk/ukpga/2010/15/contents" TargetMode="External"/><Relationship Id="rId14" Type="http://schemas.openxmlformats.org/officeDocument/2006/relationships/hyperlink" Target="https://www.cq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3130</Words>
  <Characters>17846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ahmar mahmood</dc:creator>
  <cp:keywords/>
  <dc:description/>
  <cp:lastModifiedBy>ahmar mahmood</cp:lastModifiedBy>
  <cp:revision>5</cp:revision>
  <dcterms:created xsi:type="dcterms:W3CDTF">2026-07-20T08:44:00Z</dcterms:created>
  <dcterms:modified xsi:type="dcterms:W3CDTF">2026-07-20T23:13:00Z</dcterms:modified>
</cp:coreProperties>
</file>