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both"/>
        <w:rPr>
          <w:rFonts w:ascii="Times New Roman" w:hAnsi="Times New Roman" w:cs="Times New Roman"/>
          <w:sz w:val="24"/>
          <w:szCs w:val="24"/>
        </w:rPr>
      </w:pPr>
      <w:r>
        <w:rPr>
          <w:rFonts w:ascii="Arial" w:hAnsi="Arial" w:cs="Arial" w:eastAsiaTheme="minorEastAsia"/>
          <w:b/>
          <w:bCs/>
          <w:kern w:val="2"/>
          <w:sz w:val="56"/>
          <w:szCs w:val="72"/>
          <w:lang w:val="en-US" w:eastAsia="zh-CN"/>
          <w14:ligatures w14:val="none"/>
        </w:rPr>
        <w:drawing>
          <wp:anchor distT="0" distB="0" distL="114300" distR="114300" simplePos="0" relativeHeight="251662336" behindDoc="0" locked="0" layoutInCell="1" allowOverlap="1">
            <wp:simplePos x="0" y="0"/>
            <wp:positionH relativeFrom="column">
              <wp:posOffset>381000</wp:posOffset>
            </wp:positionH>
            <wp:positionV relativeFrom="paragraph">
              <wp:posOffset>-63500</wp:posOffset>
            </wp:positionV>
            <wp:extent cx="4572000" cy="2286000"/>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anchor>
        </w:drawing>
      </w:r>
    </w:p>
    <w:p>
      <w:pPr>
        <w:spacing w:line="480" w:lineRule="auto"/>
        <w:jc w:val="center"/>
        <w:rPr>
          <w:rFonts w:ascii="Times New Roman" w:hAnsi="Times New Roman" w:cs="Times New Roman"/>
          <w:sz w:val="24"/>
          <w:szCs w:val="24"/>
        </w:rPr>
      </w:pPr>
    </w:p>
    <w:p>
      <w:pPr>
        <w:spacing w:line="480" w:lineRule="auto"/>
        <w:jc w:val="center"/>
        <w:rPr>
          <w:rFonts w:ascii="Times New Roman" w:hAnsi="Times New Roman" w:cs="Times New Roman"/>
          <w:sz w:val="24"/>
          <w:szCs w:val="24"/>
        </w:rPr>
      </w:pPr>
      <w:r>
        <w:rPr>
          <w:rFonts w:ascii="Times New Roman" w:hAnsi="Times New Roman" w:cs="Times New Roman"/>
          <w:b/>
          <w:bCs w:val="0"/>
          <w:sz w:val="56"/>
          <w:szCs w:val="56"/>
        </w:rPr>
        <w:t>Change Management in Tesco Company</w:t>
      </w:r>
    </w:p>
    <w:p>
      <w:pPr>
        <w:spacing w:line="480" w:lineRule="auto"/>
        <w:jc w:val="center"/>
        <w:rPr>
          <w:rFonts w:hint="default" w:ascii="Times New Roman" w:hAnsi="Times New Roman" w:eastAsia="宋体" w:cs="Times New Roman"/>
          <w:sz w:val="40"/>
          <w:szCs w:val="40"/>
          <w:lang w:val="en-US" w:eastAsia="zh-CN"/>
        </w:rPr>
      </w:pPr>
      <w:r>
        <w:rPr>
          <w:rFonts w:hint="eastAsia" w:ascii="Times New Roman" w:hAnsi="Times New Roman" w:eastAsia="宋体" w:cs="Times New Roman"/>
          <w:sz w:val="40"/>
          <w:szCs w:val="40"/>
          <w:lang w:val="en-US" w:eastAsia="zh-CN"/>
        </w:rPr>
        <w:t>Change and Stability Management</w:t>
      </w:r>
    </w:p>
    <w:p>
      <w:pPr>
        <w:spacing w:line="360" w:lineRule="auto"/>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40"/>
          <w:szCs w:val="40"/>
          <w:lang w:val="en-US" w:eastAsia="zh-CN"/>
        </w:rPr>
        <w:t>BMMB7000</w:t>
      </w:r>
    </w:p>
    <w:p>
      <w:pPr>
        <w:spacing w:line="360" w:lineRule="auto"/>
        <w:jc w:val="center"/>
        <w:rPr>
          <w:rFonts w:hint="default" w:ascii="Times New Roman" w:hAnsi="Times New Roman" w:eastAsia="宋体" w:cs="Times New Roman"/>
          <w:sz w:val="32"/>
          <w:szCs w:val="32"/>
          <w:lang w:val="en-US" w:eastAsia="zh-CN"/>
        </w:rPr>
      </w:pPr>
      <w:r>
        <w:rPr>
          <w:rFonts w:ascii="Times New Roman" w:hAnsi="Times New Roman" w:cs="Times New Roman"/>
          <w:sz w:val="32"/>
          <w:szCs w:val="32"/>
        </w:rPr>
        <w:t>Professor’s name:</w:t>
      </w:r>
      <w:r>
        <w:rPr>
          <w:rFonts w:hint="eastAsia" w:ascii="Times New Roman" w:hAnsi="Times New Roman" w:eastAsia="宋体" w:cs="Times New Roman"/>
          <w:sz w:val="32"/>
          <w:szCs w:val="32"/>
          <w:lang w:val="en-US" w:eastAsia="zh-CN"/>
        </w:rPr>
        <w:t>Maire Pitson</w:t>
      </w:r>
    </w:p>
    <w:p>
      <w:pPr>
        <w:spacing w:line="360" w:lineRule="auto"/>
        <w:jc w:val="center"/>
        <w:rPr>
          <w:rFonts w:hint="eastAsia" w:ascii="Times New Roman" w:hAnsi="Times New Roman" w:eastAsia="宋体" w:cs="Times New Roman"/>
          <w:sz w:val="32"/>
          <w:szCs w:val="32"/>
          <w:lang w:val="en-US" w:eastAsia="zh-CN"/>
        </w:rPr>
      </w:pPr>
      <w:r>
        <w:rPr>
          <w:rFonts w:ascii="Times New Roman" w:hAnsi="Times New Roman" w:cs="Times New Roman"/>
          <w:sz w:val="32"/>
          <w:szCs w:val="32"/>
        </w:rPr>
        <w:t>Student’s name:</w:t>
      </w:r>
      <w:r>
        <w:rPr>
          <w:rFonts w:hint="eastAsia" w:ascii="Times New Roman" w:hAnsi="Times New Roman" w:eastAsia="宋体" w:cs="Times New Roman"/>
          <w:sz w:val="32"/>
          <w:szCs w:val="32"/>
          <w:lang w:val="en-US" w:eastAsia="zh-CN"/>
        </w:rPr>
        <w:t>Wenxuan Liao</w:t>
      </w:r>
    </w:p>
    <w:p>
      <w:pPr>
        <w:spacing w:line="360" w:lineRule="auto"/>
        <w:jc w:val="center"/>
        <w:rPr>
          <w:rFonts w:hint="default" w:ascii="Times New Roman" w:hAnsi="Times New Roman" w:eastAsia="宋体" w:cs="Times New Roman"/>
          <w:sz w:val="32"/>
          <w:szCs w:val="32"/>
          <w:lang w:val="en-US" w:eastAsia="zh-CN"/>
        </w:rPr>
      </w:pPr>
      <w:r>
        <w:rPr>
          <w:rFonts w:hint="default" w:ascii="Times New Roman" w:hAnsi="Times New Roman" w:eastAsia="宋体" w:cs="Times New Roman"/>
          <w:sz w:val="32"/>
          <w:szCs w:val="32"/>
          <w:lang w:val="en-US" w:eastAsia="zh-CN"/>
        </w:rPr>
        <w:t>Student ID:2224763</w:t>
      </w:r>
    </w:p>
    <w:p>
      <w:pPr>
        <w:spacing w:line="360" w:lineRule="auto"/>
        <w:jc w:val="center"/>
        <w:rPr>
          <w:rFonts w:hint="eastAsia" w:ascii="Times New Roman" w:hAnsi="Times New Roman" w:eastAsia="宋体" w:cs="Times New Roman"/>
          <w:sz w:val="32"/>
          <w:szCs w:val="32"/>
          <w:lang w:val="en-US" w:eastAsia="zh-CN"/>
        </w:rPr>
      </w:pPr>
      <w:r>
        <w:rPr>
          <w:rFonts w:ascii="Times New Roman" w:hAnsi="Times New Roman" w:cs="Times New Roman"/>
          <w:sz w:val="32"/>
          <w:szCs w:val="32"/>
        </w:rPr>
        <w:t>Date:</w:t>
      </w:r>
      <w:r>
        <w:rPr>
          <w:rFonts w:hint="eastAsia" w:ascii="Times New Roman" w:hAnsi="Times New Roman" w:eastAsia="宋体" w:cs="Times New Roman"/>
          <w:sz w:val="32"/>
          <w:szCs w:val="32"/>
          <w:lang w:val="en-US" w:eastAsia="zh-CN"/>
        </w:rPr>
        <w:t>2023-07-21</w:t>
      </w:r>
    </w:p>
    <w:p>
      <w:pPr>
        <w:spacing w:line="360" w:lineRule="auto"/>
        <w:jc w:val="center"/>
        <w:rPr>
          <w:rFonts w:hint="eastAsia" w:ascii="Times New Roman" w:hAnsi="Times New Roman" w:eastAsia="宋体" w:cs="Times New Roman"/>
          <w:sz w:val="32"/>
          <w:szCs w:val="32"/>
          <w:lang w:val="en-US" w:eastAsia="zh-CN"/>
        </w:rPr>
      </w:pPr>
    </w:p>
    <w:sdt>
      <w:sdtPr>
        <w:rPr>
          <w:rFonts w:ascii="Times New Roman" w:hAnsi="Times New Roman" w:cs="Times New Roman" w:eastAsiaTheme="minorHAnsi"/>
          <w:color w:val="auto"/>
          <w:sz w:val="28"/>
          <w:szCs w:val="28"/>
          <w:lang w:val="en-GB"/>
        </w:rPr>
        <w:id w:val="1375427631"/>
        <w:docPartObj>
          <w:docPartGallery w:val="Table of Contents"/>
          <w:docPartUnique/>
        </w:docPartObj>
      </w:sdtPr>
      <w:sdtEndPr>
        <w:rPr>
          <w:rFonts w:hint="default" w:ascii="Times New Roman" w:hAnsi="Times New Roman" w:cs="Times New Roman" w:eastAsiaTheme="minorHAnsi"/>
          <w:b/>
          <w:bCs/>
          <w:color w:val="auto"/>
          <w:sz w:val="24"/>
          <w:szCs w:val="24"/>
          <w:lang w:val="en-GB"/>
        </w:rPr>
      </w:sdtEndPr>
      <w:sdtContent>
        <w:p>
          <w:pPr>
            <w:pStyle w:val="15"/>
            <w:spacing w:line="480" w:lineRule="auto"/>
            <w:jc w:val="center"/>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Contents</w:t>
          </w:r>
        </w:p>
        <w:p>
          <w:pPr>
            <w:pStyle w:val="6"/>
            <w:tabs>
              <w:tab w:val="right" w:leader="dot" w:pos="9016"/>
            </w:tabs>
            <w:spacing w:line="360" w:lineRule="auto"/>
            <w:rPr>
              <w:rFonts w:hint="default" w:ascii="Times New Roman" w:hAnsi="Times New Roman" w:cs="Times New Roman" w:eastAsiaTheme="minorEastAsia"/>
              <w:b w:val="0"/>
              <w:bCs w:val="0"/>
              <w:kern w:val="2"/>
              <w:sz w:val="24"/>
              <w:szCs w:val="24"/>
              <w:lang w:val="en-US" w:eastAsia="zh-CN"/>
              <w14:ligatures w14:val="standardContextual"/>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TOC \o "1-3" \h \z \u </w:instrText>
          </w:r>
          <w:r>
            <w:rPr>
              <w:rFonts w:hint="default" w:ascii="Times New Roman" w:hAnsi="Times New Roman" w:cs="Times New Roman"/>
              <w:b/>
              <w:bCs/>
              <w:sz w:val="24"/>
              <w:szCs w:val="24"/>
            </w:rPr>
            <w:fldChar w:fldCharType="separate"/>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"_Toc140864846" </w:instrText>
          </w:r>
          <w:r>
            <w:rPr>
              <w:rFonts w:hint="default" w:ascii="Times New Roman" w:hAnsi="Times New Roman" w:cs="Times New Roman"/>
              <w:b w:val="0"/>
              <w:bCs w:val="0"/>
              <w:sz w:val="24"/>
              <w:szCs w:val="24"/>
            </w:rPr>
            <w:fldChar w:fldCharType="separate"/>
          </w:r>
          <w:r>
            <w:rPr>
              <w:rStyle w:val="11"/>
              <w:rFonts w:hint="default" w:ascii="Times New Roman" w:hAnsi="Times New Roman" w:cs="Times New Roman"/>
              <w:b w:val="0"/>
              <w:bCs w:val="0"/>
              <w:sz w:val="24"/>
              <w:szCs w:val="24"/>
            </w:rPr>
            <w:t xml:space="preserve">Executive </w:t>
          </w:r>
          <w:r>
            <w:rPr>
              <w:rStyle w:val="11"/>
              <w:rFonts w:hint="eastAsia" w:ascii="Times New Roman" w:hAnsi="Times New Roman" w:eastAsia="宋体" w:cs="Times New Roman"/>
              <w:b w:val="0"/>
              <w:bCs w:val="0"/>
              <w:sz w:val="24"/>
              <w:szCs w:val="24"/>
              <w:lang w:val="en-US" w:eastAsia="zh-CN"/>
            </w:rPr>
            <w:t>S</w:t>
          </w:r>
          <w:r>
            <w:rPr>
              <w:rStyle w:val="11"/>
              <w:rFonts w:hint="default" w:ascii="Times New Roman" w:hAnsi="Times New Roman" w:cs="Times New Roman"/>
              <w:b w:val="0"/>
              <w:bCs w:val="0"/>
              <w:sz w:val="24"/>
              <w:szCs w:val="24"/>
            </w:rPr>
            <w:t>ummary</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_Toc140864846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3</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6"/>
            <w:tabs>
              <w:tab w:val="right" w:leader="dot" w:pos="9016"/>
            </w:tabs>
            <w:spacing w:line="360" w:lineRule="auto"/>
            <w:rPr>
              <w:rFonts w:hint="default" w:ascii="Times New Roman" w:hAnsi="Times New Roman" w:cs="Times New Roman" w:eastAsiaTheme="minorEastAsia"/>
              <w:b w:val="0"/>
              <w:bCs w:val="0"/>
              <w:kern w:val="2"/>
              <w:sz w:val="24"/>
              <w:szCs w:val="24"/>
              <w:lang w:val="en-US" w:eastAsia="zh-CN"/>
              <w14:ligatures w14:val="standardContextual"/>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"_Toc140864847" </w:instrText>
          </w:r>
          <w:r>
            <w:rPr>
              <w:rFonts w:hint="default" w:ascii="Times New Roman" w:hAnsi="Times New Roman" w:cs="Times New Roman"/>
              <w:b w:val="0"/>
              <w:bCs w:val="0"/>
              <w:sz w:val="24"/>
              <w:szCs w:val="24"/>
            </w:rPr>
            <w:fldChar w:fldCharType="separate"/>
          </w:r>
          <w:r>
            <w:rPr>
              <w:rStyle w:val="11"/>
              <w:rFonts w:hint="default" w:ascii="Times New Roman" w:hAnsi="Times New Roman" w:cs="Times New Roman"/>
              <w:b w:val="0"/>
              <w:bCs w:val="0"/>
              <w:sz w:val="24"/>
              <w:szCs w:val="24"/>
            </w:rPr>
            <w:t>1.0 Introduction</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_Toc140864847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4</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6"/>
            <w:tabs>
              <w:tab w:val="right" w:leader="dot" w:pos="9016"/>
            </w:tabs>
            <w:spacing w:line="360" w:lineRule="auto"/>
            <w:rPr>
              <w:rFonts w:hint="default" w:ascii="Times New Roman" w:hAnsi="Times New Roman" w:cs="Times New Roman" w:eastAsiaTheme="minorEastAsia"/>
              <w:b w:val="0"/>
              <w:bCs w:val="0"/>
              <w:kern w:val="2"/>
              <w:sz w:val="24"/>
              <w:szCs w:val="24"/>
              <w:lang w:val="en-US" w:eastAsia="zh-CN"/>
              <w14:ligatures w14:val="standardContextual"/>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"_Toc140864848" </w:instrText>
          </w:r>
          <w:r>
            <w:rPr>
              <w:rFonts w:hint="default" w:ascii="Times New Roman" w:hAnsi="Times New Roman" w:cs="Times New Roman"/>
              <w:b w:val="0"/>
              <w:bCs w:val="0"/>
              <w:sz w:val="24"/>
              <w:szCs w:val="24"/>
            </w:rPr>
            <w:fldChar w:fldCharType="separate"/>
          </w:r>
          <w:r>
            <w:rPr>
              <w:rStyle w:val="11"/>
              <w:rFonts w:hint="default" w:ascii="Times New Roman" w:hAnsi="Times New Roman" w:cs="Times New Roman"/>
              <w:b w:val="0"/>
              <w:bCs w:val="0"/>
              <w:sz w:val="24"/>
              <w:szCs w:val="24"/>
            </w:rPr>
            <w:t>2.0 Brief company background</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_Toc140864848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4</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6"/>
            <w:tabs>
              <w:tab w:val="right" w:leader="dot" w:pos="9016"/>
            </w:tabs>
            <w:spacing w:line="360" w:lineRule="auto"/>
            <w:rPr>
              <w:rFonts w:hint="default" w:ascii="Times New Roman" w:hAnsi="Times New Roman" w:cs="Times New Roman" w:eastAsiaTheme="minorEastAsia"/>
              <w:b w:val="0"/>
              <w:bCs w:val="0"/>
              <w:kern w:val="2"/>
              <w:sz w:val="24"/>
              <w:szCs w:val="24"/>
              <w:lang w:val="en-US" w:eastAsia="zh-CN"/>
              <w14:ligatures w14:val="standardContextual"/>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"_Toc140864849" </w:instrText>
          </w:r>
          <w:r>
            <w:rPr>
              <w:rFonts w:hint="default" w:ascii="Times New Roman" w:hAnsi="Times New Roman" w:cs="Times New Roman"/>
              <w:b w:val="0"/>
              <w:bCs w:val="0"/>
              <w:sz w:val="24"/>
              <w:szCs w:val="24"/>
            </w:rPr>
            <w:fldChar w:fldCharType="separate"/>
          </w:r>
          <w:r>
            <w:rPr>
              <w:rStyle w:val="11"/>
              <w:rFonts w:hint="default" w:ascii="Times New Roman" w:hAnsi="Times New Roman" w:cs="Times New Roman"/>
              <w:b w:val="0"/>
              <w:bCs w:val="0"/>
              <w:sz w:val="24"/>
              <w:szCs w:val="24"/>
            </w:rPr>
            <w:t>3.0 Key change management models</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_Toc140864849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6</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6"/>
            <w:tabs>
              <w:tab w:val="right" w:leader="dot" w:pos="9016"/>
            </w:tabs>
            <w:spacing w:line="360" w:lineRule="auto"/>
            <w:rPr>
              <w:rFonts w:hint="default" w:ascii="Times New Roman" w:hAnsi="Times New Roman" w:cs="Times New Roman" w:eastAsiaTheme="minorEastAsia"/>
              <w:b w:val="0"/>
              <w:bCs w:val="0"/>
              <w:kern w:val="2"/>
              <w:sz w:val="24"/>
              <w:szCs w:val="24"/>
              <w:lang w:val="en-US" w:eastAsia="zh-CN"/>
              <w14:ligatures w14:val="standardContextual"/>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"_Toc140864850" </w:instrText>
          </w:r>
          <w:r>
            <w:rPr>
              <w:rFonts w:hint="default" w:ascii="Times New Roman" w:hAnsi="Times New Roman" w:cs="Times New Roman"/>
              <w:b w:val="0"/>
              <w:bCs w:val="0"/>
              <w:sz w:val="24"/>
              <w:szCs w:val="24"/>
            </w:rPr>
            <w:fldChar w:fldCharType="separate"/>
          </w:r>
          <w:r>
            <w:rPr>
              <w:rStyle w:val="11"/>
              <w:rFonts w:hint="default" w:ascii="Times New Roman" w:hAnsi="Times New Roman" w:cs="Times New Roman"/>
              <w:b w:val="0"/>
              <w:bCs w:val="0"/>
              <w:sz w:val="24"/>
              <w:szCs w:val="24"/>
            </w:rPr>
            <w:t>3.1 Planned change</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_Toc140864850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6</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6"/>
            <w:tabs>
              <w:tab w:val="right" w:leader="dot" w:pos="9016"/>
            </w:tabs>
            <w:spacing w:line="360" w:lineRule="auto"/>
            <w:rPr>
              <w:rFonts w:hint="default" w:ascii="Times New Roman" w:hAnsi="Times New Roman" w:cs="Times New Roman" w:eastAsiaTheme="minorEastAsia"/>
              <w:b w:val="0"/>
              <w:bCs w:val="0"/>
              <w:kern w:val="2"/>
              <w:sz w:val="24"/>
              <w:szCs w:val="24"/>
              <w:lang w:val="en-US" w:eastAsia="zh-CN"/>
              <w14:ligatures w14:val="standardContextual"/>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"_Toc140864851" </w:instrText>
          </w:r>
          <w:r>
            <w:rPr>
              <w:rFonts w:hint="default" w:ascii="Times New Roman" w:hAnsi="Times New Roman" w:cs="Times New Roman"/>
              <w:b w:val="0"/>
              <w:bCs w:val="0"/>
              <w:sz w:val="24"/>
              <w:szCs w:val="24"/>
            </w:rPr>
            <w:fldChar w:fldCharType="separate"/>
          </w:r>
          <w:r>
            <w:rPr>
              <w:rStyle w:val="11"/>
              <w:rFonts w:hint="default" w:ascii="Times New Roman" w:hAnsi="Times New Roman" w:cs="Times New Roman"/>
              <w:b w:val="0"/>
              <w:bCs w:val="0"/>
              <w:sz w:val="24"/>
              <w:szCs w:val="24"/>
            </w:rPr>
            <w:t>3.2 Emergent change</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_Toc140864851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7</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6"/>
            <w:tabs>
              <w:tab w:val="right" w:leader="dot" w:pos="9016"/>
            </w:tabs>
            <w:spacing w:line="360" w:lineRule="auto"/>
            <w:rPr>
              <w:rFonts w:hint="default" w:ascii="Times New Roman" w:hAnsi="Times New Roman" w:cs="Times New Roman" w:eastAsiaTheme="minorEastAsia"/>
              <w:b w:val="0"/>
              <w:bCs w:val="0"/>
              <w:kern w:val="2"/>
              <w:sz w:val="24"/>
              <w:szCs w:val="24"/>
              <w:lang w:val="en-US" w:eastAsia="zh-CN"/>
              <w14:ligatures w14:val="standardContextual"/>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"_Toc140864852" </w:instrText>
          </w:r>
          <w:r>
            <w:rPr>
              <w:rFonts w:hint="default" w:ascii="Times New Roman" w:hAnsi="Times New Roman" w:cs="Times New Roman"/>
              <w:b w:val="0"/>
              <w:bCs w:val="0"/>
              <w:sz w:val="24"/>
              <w:szCs w:val="24"/>
            </w:rPr>
            <w:fldChar w:fldCharType="separate"/>
          </w:r>
          <w:r>
            <w:rPr>
              <w:rStyle w:val="11"/>
              <w:rFonts w:hint="default" w:ascii="Times New Roman" w:hAnsi="Times New Roman" w:cs="Times New Roman"/>
              <w:b w:val="0"/>
              <w:bCs w:val="0"/>
              <w:sz w:val="24"/>
              <w:szCs w:val="24"/>
            </w:rPr>
            <w:t>4.0 How the change models can be utilised</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_Toc140864852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8</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6"/>
            <w:tabs>
              <w:tab w:val="right" w:leader="dot" w:pos="9016"/>
            </w:tabs>
            <w:spacing w:line="360" w:lineRule="auto"/>
            <w:rPr>
              <w:rFonts w:hint="default" w:ascii="Times New Roman" w:hAnsi="Times New Roman" w:cs="Times New Roman" w:eastAsiaTheme="minorEastAsia"/>
              <w:b w:val="0"/>
              <w:bCs w:val="0"/>
              <w:kern w:val="2"/>
              <w:sz w:val="24"/>
              <w:szCs w:val="24"/>
              <w:lang w:val="en-US" w:eastAsia="zh-CN"/>
              <w14:ligatures w14:val="standardContextual"/>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"_Toc140864853" </w:instrText>
          </w:r>
          <w:r>
            <w:rPr>
              <w:rFonts w:hint="default" w:ascii="Times New Roman" w:hAnsi="Times New Roman" w:cs="Times New Roman"/>
              <w:b w:val="0"/>
              <w:bCs w:val="0"/>
              <w:sz w:val="24"/>
              <w:szCs w:val="24"/>
            </w:rPr>
            <w:fldChar w:fldCharType="separate"/>
          </w:r>
          <w:r>
            <w:rPr>
              <w:rStyle w:val="11"/>
              <w:rFonts w:hint="default" w:ascii="Times New Roman" w:hAnsi="Times New Roman" w:cs="Times New Roman"/>
              <w:b w:val="0"/>
              <w:bCs w:val="0"/>
              <w:sz w:val="24"/>
              <w:szCs w:val="24"/>
            </w:rPr>
            <w:t>5.0 Driver factors for change</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_Toc140864853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10</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6"/>
            <w:tabs>
              <w:tab w:val="right" w:leader="dot" w:pos="9016"/>
            </w:tabs>
            <w:spacing w:line="360" w:lineRule="auto"/>
            <w:rPr>
              <w:rFonts w:hint="default" w:ascii="Times New Roman" w:hAnsi="Times New Roman" w:cs="Times New Roman" w:eastAsiaTheme="minorEastAsia"/>
              <w:b w:val="0"/>
              <w:bCs w:val="0"/>
              <w:kern w:val="2"/>
              <w:sz w:val="24"/>
              <w:szCs w:val="24"/>
              <w:lang w:val="en-US" w:eastAsia="zh-CN"/>
              <w14:ligatures w14:val="standardContextual"/>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"_Toc140864854" </w:instrText>
          </w:r>
          <w:r>
            <w:rPr>
              <w:rFonts w:hint="default" w:ascii="Times New Roman" w:hAnsi="Times New Roman" w:cs="Times New Roman"/>
              <w:b w:val="0"/>
              <w:bCs w:val="0"/>
              <w:sz w:val="24"/>
              <w:szCs w:val="24"/>
            </w:rPr>
            <w:fldChar w:fldCharType="separate"/>
          </w:r>
          <w:r>
            <w:rPr>
              <w:rStyle w:val="11"/>
              <w:rFonts w:hint="default" w:ascii="Times New Roman" w:hAnsi="Times New Roman" w:cs="Times New Roman"/>
              <w:b w:val="0"/>
              <w:bCs w:val="0"/>
              <w:sz w:val="24"/>
              <w:szCs w:val="24"/>
            </w:rPr>
            <w:t>6.0 Resistance factors to change</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_Toc140864854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12</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6"/>
            <w:tabs>
              <w:tab w:val="right" w:leader="dot" w:pos="9016"/>
            </w:tabs>
            <w:spacing w:line="360" w:lineRule="auto"/>
            <w:rPr>
              <w:rFonts w:hint="default" w:ascii="Times New Roman" w:hAnsi="Times New Roman" w:cs="Times New Roman" w:eastAsiaTheme="minorEastAsia"/>
              <w:b w:val="0"/>
              <w:bCs w:val="0"/>
              <w:kern w:val="2"/>
              <w:sz w:val="24"/>
              <w:szCs w:val="24"/>
              <w:lang w:val="en-US" w:eastAsia="zh-CN"/>
              <w14:ligatures w14:val="standardContextual"/>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"_Toc140864855" </w:instrText>
          </w:r>
          <w:r>
            <w:rPr>
              <w:rFonts w:hint="default" w:ascii="Times New Roman" w:hAnsi="Times New Roman" w:cs="Times New Roman"/>
              <w:b w:val="0"/>
              <w:bCs w:val="0"/>
              <w:sz w:val="24"/>
              <w:szCs w:val="24"/>
            </w:rPr>
            <w:fldChar w:fldCharType="separate"/>
          </w:r>
          <w:r>
            <w:rPr>
              <w:rStyle w:val="11"/>
              <w:rFonts w:hint="default" w:ascii="Times New Roman" w:hAnsi="Times New Roman" w:cs="Times New Roman"/>
              <w:b w:val="0"/>
              <w:bCs w:val="0"/>
              <w:sz w:val="24"/>
              <w:szCs w:val="24"/>
            </w:rPr>
            <w:t>7.0 Change in program and its effectiveness</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_Toc140864855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14</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6"/>
            <w:tabs>
              <w:tab w:val="right" w:leader="dot" w:pos="9016"/>
            </w:tabs>
            <w:spacing w:line="360" w:lineRule="auto"/>
            <w:rPr>
              <w:rFonts w:hint="default" w:ascii="Times New Roman" w:hAnsi="Times New Roman" w:cs="Times New Roman" w:eastAsiaTheme="minorEastAsia"/>
              <w:b w:val="0"/>
              <w:bCs w:val="0"/>
              <w:kern w:val="2"/>
              <w:sz w:val="24"/>
              <w:szCs w:val="24"/>
              <w:lang w:val="en-US" w:eastAsia="zh-CN"/>
              <w14:ligatures w14:val="standardContextual"/>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"_Toc140864856" </w:instrText>
          </w:r>
          <w:r>
            <w:rPr>
              <w:rFonts w:hint="default" w:ascii="Times New Roman" w:hAnsi="Times New Roman" w:cs="Times New Roman"/>
              <w:b w:val="0"/>
              <w:bCs w:val="0"/>
              <w:sz w:val="24"/>
              <w:szCs w:val="24"/>
            </w:rPr>
            <w:fldChar w:fldCharType="separate"/>
          </w:r>
          <w:r>
            <w:rPr>
              <w:rStyle w:val="11"/>
              <w:rFonts w:hint="default" w:ascii="Times New Roman" w:hAnsi="Times New Roman" w:cs="Times New Roman"/>
              <w:b w:val="0"/>
              <w:bCs w:val="0"/>
              <w:sz w:val="24"/>
              <w:szCs w:val="24"/>
            </w:rPr>
            <w:t>8.0 Conclusion</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_Toc140864856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16</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6"/>
            <w:tabs>
              <w:tab w:val="right" w:leader="dot" w:pos="9016"/>
            </w:tabs>
            <w:spacing w:line="360" w:lineRule="auto"/>
            <w:rPr>
              <w:rFonts w:hint="default" w:ascii="Times New Roman" w:hAnsi="Times New Roman" w:cs="Times New Roman" w:eastAsiaTheme="minorEastAsia"/>
              <w:kern w:val="2"/>
              <w:sz w:val="24"/>
              <w:szCs w:val="24"/>
              <w:lang w:val="en-US" w:eastAsia="zh-CN"/>
              <w14:ligatures w14:val="standardContextual"/>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"_Toc140864857" </w:instrText>
          </w:r>
          <w:r>
            <w:rPr>
              <w:rFonts w:hint="default" w:ascii="Times New Roman" w:hAnsi="Times New Roman" w:cs="Times New Roman"/>
              <w:b w:val="0"/>
              <w:bCs w:val="0"/>
              <w:sz w:val="24"/>
              <w:szCs w:val="24"/>
            </w:rPr>
            <w:fldChar w:fldCharType="separate"/>
          </w:r>
          <w:r>
            <w:rPr>
              <w:rStyle w:val="11"/>
              <w:rFonts w:hint="default" w:ascii="Times New Roman" w:hAnsi="Times New Roman" w:cs="Times New Roman"/>
              <w:b w:val="0"/>
              <w:bCs w:val="0"/>
              <w:sz w:val="24"/>
              <w:szCs w:val="24"/>
            </w:rPr>
            <w:t>References</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_Toc140864857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18</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spacing w:line="360" w:lineRule="auto"/>
            <w:rPr>
              <w:rFonts w:hint="default" w:ascii="Times New Roman" w:hAnsi="Times New Roman" w:cs="Times New Roman"/>
              <w:sz w:val="24"/>
              <w:szCs w:val="24"/>
            </w:rPr>
          </w:pPr>
          <w:r>
            <w:rPr>
              <w:rFonts w:hint="default" w:ascii="Times New Roman" w:hAnsi="Times New Roman" w:cs="Times New Roman"/>
              <w:b/>
              <w:bCs/>
              <w:sz w:val="24"/>
              <w:szCs w:val="24"/>
            </w:rPr>
            <w:fldChar w:fldCharType="end"/>
          </w:r>
        </w:p>
      </w:sdtContent>
    </w:sdt>
    <w:p>
      <w:pPr>
        <w:spacing w:line="480" w:lineRule="auto"/>
        <w:jc w:val="both"/>
        <w:rPr>
          <w:rFonts w:ascii="Times New Roman" w:hAnsi="Times New Roman" w:cs="Times New Roman"/>
          <w:sz w:val="24"/>
          <w:szCs w:val="24"/>
        </w:rPr>
      </w:pPr>
    </w:p>
    <w:p>
      <w:pPr>
        <w:spacing w:line="480" w:lineRule="auto"/>
        <w:rPr>
          <w:rFonts w:ascii="Times New Roman" w:hAnsi="Times New Roman" w:cs="Times New Roman" w:eastAsiaTheme="majorEastAsia"/>
          <w:sz w:val="24"/>
          <w:szCs w:val="24"/>
        </w:rPr>
      </w:pPr>
      <w:r>
        <w:rPr>
          <w:rFonts w:ascii="Times New Roman" w:hAnsi="Times New Roman" w:cs="Times New Roman"/>
          <w:sz w:val="24"/>
          <w:szCs w:val="24"/>
        </w:rPr>
        <w:br w:type="page"/>
      </w:r>
    </w:p>
    <w:p>
      <w:pPr>
        <w:pStyle w:val="2"/>
        <w:spacing w:line="480" w:lineRule="auto"/>
        <w:jc w:val="left"/>
        <w:rPr>
          <w:rFonts w:ascii="Times New Roman" w:hAnsi="Times New Roman" w:cs="Times New Roman"/>
          <w:b/>
          <w:color w:val="000000" w:themeColor="text1"/>
          <w:sz w:val="24"/>
          <w:szCs w:val="24"/>
          <w14:textFill>
            <w14:solidFill>
              <w14:schemeClr w14:val="tx1"/>
            </w14:solidFill>
          </w14:textFill>
        </w:rPr>
      </w:pPr>
      <w:bookmarkStart w:id="0" w:name="_Toc140864846"/>
      <w:r>
        <w:rPr>
          <w:rFonts w:ascii="Times New Roman" w:hAnsi="Times New Roman" w:cs="Times New Roman"/>
          <w:b/>
          <w:color w:val="000000" w:themeColor="text1"/>
          <w:sz w:val="24"/>
          <w:szCs w:val="24"/>
          <w14:textFill>
            <w14:solidFill>
              <w14:schemeClr w14:val="tx1"/>
            </w14:solidFill>
          </w14:textFill>
        </w:rPr>
        <w:t xml:space="preserve">Executive </w:t>
      </w:r>
      <w:r>
        <w:rPr>
          <w:rFonts w:hint="eastAsia" w:ascii="Times New Roman" w:hAnsi="Times New Roman" w:cs="Times New Roman"/>
          <w:b/>
          <w:color w:val="000000" w:themeColor="text1"/>
          <w:sz w:val="24"/>
          <w:szCs w:val="24"/>
          <w:lang w:val="en-US" w:eastAsia="zh-CN"/>
          <w14:textFill>
            <w14:solidFill>
              <w14:schemeClr w14:val="tx1"/>
            </w14:solidFill>
          </w14:textFill>
        </w:rPr>
        <w:t>S</w:t>
      </w:r>
      <w:r>
        <w:rPr>
          <w:rFonts w:ascii="Times New Roman" w:hAnsi="Times New Roman" w:cs="Times New Roman"/>
          <w:b/>
          <w:color w:val="000000" w:themeColor="text1"/>
          <w:sz w:val="24"/>
          <w:szCs w:val="24"/>
          <w14:textFill>
            <w14:solidFill>
              <w14:schemeClr w14:val="tx1"/>
            </w14:solidFill>
          </w14:textFill>
        </w:rPr>
        <w:t>ummary</w:t>
      </w:r>
      <w:bookmarkEnd w:id="0"/>
    </w:p>
    <w:p>
      <w:pPr>
        <w:pStyle w:val="15"/>
        <w:spacing w:line="480" w:lineRule="auto"/>
        <w:jc w:val="both"/>
        <w:rPr>
          <w:rFonts w:ascii="Times New Roman" w:hAnsi="Times New Roman" w:cs="Times New Roman" w:eastAsiaTheme="minorHAnsi"/>
          <w:color w:val="auto"/>
          <w:sz w:val="24"/>
          <w:szCs w:val="24"/>
          <w:lang w:val="en-GB"/>
        </w:rPr>
      </w:pPr>
      <w:bookmarkStart w:id="13" w:name="_GoBack"/>
      <w:r>
        <w:rPr>
          <w:rFonts w:ascii="Times New Roman" w:hAnsi="Times New Roman" w:cs="Times New Roman" w:eastAsiaTheme="minorHAnsi"/>
          <w:color w:val="auto"/>
          <w:sz w:val="24"/>
          <w:szCs w:val="24"/>
          <w:lang w:val="en-GB"/>
        </w:rPr>
        <w:t>Tesco, a prominent UK retailer, and its key success factors and change management strategies are the focal points of this report. Various change management theories, including planned and emergent change, are briefly explored before delving into how Tesco effectively applies these models in its change initiatives. The importance of selecting an appropriate change management approach aligned with the scope and complexity of the program is emphasized. The study then examines how Tesco's proactive leadership, customer-focused culture, and embrace of digital change have facilitated its sector transformation, enabling adaptability in dynamic market conditions. Overcoming change resistance is crucial for effective change management, and Tesco's dispute-resolution systems, comprising direct communication, employee involvement, and partnerships, are analysed. Evaluation of transformation initiatives through goal setting, monitoring KPIs, data analysis, stakeholder feedback, and goal achievement assessment are crucial. The report concludes with Tesco's achievements in change management, attributing its success to its adaptable culture, assertive leadership, employee involvement, and market adaptability, providing valuable insights for organizations striving to manage change effectively.</w:t>
      </w:r>
    </w:p>
    <w:bookmarkEnd w:id="13"/>
    <w:p>
      <w:pPr>
        <w:pStyle w:val="2"/>
        <w:spacing w:line="480" w:lineRule="auto"/>
        <w:jc w:val="center"/>
        <w:rPr>
          <w:rFonts w:ascii="Times New Roman" w:hAnsi="Times New Roman" w:cs="Times New Roman"/>
          <w:b/>
          <w:color w:val="000000" w:themeColor="text1"/>
          <w:sz w:val="24"/>
          <w:szCs w:val="24"/>
          <w14:textFill>
            <w14:solidFill>
              <w14:schemeClr w14:val="tx1"/>
            </w14:solidFill>
          </w14:textFill>
        </w:rPr>
      </w:pPr>
    </w:p>
    <w:p>
      <w:pPr>
        <w:pStyle w:val="2"/>
        <w:spacing w:line="480" w:lineRule="auto"/>
        <w:jc w:val="center"/>
        <w:rPr>
          <w:rFonts w:ascii="Times New Roman" w:hAnsi="Times New Roman" w:cs="Times New Roman"/>
          <w:b/>
          <w:color w:val="000000" w:themeColor="text1"/>
          <w:sz w:val="24"/>
          <w:szCs w:val="24"/>
          <w14:textFill>
            <w14:solidFill>
              <w14:schemeClr w14:val="tx1"/>
            </w14:solidFill>
          </w14:textFill>
        </w:rPr>
      </w:pPr>
    </w:p>
    <w:p/>
    <w:p/>
    <w:p/>
    <w:p/>
    <w:p/>
    <w:p/>
    <w:p>
      <w:pPr>
        <w:pStyle w:val="2"/>
        <w:spacing w:line="480" w:lineRule="auto"/>
        <w:jc w:val="left"/>
        <w:rPr>
          <w:rFonts w:ascii="Times New Roman" w:hAnsi="Times New Roman" w:cs="Times New Roman"/>
          <w:b/>
          <w:color w:val="000000" w:themeColor="text1"/>
          <w:sz w:val="28"/>
          <w:szCs w:val="28"/>
          <w14:textFill>
            <w14:solidFill>
              <w14:schemeClr w14:val="tx1"/>
            </w14:solidFill>
          </w14:textFill>
        </w:rPr>
      </w:pPr>
      <w:bookmarkStart w:id="1" w:name="_Toc140864847"/>
      <w:r>
        <w:rPr>
          <w:rFonts w:ascii="Times New Roman" w:hAnsi="Times New Roman" w:cs="Times New Roman"/>
          <w:b/>
          <w:color w:val="000000" w:themeColor="text1"/>
          <w:sz w:val="28"/>
          <w:szCs w:val="28"/>
          <w14:textFill>
            <w14:solidFill>
              <w14:schemeClr w14:val="tx1"/>
            </w14:solidFill>
          </w14:textFill>
        </w:rPr>
        <w:t>1.0 Introduction</w:t>
      </w:r>
      <w:bookmarkEnd w:id="1"/>
    </w:p>
    <w:p>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Organisations must embrace change if they want to remain competitive and resilient in the face of constantly changing global issues (Babar &amp; Habib, 2020). The purpose of this article is to assist Tesco Company, a significant UK retailer that has recently started a significant change project, by acting as a designated change agent and providing direction. This study intends to assess several areas of change and analyse significant barriers using an appropriate change management framework, with a focus on the anticipated effects of the post-pandemic and Brexit era on Tesco's future business. As the company navigates these particular times, it is vital to consider the effects of these occurrences and to create workable plans to adjust to the shifting environment (Sarkar, 2021). By understanding the complexities of change management and how they will affect Tesco's future operations, this report intends to provide incisive analysis and recommendations for the company's sustained success </w:t>
      </w:r>
    </w:p>
    <w:p>
      <w:pPr>
        <w:pStyle w:val="2"/>
        <w:spacing w:line="480" w:lineRule="auto"/>
        <w:jc w:val="left"/>
        <w:rPr>
          <w:rFonts w:ascii="Times New Roman" w:hAnsi="Times New Roman" w:cs="Times New Roman"/>
          <w:b/>
          <w:color w:val="000000" w:themeColor="text1"/>
          <w:sz w:val="28"/>
          <w:szCs w:val="28"/>
          <w14:textFill>
            <w14:solidFill>
              <w14:schemeClr w14:val="tx1"/>
            </w14:solidFill>
          </w14:textFill>
        </w:rPr>
      </w:pPr>
      <w:bookmarkStart w:id="2" w:name="_Toc140864848"/>
      <w:r>
        <w:rPr>
          <w:rFonts w:ascii="Times New Roman" w:hAnsi="Times New Roman" w:cs="Times New Roman"/>
          <w:b/>
          <w:color w:val="000000" w:themeColor="text1"/>
          <w:sz w:val="28"/>
          <w:szCs w:val="28"/>
          <w14:textFill>
            <w14:solidFill>
              <w14:schemeClr w14:val="tx1"/>
            </w14:solidFill>
          </w14:textFill>
        </w:rPr>
        <w:t>2.0 Brief company background</w:t>
      </w:r>
      <w:bookmarkEnd w:id="2"/>
    </w:p>
    <w:p>
      <w:pPr>
        <w:spacing w:line="480" w:lineRule="auto"/>
        <w:jc w:val="both"/>
        <w:rPr>
          <w:rFonts w:ascii="Times New Roman" w:hAnsi="Times New Roman" w:cs="Times New Roman"/>
          <w:sz w:val="24"/>
          <w:szCs w:val="24"/>
        </w:rPr>
      </w:pPr>
      <w:r>
        <w:rPr>
          <w:rFonts w:ascii="Times New Roman" w:hAnsi="Times New Roman" w:cs="Times New Roman"/>
          <w:sz w:val="24"/>
          <w:szCs w:val="24"/>
        </w:rPr>
        <w:t>Tesco, one of the biggest and most recognisable British multinational retailers, has an illustrious history that dates back to 1919 when Jack Cohen founded a small market stall in London's East End (Tesco, 2023). Throughout the years, this once modest enterprise has blossomed into a colossal global retail powerhouse, captivating customers worldwide with its extensive product range and exceptional service. The company operates in more than 10 nations, since its founding in 1919. Tesco has focused on offering high-quality products and services at competitive rates, earning a reputation for comfort and client happiness (Tesco Company, 2023).</w:t>
      </w:r>
      <w:r>
        <w:t xml:space="preserve"> </w:t>
      </w:r>
      <w:r>
        <w:rPr>
          <w:rFonts w:ascii="Times New Roman" w:hAnsi="Times New Roman" w:cs="Times New Roman"/>
          <w:sz w:val="24"/>
          <w:szCs w:val="24"/>
        </w:rPr>
        <w:t>Tesco serve a wide variety of customers, offering everything from groceries and clothing to cutting-edge technology and banking services. With such a wide selection of goods, buyers may satisfy all of their shopping needs in a one trip.</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Tesco's most notable achievements include the introduction of novel and successful products under its own brand name. By offering quality products that provide value for money, Tesco has successfully earned customer loyalty and trust. Its acclaimed customer loyalty program, Clubcard, further solidifies this bond, rewarding patrons with exclusive offers and benefits. In addition, behind Tesco's stellar success lies a dedicated workforce of over 450,000 individuals. Their hard work and dedication ensure that customers enjoy a seamless shopping experience, marked by exceptional service and a diverse array of products. Tesco's emphasis on nurturing and empowering its employees fosters an environment that encourages growth and innovation.</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Tesco recently experienced major adjustments as a result of various circumstances. The environment that is fast changing for the retail industry has been one of the main forces behind change. Tesco must alter its business strategy in light of the expanding influence of e-commerce and other technical issues. To remain relevant and competitive in the digital age, the company has improved its web presence, customer experience, and supply chain practises (Lim &amp; Winkenbach, 2018). Tesco has also encountered outside problems that necessitate organisational transformation. Tesco has modified its business practises as a result of the global COVID-19 outbreak's severe negative effects on the retail sector (Tyagi, 2023). This is done to safeguard both clients and workers. Tesco has had to make considerable modifications as a result of the United Kingdom's exit from the European Union, or Brexit, which has heightened regulatory barriers and trade uncertainty, in order to prevent any disruptions to its supply chain and global operations (Reuters, 2023).</w:t>
      </w: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p>
    <w:p>
      <w:pPr>
        <w:pStyle w:val="2"/>
        <w:spacing w:line="480" w:lineRule="auto"/>
        <w:jc w:val="left"/>
        <w:rPr>
          <w:rFonts w:ascii="Times New Roman" w:hAnsi="Times New Roman" w:cs="Times New Roman"/>
          <w:b/>
          <w:color w:val="000000" w:themeColor="text1"/>
          <w:sz w:val="28"/>
          <w:szCs w:val="28"/>
          <w14:textFill>
            <w14:solidFill>
              <w14:schemeClr w14:val="tx1"/>
            </w14:solidFill>
          </w14:textFill>
        </w:rPr>
      </w:pPr>
      <w:bookmarkStart w:id="3" w:name="_Toc140864849"/>
      <w:r>
        <w:rPr>
          <w:rFonts w:ascii="Times New Roman" w:hAnsi="Times New Roman" w:cs="Times New Roman"/>
          <w:b/>
          <w:color w:val="000000" w:themeColor="text1"/>
          <w:sz w:val="28"/>
          <w:szCs w:val="28"/>
          <w14:textFill>
            <w14:solidFill>
              <w14:schemeClr w14:val="tx1"/>
            </w14:solidFill>
          </w14:textFill>
        </w:rPr>
        <w:t>3.0 Key change management models</w:t>
      </w:r>
      <w:bookmarkEnd w:id="3"/>
    </w:p>
    <w:p>
      <w:pPr>
        <w:spacing w:line="480" w:lineRule="auto"/>
        <w:jc w:val="both"/>
        <w:rPr>
          <w:rFonts w:ascii="Times New Roman" w:hAnsi="Times New Roman" w:cs="Times New Roman"/>
          <w:sz w:val="24"/>
          <w:szCs w:val="24"/>
        </w:rPr>
      </w:pPr>
      <w:r>
        <w:rPr>
          <w:rFonts w:ascii="Times New Roman" w:hAnsi="Times New Roman" w:cs="Times New Roman"/>
          <w:sz w:val="24"/>
          <w:szCs w:val="24"/>
        </w:rPr>
        <w:t>Companies need transition management strategies in order to grow and be supported during times of change. Two popular change management techniques are planned change and emergent change (Almoaber &amp; Amyot, 2021). Before applying the research to Tesco Company, which has just undergone major upheaval, this essay critically assesses these models.</w:t>
      </w:r>
    </w:p>
    <w:p>
      <w:pPr>
        <w:pStyle w:val="2"/>
        <w:spacing w:line="480" w:lineRule="auto"/>
        <w:jc w:val="both"/>
        <w:rPr>
          <w:rFonts w:ascii="Times New Roman" w:hAnsi="Times New Roman" w:cs="Times New Roman"/>
          <w:b/>
          <w:color w:val="000000" w:themeColor="text1"/>
          <w:sz w:val="24"/>
          <w:szCs w:val="24"/>
          <w14:textFill>
            <w14:solidFill>
              <w14:schemeClr w14:val="tx1"/>
            </w14:solidFill>
          </w14:textFill>
        </w:rPr>
      </w:pPr>
      <w:bookmarkStart w:id="4" w:name="_Toc140864850"/>
      <w:r>
        <w:rPr>
          <w:rFonts w:ascii="Times New Roman" w:hAnsi="Times New Roman" w:cs="Times New Roman"/>
          <w:b/>
          <w:color w:val="000000" w:themeColor="text1"/>
          <w:sz w:val="24"/>
          <w:szCs w:val="24"/>
          <w14:textFill>
            <w14:solidFill>
              <w14:schemeClr w14:val="tx1"/>
            </w14:solidFill>
          </w14:textFill>
        </w:rPr>
        <w:t>3.1 Planned change</w:t>
      </w:r>
      <w:bookmarkEnd w:id="4"/>
      <w:r>
        <w:rPr>
          <w:rFonts w:ascii="Times New Roman" w:hAnsi="Times New Roman" w:cs="Times New Roman"/>
          <w:b/>
          <w:color w:val="000000" w:themeColor="text1"/>
          <w:sz w:val="24"/>
          <w:szCs w:val="24"/>
          <w14:textFill>
            <w14:solidFill>
              <w14:schemeClr w14:val="tx1"/>
            </w14:solidFill>
          </w14:textFill>
        </w:rPr>
        <w:t xml:space="preserve"> </w:t>
      </w:r>
    </w:p>
    <w:p>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Lewin’s Change management model (Unfreeze-Change-Refreeze Model)</w:t>
      </w:r>
    </w:p>
    <w:p>
      <w:pPr>
        <w:spacing w:line="480" w:lineRule="auto"/>
        <w:jc w:val="both"/>
        <w:rPr>
          <w:rFonts w:ascii="Times New Roman" w:hAnsi="Times New Roman" w:cs="Times New Roman"/>
          <w:b/>
          <w:bCs/>
          <w:sz w:val="24"/>
          <w:szCs w:val="24"/>
        </w:rPr>
      </w:pPr>
      <w:r>
        <w:rPr>
          <w:rFonts w:ascii="Times New Roman" w:hAnsi="Times New Roman" w:cs="Times New Roman"/>
          <w:sz w:val="24"/>
          <w:szCs w:val="24"/>
        </w:rPr>
        <w:t>The planned change paradigm, which emphasises a methodical and controlled approach to change, occasionally associates Kurt Lewin's “Unfreeze-Change-Refreeze Model” with it. It calls for a set of procedures that begin with the present state being unfrozen, continue with the intended modification, and finally refreeze the new state (Hanelt et al., 2020). The paradigm operates under the premise that change can be anticipated, planned for, and managed. The volatility and unpredictable nature of evolving events in the real world, however, could occasionally make this linear approach inapplicable (Piccoli et al., 2020).</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Tesco's shift is a remarkable example of the planned change paradigm. In light of the changing retail landscape and the expanding influence of technology, Tesco understood the significance of digital transformation. The business put into effect a number of planned changes, including enhancing supply chain procedures, expanding its web presence, and enhancing the user experience through technology (Ausloos, 2020). Tesco employed a systematic approach, focusing its transformative operations through market research, data analysis, and strategic planning. Recognising that not every change can be fully predicted or handled is crucial (Bellantuono et al., 2021).</w:t>
      </w:r>
    </w:p>
    <w:p>
      <w:pPr>
        <w:pStyle w:val="2"/>
        <w:spacing w:line="480" w:lineRule="auto"/>
        <w:jc w:val="both"/>
        <w:rPr>
          <w:rFonts w:ascii="Times New Roman" w:hAnsi="Times New Roman" w:cs="Times New Roman"/>
          <w:b/>
          <w:color w:val="000000" w:themeColor="text1"/>
          <w:sz w:val="24"/>
          <w:szCs w:val="24"/>
          <w14:textFill>
            <w14:solidFill>
              <w14:schemeClr w14:val="tx1"/>
            </w14:solidFill>
          </w14:textFill>
        </w:rPr>
      </w:pPr>
      <w:bookmarkStart w:id="5" w:name="_Toc140864851"/>
      <w:r>
        <w:rPr>
          <w:rFonts w:ascii="Times New Roman" w:hAnsi="Times New Roman" w:cs="Times New Roman"/>
          <w:b/>
          <w:color w:val="000000" w:themeColor="text1"/>
          <w:sz w:val="24"/>
          <w:szCs w:val="24"/>
          <w14:textFill>
            <w14:solidFill>
              <w14:schemeClr w14:val="tx1"/>
            </w14:solidFill>
          </w14:textFill>
        </w:rPr>
        <w:t>3.2 Emergent change</w:t>
      </w:r>
      <w:bookmarkEnd w:id="5"/>
      <w:r>
        <w:rPr>
          <w:rFonts w:ascii="Times New Roman" w:hAnsi="Times New Roman" w:cs="Times New Roman"/>
          <w:b/>
          <w:color w:val="000000" w:themeColor="text1"/>
          <w:sz w:val="24"/>
          <w:szCs w:val="24"/>
          <w14:textFill>
            <w14:solidFill>
              <w14:schemeClr w14:val="tx1"/>
            </w14:solidFill>
          </w14:textFill>
        </w:rPr>
        <w:t xml:space="preserve"> </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According to the emergent change paradigm, transformation is frequently brought on by complicated interactions between an organisation and its surroundings. According to this theory, change can occur as a result of exploration, adaptation, and learning and need not always be the result of deliberate planning. It highlights how crucial responsiveness, agility, and flexibility are while managing change (Zheng et al., 2019).</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The experience at Tesco supports the concept of emergent change. The corporation has to respond quickly and react to external threats like the COVID-19 outbreak and Brexit. Tesco was forced to make swift adjustments to its operating practises to protect its patrons and staff, using security measures like social distance protocols and contactless payment methods (Silva et al., 2021). Due to the legal difficulties and trade uncertainties brought on by Brexit, Tesco was also required to negotiate new developments in order to prevent any disruptions to its supply chain and its global operations. The emergent change model underlines the necessity for agility and adaptability in a continually changing environment, while the planned change model emphasises structure and control (Partridge, 2020). Tesco's success may be attributed to its capacity to achieve a balance between these two points of view (Abbas, 2023). In responding to unforeseen circumstances and unexpected events as part of its planned improvements to speed up its digital transition, the company shown flexibility and adaptability (Birney, 2021).  The effectiveness of change management is reliant on a thorough understanding of the benefits and limitations of various models, as well as their appropriate application in different situations (Ausloos, 2020)</w:t>
      </w:r>
    </w:p>
    <w:p>
      <w:pPr>
        <w:spacing w:line="480" w:lineRule="auto"/>
        <w:jc w:val="both"/>
        <w:rPr>
          <w:rFonts w:ascii="Times New Roman" w:hAnsi="Times New Roman" w:cs="Times New Roman"/>
          <w:sz w:val="24"/>
          <w:szCs w:val="24"/>
        </w:rPr>
      </w:pPr>
    </w:p>
    <w:p>
      <w:pPr>
        <w:pStyle w:val="2"/>
        <w:spacing w:line="480" w:lineRule="auto"/>
        <w:jc w:val="left"/>
        <w:rPr>
          <w:sz w:val="36"/>
          <w:szCs w:val="36"/>
        </w:rPr>
      </w:pPr>
      <w:bookmarkStart w:id="6" w:name="_Toc140864852"/>
      <w:r>
        <w:rPr>
          <w:rFonts w:ascii="Times New Roman" w:hAnsi="Times New Roman" w:cs="Times New Roman"/>
          <w:b/>
          <w:color w:val="000000" w:themeColor="text1"/>
          <w:sz w:val="28"/>
          <w:szCs w:val="28"/>
          <w14:textFill>
            <w14:solidFill>
              <w14:schemeClr w14:val="tx1"/>
            </w14:solidFill>
          </w14:textFill>
        </w:rPr>
        <w:t xml:space="preserve">4.0 </w:t>
      </w:r>
      <w:bookmarkStart w:id="7" w:name="OLE_LINK1"/>
      <w:r>
        <w:rPr>
          <w:rFonts w:ascii="Times New Roman" w:hAnsi="Times New Roman" w:cs="Times New Roman"/>
          <w:b/>
          <w:color w:val="000000" w:themeColor="text1"/>
          <w:sz w:val="28"/>
          <w:szCs w:val="28"/>
          <w14:textFill>
            <w14:solidFill>
              <w14:schemeClr w14:val="tx1"/>
            </w14:solidFill>
          </w14:textFill>
        </w:rPr>
        <w:t>How the change models can be utilised</w:t>
      </w:r>
      <w:bookmarkEnd w:id="6"/>
      <w:bookmarkEnd w:id="7"/>
    </w:p>
    <w:p>
      <w:pPr>
        <w:rPr>
          <w:rFonts w:hint="eastAsia" w:eastAsia="宋体"/>
          <w:lang w:eastAsia="zh-CN"/>
        </w:rPr>
      </w:pPr>
      <w:r>
        <w:rPr>
          <w:rFonts w:hint="eastAsia" w:eastAsia="宋体"/>
          <w:lang w:eastAsia="zh-CN"/>
        </w:rPr>
        <w:drawing>
          <wp:inline distT="0" distB="0" distL="114300" distR="114300">
            <wp:extent cx="5727065" cy="3094355"/>
            <wp:effectExtent l="0" t="0" r="3175" b="14605"/>
            <wp:docPr id="5" name="图片 5" descr="91c67d5b3a3e481860c396cb5e20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91c67d5b3a3e481860c396cb5e20892"/>
                    <pic:cNvPicPr>
                      <a:picLocks noChangeAspect="1"/>
                    </pic:cNvPicPr>
                  </pic:nvPicPr>
                  <pic:blipFill>
                    <a:blip r:embed="rId8"/>
                    <a:stretch>
                      <a:fillRect/>
                    </a:stretch>
                  </pic:blipFill>
                  <pic:spPr>
                    <a:xfrm>
                      <a:off x="0" y="0"/>
                      <a:ext cx="5727065" cy="3094355"/>
                    </a:xfrm>
                    <a:prstGeom prst="rect">
                      <a:avLst/>
                    </a:prstGeom>
                  </pic:spPr>
                </pic:pic>
              </a:graphicData>
            </a:graphic>
          </wp:inline>
        </w:drawing>
      </w:r>
    </w:p>
    <w:p>
      <w:pPr>
        <w:spacing w:line="480" w:lineRule="auto"/>
        <w:jc w:val="center"/>
        <w:rPr>
          <w:rFonts w:ascii="Times New Roman" w:hAnsi="Times New Roman" w:cs="Times New Roman"/>
          <w:i/>
          <w:iCs/>
          <w:sz w:val="24"/>
          <w:szCs w:val="24"/>
        </w:rPr>
      </w:pPr>
      <w:r>
        <w:rPr>
          <w:rFonts w:ascii="Times New Roman" w:hAnsi="Times New Roman" w:cs="Times New Roman"/>
          <w:i/>
          <w:iCs/>
          <w:sz w:val="24"/>
          <w:szCs w:val="24"/>
        </w:rPr>
        <w:t xml:space="preserve">Figure </w:t>
      </w:r>
      <w:r>
        <w:rPr>
          <w:rFonts w:hint="eastAsia" w:ascii="Times New Roman" w:hAnsi="Times New Roman" w:cs="Times New Roman"/>
          <w:i/>
          <w:iCs/>
          <w:sz w:val="24"/>
          <w:szCs w:val="24"/>
          <w:lang w:val="en-US" w:eastAsia="zh-CN"/>
        </w:rPr>
        <w:t>1</w:t>
      </w:r>
      <w:r>
        <w:rPr>
          <w:rFonts w:ascii="Times New Roman" w:hAnsi="Times New Roman" w:cs="Times New Roman"/>
          <w:i/>
          <w:iCs/>
          <w:sz w:val="24"/>
          <w:szCs w:val="24"/>
        </w:rPr>
        <w:t xml:space="preserve">: </w:t>
      </w:r>
      <w:r>
        <w:rPr>
          <w:rFonts w:hint="eastAsia" w:ascii="Times New Roman" w:hAnsi="Times New Roman" w:cs="Times New Roman"/>
          <w:i/>
          <w:iCs/>
          <w:sz w:val="24"/>
          <w:szCs w:val="24"/>
        </w:rPr>
        <w:t>Ways to change the model</w:t>
      </w:r>
    </w:p>
    <w:p>
      <w:pPr>
        <w:rPr>
          <w:rFonts w:ascii="Times New Roman" w:hAnsi="Times New Roman" w:cs="Times New Roman"/>
          <w:b/>
          <w:color w:val="000000" w:themeColor="text1"/>
          <w:sz w:val="24"/>
          <w:szCs w:val="24"/>
          <w14:textFill>
            <w14:solidFill>
              <w14:schemeClr w14:val="tx1"/>
            </w14:solidFill>
          </w14:textFill>
        </w:rPr>
      </w:pPr>
    </w:p>
    <w:p>
      <w:pPr>
        <w:spacing w:line="480" w:lineRule="auto"/>
        <w:rPr>
          <w:rFonts w:ascii="Times New Roman" w:hAnsi="Times New Roman" w:cs="Times New Roman"/>
          <w:b/>
          <w:bCs/>
          <w:sz w:val="24"/>
          <w:szCs w:val="24"/>
        </w:rPr>
      </w:pPr>
      <w:r>
        <w:rPr>
          <w:rFonts w:ascii="Times New Roman" w:hAnsi="Times New Roman" w:cs="Times New Roman"/>
          <w:b/>
          <w:bCs/>
          <w:sz w:val="24"/>
          <w:szCs w:val="24"/>
        </w:rPr>
        <w:t>4.1 Application Force Field analysis tools</w:t>
      </w:r>
    </w:p>
    <w:p>
      <w:pPr>
        <w:spacing w:line="480" w:lineRule="auto"/>
        <w:rPr>
          <w:rFonts w:ascii="Times New Roman" w:hAnsi="Times New Roman" w:cs="Times New Roman"/>
          <w:sz w:val="24"/>
          <w:szCs w:val="24"/>
        </w:rPr>
      </w:pPr>
      <w:r>
        <w:rPr>
          <w:rFonts w:ascii="Times New Roman" w:hAnsi="Times New Roman" w:cs="Times New Roman"/>
          <w:sz w:val="24"/>
          <w:szCs w:val="24"/>
        </w:rPr>
        <w:t>The Force Field Model is a decision-making and problem-solving technique developed by psychologist Kurt Lewin in the 1940s (Swanson &amp; Creed, 2014). It is a visual and analytical tool used to assess and understand the various driving and restraining forces that influence a particular decision or change process within an organization (Swanson &amp; Creed, 2014). The model is based on the premise that any situation is characterized by opposing forces that either support or resist the change (See Figure 1)</w:t>
      </w:r>
      <w:r>
        <w:rPr>
          <w:rFonts w:ascii="Times New Roman" w:hAnsi="Times New Roman" w:cs="Times New Roman"/>
          <w:b/>
          <w:bCs/>
          <w:sz w:val="24"/>
          <w:szCs w:val="24"/>
        </w:rPr>
        <w:t xml:space="preserve">.  </w:t>
      </w:r>
      <w:r>
        <w:rPr>
          <w:rFonts w:ascii="Times New Roman" w:hAnsi="Times New Roman" w:cs="Times New Roman"/>
          <w:sz w:val="24"/>
          <w:szCs w:val="24"/>
        </w:rPr>
        <w:t>The digital transformation change in Tesco refers to the strategic integration of digital technologies and processes across its operations to enhance customer experiences, improve operational efficiency, and stay competitive in the rapidly evolving retail landscape.</w:t>
      </w: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jc w:val="both"/>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61312" behindDoc="0" locked="0" layoutInCell="1" allowOverlap="1">
                <wp:simplePos x="0" y="0"/>
                <wp:positionH relativeFrom="column">
                  <wp:posOffset>3671570</wp:posOffset>
                </wp:positionH>
                <wp:positionV relativeFrom="paragraph">
                  <wp:posOffset>1905</wp:posOffset>
                </wp:positionV>
                <wp:extent cx="2095500" cy="3020695"/>
                <wp:effectExtent l="19050" t="0" r="19050" b="27305"/>
                <wp:wrapNone/>
                <wp:docPr id="949060816" name="Callout: Left Arrow 4"/>
                <wp:cNvGraphicFramePr/>
                <a:graphic xmlns:a="http://schemas.openxmlformats.org/drawingml/2006/main">
                  <a:graphicData uri="http://schemas.microsoft.com/office/word/2010/wordprocessingShape">
                    <wps:wsp>
                      <wps:cNvSpPr/>
                      <wps:spPr>
                        <a:xfrm>
                          <a:off x="0" y="0"/>
                          <a:ext cx="2095500" cy="3020916"/>
                        </a:xfrm>
                        <a:prstGeom prst="leftArrowCallout">
                          <a:avLst/>
                        </a:prstGeom>
                      </wps:spPr>
                      <wps:style>
                        <a:lnRef idx="2">
                          <a:schemeClr val="accent6"/>
                        </a:lnRef>
                        <a:fillRef idx="1">
                          <a:schemeClr val="lt1"/>
                        </a:fillRef>
                        <a:effectRef idx="0">
                          <a:schemeClr val="accent6"/>
                        </a:effectRef>
                        <a:fontRef idx="minor">
                          <a:schemeClr val="dk1"/>
                        </a:fontRef>
                      </wps:style>
                      <wps:txbx>
                        <w:txbxContent>
                          <w:p>
                            <w:pPr>
                              <w:jc w:val="center"/>
                              <w:rPr>
                                <w:b/>
                                <w:bCs/>
                              </w:rPr>
                            </w:pPr>
                            <w:r>
                              <w:t xml:space="preserve"> </w:t>
                            </w:r>
                            <w:r>
                              <w:rPr>
                                <w:b/>
                                <w:bCs/>
                              </w:rPr>
                              <w:t>Restraining Forces</w:t>
                            </w:r>
                          </w:p>
                          <w:p>
                            <w:pPr>
                              <w:jc w:val="center"/>
                            </w:pPr>
                            <w:r>
                              <w:t>Organizational culture</w:t>
                            </w:r>
                          </w:p>
                          <w:p>
                            <w:pPr>
                              <w:jc w:val="center"/>
                            </w:pPr>
                            <w:r>
                              <w:t>Workforce skill Gap</w:t>
                            </w:r>
                          </w:p>
                          <w:p>
                            <w:pPr>
                              <w:jc w:val="center"/>
                            </w:pPr>
                            <w:r>
                              <w:t>Outdated infrastructure</w:t>
                            </w:r>
                          </w:p>
                          <w:p>
                            <w:pPr>
                              <w:jc w:val="center"/>
                            </w:pPr>
                            <w:r>
                              <w:t>Data security and privacy issues</w:t>
                            </w:r>
                          </w:p>
                          <w:p>
                            <w:pPr>
                              <w:jc w:val="center"/>
                            </w:pPr>
                            <w:r>
                              <w:t>Organizational politics</w:t>
                            </w:r>
                          </w:p>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Callout: Left Arrow 4" o:spid="_x0000_s1026" o:spt="77" type="#_x0000_t77" style="position:absolute;left:0pt;margin-left:289.1pt;margin-top:0.15pt;height:237.85pt;width:165pt;z-index:251661312;v-text-anchor:middle;mso-width-relative:page;mso-height-relative:page;" fillcolor="#FFFFFF [3201]" filled="t" stroked="t" coordsize="21600,21600" o:gfxdata="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tQLo99cAAAAIAQAADwAAAAAAAAABACAA&#10;AAAiAAAAZHJzL2Rvd25yZXYueG1sUEsBAhQAFAAAAAgAh07iQDGjVF+AAgAAIQUAAA4AAAAAAAAA&#10;AQAgAAAAJgEAAGRycy9lMm9Eb2MueG1sUEsFBgAAAAAGAAYAWQEAABgGAAAAAA==&#10;" adj="7565,7054,5400,8927">
                <v:fill on="t" focussize="0,0"/>
                <v:stroke weight="1pt" color="#70AD47 [3209]" miterlimit="8" joinstyle="miter"/>
                <v:imagedata o:title=""/>
                <o:lock v:ext="edit" aspectratio="f"/>
                <v:textbox>
                  <w:txbxContent>
                    <w:p>
                      <w:pPr>
                        <w:jc w:val="center"/>
                        <w:rPr>
                          <w:b/>
                          <w:bCs/>
                        </w:rPr>
                      </w:pPr>
                      <w:r>
                        <w:t xml:space="preserve"> </w:t>
                      </w:r>
                      <w:r>
                        <w:rPr>
                          <w:b/>
                          <w:bCs/>
                        </w:rPr>
                        <w:t>Restraining Forces</w:t>
                      </w:r>
                    </w:p>
                    <w:p>
                      <w:pPr>
                        <w:jc w:val="center"/>
                      </w:pPr>
                      <w:r>
                        <w:t>Organizational culture</w:t>
                      </w:r>
                    </w:p>
                    <w:p>
                      <w:pPr>
                        <w:jc w:val="center"/>
                      </w:pPr>
                      <w:r>
                        <w:t>Workforce skill Gap</w:t>
                      </w:r>
                    </w:p>
                    <w:p>
                      <w:pPr>
                        <w:jc w:val="center"/>
                      </w:pPr>
                      <w:r>
                        <w:t>Outdated infrastructure</w:t>
                      </w:r>
                    </w:p>
                    <w:p>
                      <w:pPr>
                        <w:jc w:val="center"/>
                      </w:pPr>
                      <w:r>
                        <w:t>Data security and privacy issues</w:t>
                      </w:r>
                    </w:p>
                    <w:p>
                      <w:pPr>
                        <w:jc w:val="center"/>
                      </w:pPr>
                      <w:r>
                        <w:t>Organizational politics</w:t>
                      </w:r>
                    </w:p>
                    <w:p>
                      <w:pPr>
                        <w:jc w:val="center"/>
                      </w:pPr>
                    </w:p>
                  </w:txbxContent>
                </v:textbox>
              </v:shape>
            </w:pict>
          </mc:Fallback>
        </mc:AlternateContent>
      </w:r>
      <w:r>
        <w:rPr>
          <w:rFonts w:ascii="Times New Roman" w:hAnsi="Times New Roman" w:cs="Times New Roman"/>
          <w:sz w:val="24"/>
          <w:szCs w:val="24"/>
        </w:rPr>
        <mc:AlternateContent>
          <mc:Choice Requires="wps">
            <w:drawing>
              <wp:anchor distT="0" distB="0" distL="114300" distR="114300" simplePos="0" relativeHeight="251660288" behindDoc="0" locked="0" layoutInCell="1" allowOverlap="1">
                <wp:simplePos x="0" y="0"/>
                <wp:positionH relativeFrom="column">
                  <wp:posOffset>-36830</wp:posOffset>
                </wp:positionH>
                <wp:positionV relativeFrom="paragraph">
                  <wp:posOffset>-53340</wp:posOffset>
                </wp:positionV>
                <wp:extent cx="2019300" cy="3077210"/>
                <wp:effectExtent l="0" t="0" r="38100" b="28575"/>
                <wp:wrapNone/>
                <wp:docPr id="1786762918" name="Callout: Right Arrow 3"/>
                <wp:cNvGraphicFramePr/>
                <a:graphic xmlns:a="http://schemas.openxmlformats.org/drawingml/2006/main">
                  <a:graphicData uri="http://schemas.microsoft.com/office/word/2010/wordprocessingShape">
                    <wps:wsp>
                      <wps:cNvSpPr/>
                      <wps:spPr>
                        <a:xfrm>
                          <a:off x="0" y="0"/>
                          <a:ext cx="2019300" cy="3076934"/>
                        </a:xfrm>
                        <a:prstGeom prst="rightArrowCallout">
                          <a:avLst/>
                        </a:prstGeom>
                      </wps:spPr>
                      <wps:style>
                        <a:lnRef idx="2">
                          <a:schemeClr val="accent6"/>
                        </a:lnRef>
                        <a:fillRef idx="1">
                          <a:schemeClr val="lt1"/>
                        </a:fillRef>
                        <a:effectRef idx="0">
                          <a:schemeClr val="accent6"/>
                        </a:effectRef>
                        <a:fontRef idx="minor">
                          <a:schemeClr val="dk1"/>
                        </a:fontRef>
                      </wps:style>
                      <wps:txbx>
                        <w:txbxContent>
                          <w:p>
                            <w:pPr>
                              <w:jc w:val="center"/>
                              <w:rPr>
                                <w:b/>
                                <w:bCs/>
                              </w:rPr>
                            </w:pPr>
                            <w:r>
                              <w:t xml:space="preserve"> </w:t>
                            </w:r>
                            <w:r>
                              <w:rPr>
                                <w:b/>
                                <w:bCs/>
                              </w:rPr>
                              <w:t>Driving Forces</w:t>
                            </w:r>
                          </w:p>
                          <w:p>
                            <w:pPr>
                              <w:jc w:val="center"/>
                            </w:pPr>
                            <w:r>
                              <w:t>Customer demands</w:t>
                            </w:r>
                          </w:p>
                          <w:p>
                            <w:pPr>
                              <w:jc w:val="center"/>
                            </w:pPr>
                            <w:r>
                              <w:t>Technological advancement</w:t>
                            </w:r>
                          </w:p>
                          <w:p>
                            <w:pPr>
                              <w:jc w:val="center"/>
                            </w:pPr>
                            <w:r>
                              <w:t>Competition</w:t>
                            </w:r>
                          </w:p>
                          <w:p>
                            <w:pPr>
                              <w:jc w:val="center"/>
                            </w:pPr>
                            <w:r>
                              <w:t>Changing consumer behaviour</w:t>
                            </w:r>
                          </w:p>
                          <w:p>
                            <w:pPr>
                              <w:jc w:val="center"/>
                            </w:pPr>
                            <w:r>
                              <w:t>Leadership</w:t>
                            </w:r>
                          </w:p>
                          <w:p>
                            <w:pPr>
                              <w:jc w:val="center"/>
                            </w:pPr>
                            <w:r>
                              <w:t>Organizational resources</w:t>
                            </w:r>
                          </w:p>
                          <w:p>
                            <w:pPr>
                              <w:jc w:val="center"/>
                              <w:rPr>
                                <w:b/>
                                <w:bCs/>
                              </w:rPr>
                            </w:pPr>
                          </w:p>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Callout: Right Arrow 3" o:spid="_x0000_s1026" o:spt="78" type="#_x0000_t78" style="position:absolute;left:0pt;margin-left:-2.9pt;margin-top:-4.2pt;height:242.3pt;width:159pt;z-index:251660288;v-text-anchor:middle;mso-width-relative:page;mso-height-relative:page;" fillcolor="#FFFFFF [3201]" filled="t" stroked="t" coordsize="21600,21600" o:gfxdata="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C1IwD72QAAAAkBAAAPAAAAAAAA&#10;AAEAIAAAACIAAABkcnMvZG93bnJldi54bWxQSwECFAAUAAAACACHTuJAtSQ0ToMCAAAkBQAADgAA&#10;AAAAAAABACAAAAAoAQAAZHJzL2Uyb0RvYy54bWxQSwUGAAAAAAYABgBZAQAAHQYAAAAA&#10;" adj="14035,7256,16200,9028">
                <v:fill on="t" focussize="0,0"/>
                <v:stroke weight="1pt" color="#70AD47 [3209]" miterlimit="8" joinstyle="miter"/>
                <v:imagedata o:title=""/>
                <o:lock v:ext="edit" aspectratio="f"/>
                <v:textbox>
                  <w:txbxContent>
                    <w:p>
                      <w:pPr>
                        <w:jc w:val="center"/>
                        <w:rPr>
                          <w:b/>
                          <w:bCs/>
                        </w:rPr>
                      </w:pPr>
                      <w:r>
                        <w:t xml:space="preserve"> </w:t>
                      </w:r>
                      <w:r>
                        <w:rPr>
                          <w:b/>
                          <w:bCs/>
                        </w:rPr>
                        <w:t>Driving Forces</w:t>
                      </w:r>
                    </w:p>
                    <w:p>
                      <w:pPr>
                        <w:jc w:val="center"/>
                      </w:pPr>
                      <w:r>
                        <w:t>Customer demands</w:t>
                      </w:r>
                    </w:p>
                    <w:p>
                      <w:pPr>
                        <w:jc w:val="center"/>
                      </w:pPr>
                      <w:r>
                        <w:t>Technological advancement</w:t>
                      </w:r>
                    </w:p>
                    <w:p>
                      <w:pPr>
                        <w:jc w:val="center"/>
                      </w:pPr>
                      <w:r>
                        <w:t>Competition</w:t>
                      </w:r>
                    </w:p>
                    <w:p>
                      <w:pPr>
                        <w:jc w:val="center"/>
                      </w:pPr>
                      <w:r>
                        <w:t>Changing consumer behaviour</w:t>
                      </w:r>
                    </w:p>
                    <w:p>
                      <w:pPr>
                        <w:jc w:val="center"/>
                      </w:pPr>
                      <w:r>
                        <w:t>Leadership</w:t>
                      </w:r>
                    </w:p>
                    <w:p>
                      <w:pPr>
                        <w:jc w:val="center"/>
                      </w:pPr>
                      <w:r>
                        <w:t>Organizational resources</w:t>
                      </w:r>
                    </w:p>
                    <w:p>
                      <w:pPr>
                        <w:jc w:val="center"/>
                        <w:rPr>
                          <w:b/>
                          <w:bCs/>
                        </w:rPr>
                      </w:pPr>
                    </w:p>
                    <w:p>
                      <w:pPr>
                        <w:jc w:val="center"/>
                      </w:pPr>
                    </w:p>
                  </w:txbxContent>
                </v:textbox>
              </v:shape>
            </w:pict>
          </mc:Fallback>
        </mc:AlternateContent>
      </w: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59264" behindDoc="0" locked="0" layoutInCell="1" allowOverlap="1">
                <wp:simplePos x="0" y="0"/>
                <wp:positionH relativeFrom="column">
                  <wp:posOffset>2173605</wp:posOffset>
                </wp:positionH>
                <wp:positionV relativeFrom="paragraph">
                  <wp:posOffset>378460</wp:posOffset>
                </wp:positionV>
                <wp:extent cx="1216660" cy="906145"/>
                <wp:effectExtent l="0" t="0" r="22225" b="27305"/>
                <wp:wrapNone/>
                <wp:docPr id="197664833" name="Rectangle 2"/>
                <wp:cNvGraphicFramePr/>
                <a:graphic xmlns:a="http://schemas.openxmlformats.org/drawingml/2006/main">
                  <a:graphicData uri="http://schemas.microsoft.com/office/word/2010/wordprocessingShape">
                    <wps:wsp>
                      <wps:cNvSpPr/>
                      <wps:spPr>
                        <a:xfrm>
                          <a:off x="0" y="0"/>
                          <a:ext cx="1216549" cy="906449"/>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b/>
                                <w:bCs/>
                              </w:rPr>
                            </w:pPr>
                            <w:r>
                              <w:rPr>
                                <w:b/>
                                <w:bCs/>
                              </w:rPr>
                              <w:t xml:space="preserve"> Digital transformation at Tesco</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 o:spid="_x0000_s1026" o:spt="1" style="position:absolute;left:0pt;margin-left:171.15pt;margin-top:29.8pt;height:71.35pt;width:95.8pt;z-index:251659264;v-text-anchor:middle;mso-width-relative:page;mso-height-relative:page;" fillcolor="#FFFFFF [3201]" filled="t" stroked="t" coordsize="21600,21600" o:gfxdata="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ULFlMtkAAAAKAQAADwAAAAAAAAABACAAAAAiAAAAZHJz&#10;L2Rvd25yZXYueG1sUEsBAhQAFAAAAAgAh07iQMI+Ta91AgAACgUAAA4AAAAAAAAAAQAgAAAAKAEA&#10;AGRycy9lMm9Eb2MueG1sUEsFBgAAAAAGAAYAWQEAAA8GAAAAAA==&#10;">
                <v:fill on="t" focussize="0,0"/>
                <v:stroke weight="1pt" color="#70AD47 [3209]" miterlimit="8" joinstyle="miter"/>
                <v:imagedata o:title=""/>
                <o:lock v:ext="edit" aspectratio="f"/>
                <v:textbox>
                  <w:txbxContent>
                    <w:p>
                      <w:pPr>
                        <w:jc w:val="center"/>
                        <w:rPr>
                          <w:b/>
                          <w:bCs/>
                        </w:rPr>
                      </w:pPr>
                      <w:r>
                        <w:rPr>
                          <w:b/>
                          <w:bCs/>
                        </w:rPr>
                        <w:t xml:space="preserve"> Digital transformation at Tesco</w:t>
                      </w:r>
                    </w:p>
                  </w:txbxContent>
                </v:textbox>
              </v:rect>
            </w:pict>
          </mc:Fallback>
        </mc:AlternateContent>
      </w: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i/>
          <w:iCs/>
          <w:sz w:val="24"/>
          <w:szCs w:val="24"/>
        </w:rPr>
      </w:pPr>
      <w:r>
        <w:rPr>
          <w:rFonts w:ascii="Times New Roman" w:hAnsi="Times New Roman" w:cs="Times New Roman"/>
          <w:sz w:val="24"/>
          <w:szCs w:val="24"/>
        </w:rPr>
        <w:tab/>
      </w:r>
      <w:r>
        <w:rPr>
          <w:rFonts w:ascii="Times New Roman" w:hAnsi="Times New Roman" w:cs="Times New Roman"/>
          <w:i/>
          <w:iCs/>
          <w:sz w:val="24"/>
          <w:szCs w:val="24"/>
        </w:rPr>
        <w:t>Figure 1: Tes</w:t>
      </w:r>
    </w:p>
    <w:p>
      <w:pPr>
        <w:spacing w:line="480" w:lineRule="auto"/>
        <w:jc w:val="both"/>
        <w:rPr>
          <w:rFonts w:ascii="Times New Roman" w:hAnsi="Times New Roman" w:cs="Times New Roman"/>
          <w:i/>
          <w:iCs/>
          <w:sz w:val="24"/>
          <w:szCs w:val="24"/>
        </w:rPr>
      </w:pPr>
    </w:p>
    <w:p>
      <w:pPr>
        <w:spacing w:line="480" w:lineRule="auto"/>
        <w:jc w:val="both"/>
        <w:rPr>
          <w:rFonts w:ascii="Times New Roman" w:hAnsi="Times New Roman" w:cs="Times New Roman"/>
          <w:i/>
          <w:iCs/>
          <w:sz w:val="24"/>
          <w:szCs w:val="24"/>
        </w:rPr>
      </w:pPr>
    </w:p>
    <w:p>
      <w:pPr>
        <w:spacing w:line="480" w:lineRule="auto"/>
        <w:jc w:val="center"/>
        <w:rPr>
          <w:rFonts w:ascii="Times New Roman" w:hAnsi="Times New Roman" w:cs="Times New Roman"/>
          <w:b/>
          <w:bCs/>
          <w:sz w:val="24"/>
          <w:szCs w:val="24"/>
        </w:rPr>
      </w:pPr>
      <w:r>
        <w:rPr>
          <w:rFonts w:ascii="Times New Roman" w:hAnsi="Times New Roman" w:cs="Times New Roman"/>
          <w:i/>
          <w:iCs/>
          <w:sz w:val="24"/>
          <w:szCs w:val="24"/>
        </w:rPr>
        <w:t xml:space="preserve">Figure </w:t>
      </w:r>
      <w:r>
        <w:rPr>
          <w:rFonts w:hint="eastAsia" w:ascii="Times New Roman" w:hAnsi="Times New Roman" w:eastAsia="宋体" w:cs="Times New Roman"/>
          <w:i/>
          <w:iCs/>
          <w:sz w:val="24"/>
          <w:szCs w:val="24"/>
          <w:lang w:val="en-US" w:eastAsia="zh-CN"/>
        </w:rPr>
        <w:t>2</w:t>
      </w:r>
      <w:r>
        <w:rPr>
          <w:rFonts w:ascii="Times New Roman" w:hAnsi="Times New Roman" w:cs="Times New Roman"/>
          <w:i/>
          <w:iCs/>
          <w:sz w:val="24"/>
          <w:szCs w:val="24"/>
        </w:rPr>
        <w:t>: Tesco’s digital transformation Force Field analysis model</w:t>
      </w:r>
    </w:p>
    <w:p>
      <w:pPr>
        <w:spacing w:line="480" w:lineRule="auto"/>
        <w:jc w:val="both"/>
        <w:rPr>
          <w:rFonts w:ascii="Times New Roman" w:hAnsi="Times New Roman" w:cs="Times New Roman"/>
          <w:b/>
          <w:bCs/>
          <w:sz w:val="24"/>
          <w:szCs w:val="24"/>
        </w:rPr>
      </w:pPr>
    </w:p>
    <w:p>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4.2 Analysis</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Both planned change and emergent change models can be applied to incremental and large-scale change initiatives, albeit with distinct methodologies. Over the course of its history, Tesco has experienced both gradual modifications, such as enhancements in its operational processes, and profound alterations, such as the implementation of digital advancements and the adjustment to external influences (Nilsen &amp; Bernhardsson, 2019). The planned change model is a feasible approach for implementing incremental alterations. The model utilises a systematic methodology to guarantee that any modifications, no matter how small, are meticulously strategized, executed, and assessed (Li et al., 2019). </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According to the research by Alumni (2021), the digital transformation of Tesco involved various emerging developments, such as the amplification of its virtual footprint, the assimilation of innovative technologies, and the enhancement of customer satisfaction through customised suggestions and expedient delivery options. The aforementioned alterations were a consequence of Tesco's response to market dynamics, consumer preferences, and technological advancements. Tesco has made a significant impact in the field of online retail by carefully choosing its posture (ltd, 2022). The business has shown a noteworthy degree of agility and adaptation while also successfully using new prospects. Tesco's reaction to outside circumstances like the COVID-19 outbreak and Brexit serves as an example of how the emergent change concept is applied. Tesco swiftly modified its operational strategies in response to the epidemic, placing a priority on the health and safety of its patrons and employees. The organisation made last-minute adjustments like adding social distance measures, tightening cleanliness protocols, and quickly enhancing its digital distribution capabilities. In addition, Tesco made quick adjustments in reaction to the Brexit situation to reduce the risk of disruptions to its worldwide operations and supply chain (Kraus et al., 2022).</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The corporation demonstrated a proactive stance by closely monitoring the ever-changing regulatory landscape and emerging trade barriers, and adjusting its strategies accordingly. In response to the uncertainties stemming from Brexit, the company undertook various measures such as collaborating with suppliers, exploring alternative sourcing strategies, and optimising its distribution channels (Rêgo et al., 2021). Tesco demonstrated a high level of proficiency in managing the impact of Brexit by adapting to the evolving conditions in a flexible manner, thereby guaranteeing uninterrupted provision of products and services to its clientele.</w:t>
      </w:r>
    </w:p>
    <w:p>
      <w:pPr>
        <w:pStyle w:val="2"/>
        <w:spacing w:line="480" w:lineRule="auto"/>
        <w:jc w:val="left"/>
        <w:rPr>
          <w:rFonts w:ascii="Times New Roman" w:hAnsi="Times New Roman" w:cs="Times New Roman"/>
          <w:b/>
          <w:color w:val="000000" w:themeColor="text1"/>
          <w:sz w:val="28"/>
          <w:szCs w:val="28"/>
          <w14:textFill>
            <w14:solidFill>
              <w14:schemeClr w14:val="tx1"/>
            </w14:solidFill>
          </w14:textFill>
        </w:rPr>
      </w:pPr>
      <w:bookmarkStart w:id="8" w:name="_Toc140864853"/>
      <w:r>
        <w:rPr>
          <w:rFonts w:ascii="Times New Roman" w:hAnsi="Times New Roman" w:cs="Times New Roman"/>
          <w:b/>
          <w:color w:val="000000" w:themeColor="text1"/>
          <w:sz w:val="28"/>
          <w:szCs w:val="28"/>
          <w14:textFill>
            <w14:solidFill>
              <w14:schemeClr w14:val="tx1"/>
            </w14:solidFill>
          </w14:textFill>
        </w:rPr>
        <w:t>5.0 Driver factors for change</w:t>
      </w:r>
      <w:bookmarkEnd w:id="8"/>
    </w:p>
    <w:p>
      <w:pPr>
        <w:spacing w:line="480" w:lineRule="auto"/>
        <w:jc w:val="both"/>
        <w:rPr>
          <w:rFonts w:ascii="Times New Roman" w:hAnsi="Times New Roman" w:cs="Times New Roman"/>
          <w:sz w:val="24"/>
          <w:szCs w:val="24"/>
        </w:rPr>
      </w:pPr>
      <w:r>
        <w:rPr>
          <w:rFonts w:ascii="Times New Roman" w:hAnsi="Times New Roman" w:cs="Times New Roman"/>
          <w:sz w:val="24"/>
          <w:szCs w:val="24"/>
        </w:rPr>
        <w:t>The retail industry has undergone significant transformations due to a range of influential factors. The influential entity, Tesco, has also experienced the effects of the aforementioned factors within this particular sector. The aforementioned factors encompass culture, leadership, power dynamics, digitalization, and competition (Kiesnere &amp; Baumgartner, 2019). Gaining comprehension of the determinants that impact alteration within Tesco offers significant perspectives into the corporation's capacity to adjust and maintain its competitive stance in a swiftly developing sector.</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The influence of culture is a crucial element in instigating organisational change. The corporate culture of Tesco places emphasis on customer-centricity, innovation, and continuous improvement. The observation has been made that the cultural environment plays a significant role in cultivating a mind-set that is marked by adaptability and malleability (Gutiérrez-Iñiguez et al., 2023). Tesco fosters a corporate culture that emphasises innovation and experimentation, thereby establishing a conducive atmosphere that empowers its staff to spearhead constructive transformations within the company (Kiesnere &amp; Baumgartner, 2019).</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importance of proficient leadership in initiating substantial alterations within Tesco is of utmost significance. The leadership of the company has established a precedent for the organisation by demonstrating a proactive approach towards change. The significance of executing strategic modifications, including digital transformation, has been acknowledged by the leadership of Tesco, who have demonstrated proactive backing for these endeavours (McKimm et al., 2022). The leadership has effectively conveyed the intended transformative objectives, allocated the requisite resources and assistance, and incentivized the workforce to adopt and facilitate the transition (Davila Delgado et al., 2020). </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The digital transformation of the retail sector has significantly changed the sector. Tesco has gone above and above to implement this change. Tesco has adopted digital technologies as a result of the expansion of e-commerce, technical developments, and shifting consumer preferences. The company has devoted resources to digital platforms, mobile applications, and data analysis in order to improve customer satisfaction and optimise operational processes. The implementation of digitalization has facilitated Tesco in customising its product and service offerings, streamlining its supply chain operations, and acquiring significant knowledge regarding consumer behaviour (Davila Delgado et al., 2020). Tesco has successfully executed a restructuring of its business model and responded to evolving customer demands and expectations by incorporating digital technology.</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The presence of competitive pressures is a crucial factor in initiating transformative processes within Tesco. The retail sector is characterised by a significant degree of rivalry, as both brick-and-mortar and e-commerce vendors compete for a portion of the market. In order to sustain its position as a prominent market contender, Tesco must consistently incorporate innovative and progressive methodologies (Antonizzi &amp; Smuts, 2020). Tesco is compelled to investigate strategies for distinguishing itself, enhancing its offerings and services, and augmenting patronage due to the existence of formidable rivals. In response to market dynamics and competitors' actions, Tesco has implemented innovative strategies, allocated resources towards technological advancements, and pursued opportunities for growth and expansion (Vuksanović Herceg et al., 2020).</w:t>
      </w:r>
    </w:p>
    <w:p>
      <w:pPr>
        <w:pStyle w:val="2"/>
        <w:spacing w:line="480" w:lineRule="auto"/>
        <w:jc w:val="left"/>
        <w:rPr>
          <w:rFonts w:ascii="Times New Roman" w:hAnsi="Times New Roman" w:cs="Times New Roman"/>
          <w:b/>
          <w:color w:val="000000" w:themeColor="text1"/>
          <w:sz w:val="28"/>
          <w:szCs w:val="28"/>
          <w14:textFill>
            <w14:solidFill>
              <w14:schemeClr w14:val="tx1"/>
            </w14:solidFill>
          </w14:textFill>
        </w:rPr>
      </w:pPr>
      <w:bookmarkStart w:id="9" w:name="_Toc140864854"/>
      <w:r>
        <w:rPr>
          <w:rFonts w:ascii="Times New Roman" w:hAnsi="Times New Roman" w:cs="Times New Roman"/>
          <w:b/>
          <w:color w:val="000000" w:themeColor="text1"/>
          <w:sz w:val="28"/>
          <w:szCs w:val="28"/>
          <w14:textFill>
            <w14:solidFill>
              <w14:schemeClr w14:val="tx1"/>
            </w14:solidFill>
          </w14:textFill>
        </w:rPr>
        <w:t>6.0 Resistance factors to change</w:t>
      </w:r>
      <w:bookmarkEnd w:id="9"/>
    </w:p>
    <w:p>
      <w:pPr>
        <w:spacing w:line="480" w:lineRule="auto"/>
        <w:jc w:val="both"/>
        <w:rPr>
          <w:rFonts w:ascii="Times New Roman" w:hAnsi="Times New Roman" w:cs="Times New Roman"/>
          <w:sz w:val="24"/>
          <w:szCs w:val="24"/>
        </w:rPr>
      </w:pPr>
      <w:r>
        <w:rPr>
          <w:rFonts w:ascii="Times New Roman" w:hAnsi="Times New Roman" w:cs="Times New Roman"/>
          <w:sz w:val="24"/>
          <w:szCs w:val="24"/>
        </w:rPr>
        <w:t>The effective identification and management of resistance factors to change are crucial for the success of change initiatives, especially for Tesco Company representatives. The phenomenon of resistance to change is frequently observed and can arise from various sources within the organisational framework. Several strategies could be employed to alleviate resistance and facilitate smooth transitions.</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My main goal is to improve the promotion of clear and efficient communication. The importance of proficient communication in handling opposition lies in its capacity to enhance understanding, promote assurance, and regulate expectations. The need for the intended change, any potential advantages, and the anticipated effects on both people and the organisation as a whole must be sufficiently justified (Harrison et al., 2021). Regular workforce updates and interaction opportunities are expected to promote a positive work environment where employees feel free to express their concerns, ask questions, and offer feedback. The implementation of this strategy possesses the capability to alleviate vagueness and reduce resistance that could emerge from misconstrues or inadequate understanding (Kneeshaw et al., 2021).</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One viable strategy that could be employed is to involve the employees during the implementation of organisational change. Resistance often arises when individuals perceive that changes are being imposed on them without their active involvement. The cultivation of a sense of ownership and commitment among the workforce can be achieved through the implementation of participatory decision-making processes, active solicitation of employee feedback, and effective resolution of their concerns (Akbar et al., 2019). A viable strategy to attain this goal could involve utilising diverse methodologies such as conducting focus groups, administering employee surveys, or organising town hall meetings (Kneeshaw et al., 2021). The integration of these communication channels would facilitate the expression of personnel's perspectives, provision of suggestions, and engagement in the process of organisational transformation. The incorporation of stakeholder perspectives can potentially mitigate resistance and facilitate the implementation of proposed modifications.</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Overcoming opposition requires the essential task of addressing any trepidation towards unfamiliar situations. The phenomenon of change can evoke emotions of anxiety and discomfort with respect to an individual's employment security, modifications in duties, or unfamiliar protocols. To mitigate these issues, it is suggested that employees receive adequate training and support to develop the necessary skills and knowledge to adapt to new work methodologies (Freiberg &amp; Felden, 2019). One possible strategy to equip employees with the requisite skills and resources to thrive in the dynamic work environment is to introduce training programmes, workshops, and coaching sessions. Additionally, it is advisable to encourage cross-disciplinary collaboration and foster a milieu that places emphasis on learning and progress, underscoring the opportunities for personal and professional growth that come with transformation (Dusfour et al., 2019).</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To address potential resistance stemming from power differentials or political factors within an organisation, it would be advisable to establish coalitions and secure support from influential stakeholders. By conducting a stakeholder analysis to identify influential individuals who may hold reservations or concerns about the proposed change, I would initiate personalised dialogues with them in order to gain a deeper understanding of their perspectives and address their specific apprehensions. By actively involving individuals in the process of change and recognising their specialised knowledge and valuable contributions, I would be able to successfully persuade potential dissenters to become advocates for change (Dusfour et al., 2019). The aforementioned approach has the potential to alleviate resistance by recognising and resolving power struggles and political dynamics that could hinder the execution of transformative endeavours.</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The prompt showcasing of tangible results and acknowledgement of initial achievements can serve as a viable strategy for managing opposition in the course of implementing change. By highlighting the positive results of the alterations and emphasising instances of success, I aim to foster enthusiasm and establish a sense of progress. The implementation of this measure has the potential to alleviate any uncertainties and scepticism among employees, thereby showcasing that the proposed modification is not only necessary but also beneficial for their individual and collective achievements (Chi et al., 2020).</w:t>
      </w:r>
    </w:p>
    <w:p>
      <w:pPr>
        <w:spacing w:line="480" w:lineRule="auto"/>
        <w:jc w:val="left"/>
        <w:rPr>
          <w:rFonts w:ascii="Times New Roman" w:hAnsi="Times New Roman" w:cs="Times New Roman"/>
          <w:sz w:val="24"/>
          <w:szCs w:val="24"/>
        </w:rPr>
      </w:pPr>
      <w:r>
        <w:rPr>
          <w:rFonts w:ascii="Times New Roman" w:hAnsi="Times New Roman" w:cs="Times New Roman"/>
          <w:sz w:val="24"/>
          <w:szCs w:val="24"/>
        </w:rPr>
        <w:t>Ultimately, a systematic and ongoing assessment and re-evaluation of the change endeavours would be undertaken, with a willingness to receive feedback and adapt the strategy as necessary. The phenomenon of transformation is distinguished by its dynamic nature, and it may necessitate alterations to be implemented throughout its progression. In order to guarantee the efficacy of change initiatives, it is crucial to proactively seek input from staff, meticulously track advancement, and expeditiously tackle any arising obstacles or opposition (Chambers et al., 2012).</w:t>
      </w:r>
    </w:p>
    <w:p>
      <w:pPr>
        <w:pStyle w:val="2"/>
        <w:spacing w:line="480" w:lineRule="auto"/>
        <w:jc w:val="left"/>
        <w:rPr>
          <w:rFonts w:ascii="Times New Roman" w:hAnsi="Times New Roman" w:cs="Times New Roman"/>
          <w:b/>
          <w:color w:val="000000" w:themeColor="text1"/>
          <w:sz w:val="28"/>
          <w:szCs w:val="28"/>
          <w14:textFill>
            <w14:solidFill>
              <w14:schemeClr w14:val="tx1"/>
            </w14:solidFill>
          </w14:textFill>
        </w:rPr>
      </w:pPr>
      <w:bookmarkStart w:id="10" w:name="_Toc140864855"/>
      <w:r>
        <w:rPr>
          <w:rFonts w:ascii="Times New Roman" w:hAnsi="Times New Roman" w:cs="Times New Roman"/>
          <w:b/>
          <w:color w:val="000000" w:themeColor="text1"/>
          <w:sz w:val="28"/>
          <w:szCs w:val="28"/>
          <w14:textFill>
            <w14:solidFill>
              <w14:schemeClr w14:val="tx1"/>
            </w14:solidFill>
          </w14:textFill>
        </w:rPr>
        <w:t>7.0 Change in program and its effectiveness</w:t>
      </w:r>
      <w:bookmarkEnd w:id="10"/>
    </w:p>
    <w:p>
      <w:pPr>
        <w:spacing w:line="480" w:lineRule="auto"/>
        <w:jc w:val="both"/>
        <w:rPr>
          <w:rFonts w:ascii="Times New Roman" w:hAnsi="Times New Roman" w:cs="Times New Roman"/>
          <w:sz w:val="24"/>
          <w:szCs w:val="24"/>
        </w:rPr>
      </w:pPr>
      <w:r>
        <w:rPr>
          <w:rFonts w:ascii="Times New Roman" w:hAnsi="Times New Roman" w:cs="Times New Roman"/>
          <w:sz w:val="24"/>
          <w:szCs w:val="24"/>
        </w:rPr>
        <w:t>A range of strategies and metrics would be employed to assess the outcomes and ramifications of the modifications executed at Tesco Corporation for the purpose of determining the conclusion of a change initiative and appraising its effectiveness. The following actions are deemed essential and would be executed by myself:</w:t>
      </w:r>
    </w:p>
    <w:p>
      <w:pPr>
        <w:pStyle w:val="14"/>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I would establish SMART (specific, measurable, achievable, relevant, and time-bound) objectives before initiating the change programme. The aforementioned objectives provide a clear benchmark for evaluating the efficacy of the transformation initiative. The objectives ought to align with the anticipated results of the change initiative, including enhanced operational efficiency, heightened customer satisfaction, or increased employee involvement (Mahalinga Shiva &amp; Suar, 2011).</w:t>
      </w:r>
    </w:p>
    <w:p>
      <w:pPr>
        <w:pStyle w:val="14"/>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During the course of the transformation programme, I would establish and monitor relevant key performance indicators (KPIs) that align with the stated objectives. The aforementioned metrics could pertain to various aspects such as the proportion of the market held by a company, the efficiency of its workforce, the level of contentment among its customers, or its monetary achievements. Regularly monitoring key performance indicators (KPIs) would facilitate gaining valuable insights into the progress and effects of the change initiative. Possible revision: Departures from the anticipated course of events may warrant further scrutiny and, if necessary, remedial measures (Mahalinga Shiva &amp; Suar, 2011).</w:t>
      </w:r>
    </w:p>
    <w:p>
      <w:pPr>
        <w:pStyle w:val="14"/>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I would collect and analyse data are crucial components in the assessment of the effectiveness of the change initiative. A diverse range of methodologies, such as surveys, interviews, focus groups, and quantitative data analysis, would be employed to gather information from relevant stakeholders, including staff members and clients. This data would be highly beneficial in comprehending individuals' perceptions, encounters, and responses to the implemented modifications. By conducting a thorough analysis of the data, I would be able to identify trends, patterns, and potential areas for improvement (Mahalinga Shiva &amp; Suar, 2011).</w:t>
      </w:r>
    </w:p>
    <w:p>
      <w:pPr>
        <w:pStyle w:val="14"/>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I would evaluate stakeholder feedback since it is a critical aspect in determining the effectiveness of the transformation initiative. Inputs and feedback from employees, consumers, and other stakeholders play a pivotal role in this assessment. One potential strategy to elicit feedback from stakeholders could involve implementing various channels for input, such as suggestion boxes, online discussion boards, or scheduled feedback sessions. To acquire a comprehensive understanding of the viewpoints and perceptions of the stakeholders, I would actively pursue and attentively consider their feedback. The demonstration of progress and effectiveness can be inferred from positive feedback, increased engagement, and congruence with the intended outcomes.</w:t>
      </w:r>
    </w:p>
    <w:p>
      <w:pPr>
        <w:pStyle w:val="14"/>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I would determine whether predefined goals and objectives have been fulfilled to determine whether the change programme has been effective. I would evaluate whether the predefined goals and objectives have been met. This assessment can be done by comparing the actual results with the projected results. If the transformation plan successfully achieved or even exceeded the predetermined targets, it can be termed complete. It might be necessary to take additional measures to close any gaps or achieve any unfulfilled goals.</w:t>
      </w:r>
    </w:p>
    <w:p>
      <w:pPr>
        <w:pStyle w:val="14"/>
        <w:numPr>
          <w:ilvl w:val="0"/>
          <w:numId w:val="1"/>
        </w:numPr>
        <w:spacing w:line="480" w:lineRule="auto"/>
        <w:jc w:val="both"/>
        <w:rPr>
          <w:rFonts w:ascii="Times New Roman" w:hAnsi="Times New Roman" w:cs="Times New Roman"/>
          <w:sz w:val="28"/>
          <w:szCs w:val="28"/>
        </w:rPr>
      </w:pPr>
      <w:r>
        <w:rPr>
          <w:rFonts w:ascii="Times New Roman" w:hAnsi="Times New Roman" w:cs="Times New Roman"/>
          <w:sz w:val="24"/>
          <w:szCs w:val="24"/>
        </w:rPr>
        <w:t>I would consider the sustainability of improvements: Evaluating the sustainability of changes is crucial to determining the program's long-term effectiveness. I would investigate whether the adjustments have been implemented into the organization's processes, practises, and culture. Employees regularly using the new processes? Are the changes resilient to impending challenges or reversions to previous behavioural patterns? To ensure that the changes stick and continue to be successful, they would need to be continuously assessed and reinforced (Mahalinga Shiva &amp; Suar, 2011).</w:t>
      </w:r>
    </w:p>
    <w:p>
      <w:pPr>
        <w:pStyle w:val="2"/>
        <w:spacing w:line="480" w:lineRule="auto"/>
        <w:jc w:val="left"/>
        <w:rPr>
          <w:rFonts w:ascii="Times New Roman" w:hAnsi="Times New Roman" w:cs="Times New Roman"/>
          <w:b/>
          <w:color w:val="000000" w:themeColor="text1"/>
          <w:sz w:val="28"/>
          <w:szCs w:val="28"/>
          <w14:textFill>
            <w14:solidFill>
              <w14:schemeClr w14:val="tx1"/>
            </w14:solidFill>
          </w14:textFill>
        </w:rPr>
      </w:pPr>
      <w:bookmarkStart w:id="11" w:name="_Toc140864856"/>
      <w:r>
        <w:rPr>
          <w:rFonts w:ascii="Times New Roman" w:hAnsi="Times New Roman" w:cs="Times New Roman"/>
          <w:b/>
          <w:color w:val="000000" w:themeColor="text1"/>
          <w:sz w:val="28"/>
          <w:szCs w:val="28"/>
          <w14:textFill>
            <w14:solidFill>
              <w14:schemeClr w14:val="tx1"/>
            </w14:solidFill>
          </w14:textFill>
        </w:rPr>
        <w:t>8.0 Conclusion</w:t>
      </w:r>
      <w:bookmarkEnd w:id="11"/>
    </w:p>
    <w:p>
      <w:pPr>
        <w:spacing w:line="480" w:lineRule="auto"/>
        <w:jc w:val="both"/>
        <w:rPr>
          <w:rFonts w:ascii="Times New Roman" w:hAnsi="Times New Roman" w:cs="Times New Roman"/>
          <w:sz w:val="24"/>
          <w:szCs w:val="24"/>
        </w:rPr>
      </w:pPr>
      <w:r>
        <w:rPr>
          <w:rFonts w:ascii="Times New Roman" w:hAnsi="Times New Roman" w:cs="Times New Roman"/>
          <w:sz w:val="24"/>
          <w:szCs w:val="24"/>
        </w:rPr>
        <w:t>To effectively manage change, Tesco Company must have a comprehensive strategy that considers a wide range of change management elements. Tesco can examine significant change management approaches, such as planned and emergent change, to determine how to modify its strategy based on the scope and type of the change programme. Additionally, being well-aware of the factors that drive change, including as culture, leadership, power dynamics, digitisation, and competitiveness, can aid in your ability to comprehend the specific organisational components that influence change. Tesco has demonstrated its ability to successfully navigate these obstacles, depending on its creative culture, proactive leadership style, and use of digitalization to maintain its competitiveness in the retail industry. A change-friendly environment can also be created by resolving resistance issues through open communication, employee involvement, and addressing doubts and concerns. By assessing the completion and success of the change programme through creating targets, monitoring KPIs, data analysis, and gathering stakeholder feedback, Tesco may finally examine the impact of the changes and make any necessary adjustments. By putting these strategies into practise and continuing to adapt, grow, and thrive in a dynamic business climate, Tesco may establish itself as a pioneer in the retail industry.</w:t>
      </w:r>
      <w:r>
        <w:rPr>
          <w:rFonts w:ascii="Times New Roman" w:hAnsi="Times New Roman" w:cs="Times New Roman"/>
          <w:sz w:val="24"/>
          <w:szCs w:val="24"/>
        </w:rPr>
        <w:br w:type="page"/>
      </w:r>
    </w:p>
    <w:p>
      <w:pPr>
        <w:pStyle w:val="2"/>
        <w:spacing w:line="480" w:lineRule="auto"/>
        <w:jc w:val="left"/>
        <w:rPr>
          <w:rFonts w:ascii="Times New Roman" w:hAnsi="Times New Roman" w:cs="Times New Roman"/>
          <w:b/>
          <w:color w:val="000000" w:themeColor="text1"/>
          <w:sz w:val="28"/>
          <w:szCs w:val="28"/>
          <w14:textFill>
            <w14:solidFill>
              <w14:schemeClr w14:val="tx1"/>
            </w14:solidFill>
          </w14:textFill>
        </w:rPr>
      </w:pPr>
      <w:bookmarkStart w:id="12" w:name="_Toc140864857"/>
      <w:r>
        <w:rPr>
          <w:rFonts w:ascii="Times New Roman" w:hAnsi="Times New Roman" w:cs="Times New Roman"/>
          <w:b/>
          <w:color w:val="000000" w:themeColor="text1"/>
          <w:sz w:val="28"/>
          <w:szCs w:val="28"/>
          <w14:textFill>
            <w14:solidFill>
              <w14:schemeClr w14:val="tx1"/>
            </w14:solidFill>
          </w14:textFill>
        </w:rPr>
        <w:t>References</w:t>
      </w:r>
      <w:bookmarkEnd w:id="12"/>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Abbas, T. (2023, March 5). </w:t>
      </w:r>
      <w:r>
        <w:rPr>
          <w:rFonts w:ascii="Times New Roman" w:hAnsi="Times New Roman" w:eastAsia="Times New Roman" w:cs="Times New Roman"/>
          <w:i/>
          <w:iCs/>
          <w:sz w:val="24"/>
          <w:szCs w:val="24"/>
          <w:lang w:eastAsia="en-GB"/>
        </w:rPr>
        <w:t>Tesco Change Management Case Study</w:t>
      </w:r>
      <w:r>
        <w:rPr>
          <w:rFonts w:ascii="Times New Roman" w:hAnsi="Times New Roman" w:eastAsia="Times New Roman" w:cs="Times New Roman"/>
          <w:sz w:val="24"/>
          <w:szCs w:val="24"/>
          <w:lang w:eastAsia="en-GB"/>
        </w:rPr>
        <w:t xml:space="preserve">. CMI. </w:t>
      </w:r>
      <w:r>
        <w:fldChar w:fldCharType="begin"/>
      </w:r>
      <w:r>
        <w:instrText xml:space="preserve"> HYPERLINK "https://changemanagementinsight.com/tesco-change-management-case-study/" </w:instrText>
      </w:r>
      <w:r>
        <w:fldChar w:fldCharType="separate"/>
      </w:r>
      <w:r>
        <w:rPr>
          <w:rStyle w:val="11"/>
          <w:rFonts w:ascii="Times New Roman" w:hAnsi="Times New Roman" w:eastAsia="Times New Roman" w:cs="Times New Roman"/>
          <w:sz w:val="24"/>
          <w:szCs w:val="24"/>
          <w:lang w:eastAsia="en-GB"/>
        </w:rPr>
        <w:t>https://changemanagementinsight.com/tesco-change-management-case-study/</w:t>
      </w:r>
      <w:r>
        <w:rPr>
          <w:rStyle w:val="11"/>
          <w:rFonts w:ascii="Times New Roman" w:hAnsi="Times New Roman" w:eastAsia="Times New Roman" w:cs="Times New Roman"/>
          <w:sz w:val="24"/>
          <w:szCs w:val="24"/>
          <w:lang w:eastAsia="en-GB"/>
        </w:rPr>
        <w:fldChar w:fldCharType="end"/>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Akbar, M. A., Sang, J., Nasrullah, Khan, A. A., Mahmood, S., Qadri, S. F., Hu, H., &amp; Xiang, H. (2019). Success factors influencing requirements change management process in global software development. </w:t>
      </w:r>
      <w:r>
        <w:rPr>
          <w:rFonts w:ascii="Times New Roman" w:hAnsi="Times New Roman" w:eastAsia="Times New Roman" w:cs="Times New Roman"/>
          <w:i/>
          <w:iCs/>
          <w:sz w:val="24"/>
          <w:szCs w:val="24"/>
          <w:lang w:eastAsia="en-GB"/>
        </w:rPr>
        <w:t>Journal of Computer Languages</w:t>
      </w:r>
      <w:r>
        <w:rPr>
          <w:rFonts w:ascii="Times New Roman" w:hAnsi="Times New Roman" w:eastAsia="Times New Roman" w:cs="Times New Roman"/>
          <w:sz w:val="24"/>
          <w:szCs w:val="24"/>
          <w:lang w:eastAsia="en-GB"/>
        </w:rPr>
        <w:t xml:space="preserve">, </w:t>
      </w:r>
      <w:r>
        <w:rPr>
          <w:rFonts w:ascii="Times New Roman" w:hAnsi="Times New Roman" w:eastAsia="Times New Roman" w:cs="Times New Roman"/>
          <w:i/>
          <w:iCs/>
          <w:sz w:val="24"/>
          <w:szCs w:val="24"/>
          <w:lang w:eastAsia="en-GB"/>
        </w:rPr>
        <w:t>51</w:t>
      </w:r>
      <w:r>
        <w:rPr>
          <w:rFonts w:ascii="Times New Roman" w:hAnsi="Times New Roman" w:eastAsia="Times New Roman" w:cs="Times New Roman"/>
          <w:sz w:val="24"/>
          <w:szCs w:val="24"/>
          <w:lang w:eastAsia="en-GB"/>
        </w:rPr>
        <w:t>, 112–130. https://doi.org/10.1016/j.cola.2018.12.005</w:t>
      </w:r>
    </w:p>
    <w:p>
      <w:pPr>
        <w:pStyle w:val="7"/>
        <w:spacing w:before="0" w:beforeAutospacing="0" w:after="0" w:afterAutospacing="0" w:line="480" w:lineRule="auto"/>
        <w:ind w:left="720" w:hanging="720"/>
      </w:pPr>
      <w:r>
        <w:t xml:space="preserve">Almoaber, B., &amp; Amyot, D. (2021). Key factors of clinicians’ acceptance of CPOE system and their link to change management. </w:t>
      </w:r>
      <w:r>
        <w:rPr>
          <w:i/>
          <w:iCs/>
        </w:rPr>
        <w:t>Informatics for Health and Social Care</w:t>
      </w:r>
      <w:r>
        <w:t>, 1–20. https://doi.org/10.1080/17538157.2021.1993858</w:t>
      </w:r>
    </w:p>
    <w:p>
      <w:pPr>
        <w:pStyle w:val="7"/>
        <w:spacing w:before="0" w:beforeAutospacing="0" w:after="0" w:afterAutospacing="0" w:line="480" w:lineRule="auto"/>
        <w:ind w:left="720" w:hanging="720"/>
      </w:pPr>
      <w:r>
        <w:t xml:space="preserve">Alumni, C. (2021, November 16). </w:t>
      </w:r>
      <w:r>
        <w:rPr>
          <w:i/>
          <w:iCs/>
        </w:rPr>
        <w:t>Tesco: A digital transformation</w:t>
      </w:r>
      <w:r>
        <w:t xml:space="preserve">. Technology and Operations Management. </w:t>
      </w:r>
      <w:r>
        <w:fldChar w:fldCharType="begin"/>
      </w:r>
      <w:r>
        <w:instrText xml:space="preserve"> HYPERLINK "https://d3.harvard.edu/platform-rctom/submission/tesco-a-digital-transformation/" </w:instrText>
      </w:r>
      <w:r>
        <w:fldChar w:fldCharType="separate"/>
      </w:r>
      <w:r>
        <w:rPr>
          <w:rStyle w:val="11"/>
        </w:rPr>
        <w:t>https://d3.harvard.edu/platform-rctom/submission/tesco-a-digital-transformation/</w:t>
      </w:r>
      <w:r>
        <w:rPr>
          <w:rStyle w:val="11"/>
        </w:rPr>
        <w:fldChar w:fldCharType="end"/>
      </w:r>
    </w:p>
    <w:p>
      <w:pPr>
        <w:pStyle w:val="7"/>
        <w:spacing w:before="0" w:beforeAutospacing="0" w:after="0" w:afterAutospacing="0" w:line="480" w:lineRule="auto"/>
        <w:ind w:left="720" w:hanging="720"/>
      </w:pPr>
      <w:r>
        <w:t>Antonizzi, J., &amp; Smuts, H. (2020). The Characteristics of Digital Entrepreneurship and Digital Transformation: A Systematic Literature Review. Lecture Notes in Computer Science, 12066, 239–251. https://doi.org/10.1007/978-3-030-44999-5_20</w:t>
      </w:r>
    </w:p>
    <w:p>
      <w:pPr>
        <w:pStyle w:val="7"/>
        <w:spacing w:before="0" w:beforeAutospacing="0" w:after="0" w:afterAutospacing="0" w:line="480" w:lineRule="auto"/>
        <w:ind w:left="720" w:hanging="720"/>
      </w:pPr>
      <w:r>
        <w:t xml:space="preserve">Ausloos, M. (2020). Valuation Models Applied to Value-Based Management—Application to the Case of UK Companies with Problems. </w:t>
      </w:r>
      <w:r>
        <w:rPr>
          <w:i/>
          <w:iCs/>
        </w:rPr>
        <w:t>Forecasting</w:t>
      </w:r>
      <w:r>
        <w:t xml:space="preserve">, </w:t>
      </w:r>
      <w:r>
        <w:rPr>
          <w:i/>
          <w:iCs/>
        </w:rPr>
        <w:t>2</w:t>
      </w:r>
      <w:r>
        <w:t>(4), 549–565. https://doi.org/10.3390/forecast2040029</w:t>
      </w:r>
    </w:p>
    <w:p>
      <w:pPr>
        <w:pStyle w:val="7"/>
        <w:spacing w:before="0" w:beforeAutospacing="0" w:after="0" w:afterAutospacing="0" w:line="480" w:lineRule="auto"/>
        <w:ind w:left="720" w:hanging="720"/>
      </w:pPr>
      <w:r>
        <w:t xml:space="preserve">Babar, Md., &amp; Habib, A. (2020). Product market competition in accounting, finance, and corporate governance: A review of the literature. </w:t>
      </w:r>
      <w:r>
        <w:rPr>
          <w:i/>
          <w:iCs/>
        </w:rPr>
        <w:t>International Review of Financial Analysis</w:t>
      </w:r>
      <w:r>
        <w:t xml:space="preserve">, 101607. </w:t>
      </w:r>
      <w:r>
        <w:fldChar w:fldCharType="begin"/>
      </w:r>
      <w:r>
        <w:instrText xml:space="preserve"> HYPERLINK "https://doi.org/10.1016/j.irfa.2020.101607" </w:instrText>
      </w:r>
      <w:r>
        <w:fldChar w:fldCharType="separate"/>
      </w:r>
      <w:r>
        <w:rPr>
          <w:rStyle w:val="11"/>
        </w:rPr>
        <w:t>https://doi.org/10.1016/j.irfa.2020.101607</w:t>
      </w:r>
      <w:r>
        <w:rPr>
          <w:rStyle w:val="11"/>
        </w:rPr>
        <w:fldChar w:fldCharType="end"/>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Bellantuono, N., Nuzzi, A., Pontrandolfo, P., &amp; Scozzi, B. (2021). Digital Transformation Models for the I4.0 Transition: Lessons from the Change Management Literature. </w:t>
      </w:r>
      <w:r>
        <w:rPr>
          <w:rFonts w:ascii="Times New Roman" w:hAnsi="Times New Roman" w:eastAsia="Times New Roman" w:cs="Times New Roman"/>
          <w:i/>
          <w:iCs/>
          <w:sz w:val="24"/>
          <w:szCs w:val="24"/>
          <w:lang w:eastAsia="en-GB"/>
        </w:rPr>
        <w:t>Sustainability</w:t>
      </w:r>
      <w:r>
        <w:rPr>
          <w:rFonts w:ascii="Times New Roman" w:hAnsi="Times New Roman" w:eastAsia="Times New Roman" w:cs="Times New Roman"/>
          <w:sz w:val="24"/>
          <w:szCs w:val="24"/>
          <w:lang w:eastAsia="en-GB"/>
        </w:rPr>
        <w:t xml:space="preserve">, </w:t>
      </w:r>
      <w:r>
        <w:rPr>
          <w:rFonts w:ascii="Times New Roman" w:hAnsi="Times New Roman" w:eastAsia="Times New Roman" w:cs="Times New Roman"/>
          <w:i/>
          <w:iCs/>
          <w:sz w:val="24"/>
          <w:szCs w:val="24"/>
          <w:lang w:eastAsia="en-GB"/>
        </w:rPr>
        <w:t>13</w:t>
      </w:r>
      <w:r>
        <w:rPr>
          <w:rFonts w:ascii="Times New Roman" w:hAnsi="Times New Roman" w:eastAsia="Times New Roman" w:cs="Times New Roman"/>
          <w:sz w:val="24"/>
          <w:szCs w:val="24"/>
          <w:lang w:eastAsia="en-GB"/>
        </w:rPr>
        <w:t>(23), 12941. https://doi.org/10.3390/su132312941</w:t>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Birney, A. (2021). How do we know where there is potential to intervene and leverage impact in a changing system? The practitioners perspective. </w:t>
      </w:r>
      <w:r>
        <w:rPr>
          <w:rFonts w:ascii="Times New Roman" w:hAnsi="Times New Roman" w:eastAsia="Times New Roman" w:cs="Times New Roman"/>
          <w:i/>
          <w:iCs/>
          <w:sz w:val="24"/>
          <w:szCs w:val="24"/>
          <w:lang w:eastAsia="en-GB"/>
        </w:rPr>
        <w:t>Sustainability Science</w:t>
      </w:r>
      <w:r>
        <w:rPr>
          <w:rFonts w:ascii="Times New Roman" w:hAnsi="Times New Roman" w:eastAsia="Times New Roman" w:cs="Times New Roman"/>
          <w:sz w:val="24"/>
          <w:szCs w:val="24"/>
          <w:lang w:eastAsia="en-GB"/>
        </w:rPr>
        <w:t xml:space="preserve">, </w:t>
      </w:r>
      <w:r>
        <w:rPr>
          <w:rFonts w:ascii="Times New Roman" w:hAnsi="Times New Roman" w:eastAsia="Times New Roman" w:cs="Times New Roman"/>
          <w:i/>
          <w:iCs/>
          <w:sz w:val="24"/>
          <w:szCs w:val="24"/>
          <w:lang w:eastAsia="en-GB"/>
        </w:rPr>
        <w:t>16</w:t>
      </w:r>
      <w:r>
        <w:rPr>
          <w:rFonts w:ascii="Times New Roman" w:hAnsi="Times New Roman" w:eastAsia="Times New Roman" w:cs="Times New Roman"/>
          <w:sz w:val="24"/>
          <w:szCs w:val="24"/>
          <w:lang w:eastAsia="en-GB"/>
        </w:rPr>
        <w:t>(3), 749–765. https://doi.org/10.1007/s11625-021-00956-5</w:t>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Chambers, D., Wilson, P., Thompson, C., &amp; Harden, M. (2012). Social Network Analysis in Healthcare Settings: A Systematic Scoping Review. </w:t>
      </w:r>
      <w:r>
        <w:rPr>
          <w:rFonts w:ascii="Times New Roman" w:hAnsi="Times New Roman" w:eastAsia="Times New Roman" w:cs="Times New Roman"/>
          <w:i/>
          <w:iCs/>
          <w:sz w:val="24"/>
          <w:szCs w:val="24"/>
          <w:lang w:eastAsia="en-GB"/>
        </w:rPr>
        <w:t>PLoS ONE</w:t>
      </w:r>
      <w:r>
        <w:rPr>
          <w:rFonts w:ascii="Times New Roman" w:hAnsi="Times New Roman" w:eastAsia="Times New Roman" w:cs="Times New Roman"/>
          <w:sz w:val="24"/>
          <w:szCs w:val="24"/>
          <w:lang w:eastAsia="en-GB"/>
        </w:rPr>
        <w:t xml:space="preserve">, </w:t>
      </w:r>
      <w:r>
        <w:rPr>
          <w:rFonts w:ascii="Times New Roman" w:hAnsi="Times New Roman" w:eastAsia="Times New Roman" w:cs="Times New Roman"/>
          <w:i/>
          <w:iCs/>
          <w:sz w:val="24"/>
          <w:szCs w:val="24"/>
          <w:lang w:eastAsia="en-GB"/>
        </w:rPr>
        <w:t>7</w:t>
      </w:r>
      <w:r>
        <w:rPr>
          <w:rFonts w:ascii="Times New Roman" w:hAnsi="Times New Roman" w:eastAsia="Times New Roman" w:cs="Times New Roman"/>
          <w:sz w:val="24"/>
          <w:szCs w:val="24"/>
          <w:lang w:eastAsia="en-GB"/>
        </w:rPr>
        <w:t>(8), e41911. https://doi.org/10.1371/journal.pone.0041911</w:t>
      </w:r>
    </w:p>
    <w:p>
      <w:pPr>
        <w:pStyle w:val="7"/>
        <w:spacing w:before="0" w:beforeAutospacing="0" w:after="0" w:afterAutospacing="0" w:line="480" w:lineRule="auto"/>
        <w:ind w:left="720" w:hanging="720"/>
      </w:pPr>
      <w:r>
        <w:t xml:space="preserve">Chi, W.-C., Lin, P.-J., Chang, I-Chiu., &amp; Chen, S.-L. (2020). The inhibiting effects of resistance to change of disability determination system: a status quo bias perspective. </w:t>
      </w:r>
      <w:r>
        <w:rPr>
          <w:i/>
          <w:iCs/>
        </w:rPr>
        <w:t>BMC Medical Informatics and Decision Making</w:t>
      </w:r>
      <w:r>
        <w:t xml:space="preserve">, </w:t>
      </w:r>
      <w:r>
        <w:rPr>
          <w:i/>
          <w:iCs/>
        </w:rPr>
        <w:t>20</w:t>
      </w:r>
      <w:r>
        <w:t>(1). https://doi.org/10.1186/s12911-020-1090-7</w:t>
      </w:r>
    </w:p>
    <w:p>
      <w:pPr>
        <w:pStyle w:val="7"/>
        <w:spacing w:before="0" w:beforeAutospacing="0" w:after="0" w:afterAutospacing="0" w:line="480" w:lineRule="auto"/>
        <w:ind w:left="720" w:hanging="720"/>
      </w:pPr>
      <w:r>
        <w:t xml:space="preserve">Davila Delgado, J. M., Oyedele, L., Beach, T., &amp; Demian, P. (2020). Augmented and Virtual Reality in Construction: Drivers and Limitations for Industry Adoption. </w:t>
      </w:r>
      <w:r>
        <w:rPr>
          <w:i/>
          <w:iCs/>
        </w:rPr>
        <w:t>Journal of Construction Engineering and Management</w:t>
      </w:r>
      <w:r>
        <w:t xml:space="preserve">, </w:t>
      </w:r>
      <w:r>
        <w:rPr>
          <w:i/>
          <w:iCs/>
        </w:rPr>
        <w:t>146</w:t>
      </w:r>
      <w:r>
        <w:t>(7), 04020079. https://doi.org/10.1061/(asce)co.1943-7862.0001844</w:t>
      </w:r>
    </w:p>
    <w:p>
      <w:pPr>
        <w:pStyle w:val="7"/>
        <w:spacing w:before="0" w:beforeAutospacing="0" w:after="0" w:afterAutospacing="0" w:line="480" w:lineRule="auto"/>
        <w:ind w:left="720" w:hanging="720"/>
      </w:pPr>
      <w:r>
        <w:t xml:space="preserve">Dusfour, I., Vontas, J., David, J.-P., Weetman, D., Fonseca, D. M., Corbel, V., Raghavendra, K., Coulibaly, M. B., Martins, A. J., Kasai, S., &amp; Chandre, F. (2019). Management of insecticide resistance in the major Aedes vectors of arboviruses: Advances and challenges. </w:t>
      </w:r>
      <w:r>
        <w:rPr>
          <w:i/>
          <w:iCs/>
        </w:rPr>
        <w:t>PLOS Neglected Tropical Diseases</w:t>
      </w:r>
      <w:r>
        <w:t xml:space="preserve">, </w:t>
      </w:r>
      <w:r>
        <w:rPr>
          <w:i/>
          <w:iCs/>
        </w:rPr>
        <w:t>13</w:t>
      </w:r>
      <w:r>
        <w:t xml:space="preserve">(10), e0007615. </w:t>
      </w:r>
      <w:r>
        <w:fldChar w:fldCharType="begin"/>
      </w:r>
      <w:r>
        <w:instrText xml:space="preserve"> HYPERLINK "https://doi.org/10.1371/journal.pntd.0007615" </w:instrText>
      </w:r>
      <w:r>
        <w:fldChar w:fldCharType="separate"/>
      </w:r>
      <w:r>
        <w:rPr>
          <w:rStyle w:val="11"/>
        </w:rPr>
        <w:t>https://doi.org/10.1371/journal.pntd.0007615</w:t>
      </w:r>
      <w:r>
        <w:rPr>
          <w:rStyle w:val="11"/>
        </w:rPr>
        <w:fldChar w:fldCharType="end"/>
      </w:r>
    </w:p>
    <w:p>
      <w:pPr>
        <w:pStyle w:val="7"/>
        <w:spacing w:before="0" w:beforeAutospacing="0" w:after="0" w:afterAutospacing="0" w:line="480" w:lineRule="auto"/>
        <w:ind w:left="720" w:hanging="720"/>
      </w:pPr>
      <w:r>
        <w:t xml:space="preserve">Freiberg, T., &amp; Felden, C. (2019). Association for Information Systems AIS Electronic Library (AISeL) DIGITALLY TRANSFORMING ORGANISATIONS: A REVIEW OF CHANGE MODELS OF INDUSTRY 4.0 Fanny-Ève Bordeleau. </w:t>
      </w:r>
      <w:r>
        <w:fldChar w:fldCharType="begin"/>
      </w:r>
      <w:r>
        <w:instrText xml:space="preserve"> HYPERLINK "https://core.ac.uk/download/pdf/301379432.pdf" </w:instrText>
      </w:r>
      <w:r>
        <w:fldChar w:fldCharType="separate"/>
      </w:r>
      <w:r>
        <w:rPr>
          <w:rStyle w:val="11"/>
        </w:rPr>
        <w:t>https://core.ac.uk/download/pdf/301379432.pdf</w:t>
      </w:r>
      <w:r>
        <w:rPr>
          <w:rStyle w:val="11"/>
        </w:rPr>
        <w:fldChar w:fldCharType="end"/>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Gutiérrez-Iñiguez, Á., Collado-Agudo, J., &amp; Rialp-Criado, J. (2023). The Role of Managers in Corporate Change Management: A Bibliometric Review. </w:t>
      </w:r>
      <w:r>
        <w:rPr>
          <w:rFonts w:ascii="Times New Roman" w:hAnsi="Times New Roman" w:eastAsia="Times New Roman" w:cs="Times New Roman"/>
          <w:i/>
          <w:iCs/>
          <w:sz w:val="24"/>
          <w:szCs w:val="24"/>
          <w:lang w:eastAsia="en-GB"/>
        </w:rPr>
        <w:t>Sustainability</w:t>
      </w:r>
      <w:r>
        <w:rPr>
          <w:rFonts w:ascii="Times New Roman" w:hAnsi="Times New Roman" w:eastAsia="Times New Roman" w:cs="Times New Roman"/>
          <w:sz w:val="24"/>
          <w:szCs w:val="24"/>
          <w:lang w:eastAsia="en-GB"/>
        </w:rPr>
        <w:t xml:space="preserve">, </w:t>
      </w:r>
      <w:r>
        <w:rPr>
          <w:rFonts w:ascii="Times New Roman" w:hAnsi="Times New Roman" w:eastAsia="Times New Roman" w:cs="Times New Roman"/>
          <w:i/>
          <w:iCs/>
          <w:sz w:val="24"/>
          <w:szCs w:val="24"/>
          <w:lang w:eastAsia="en-GB"/>
        </w:rPr>
        <w:t>15</w:t>
      </w:r>
      <w:r>
        <w:rPr>
          <w:rFonts w:ascii="Times New Roman" w:hAnsi="Times New Roman" w:eastAsia="Times New Roman" w:cs="Times New Roman"/>
          <w:sz w:val="24"/>
          <w:szCs w:val="24"/>
          <w:lang w:eastAsia="en-GB"/>
        </w:rPr>
        <w:t>(14), 10811. https://doi.org/10.3390/su151410811</w:t>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Hanelt, A., Bohnsack, R., Marz, D., &amp; Antunes, C. (2020). A systematic review of the literature on digital transformation: insights and implications for strategy and organizational change. </w:t>
      </w:r>
      <w:r>
        <w:rPr>
          <w:rFonts w:ascii="Times New Roman" w:hAnsi="Times New Roman" w:eastAsia="Times New Roman" w:cs="Times New Roman"/>
          <w:i/>
          <w:iCs/>
          <w:sz w:val="24"/>
          <w:szCs w:val="24"/>
          <w:lang w:eastAsia="en-GB"/>
        </w:rPr>
        <w:t>Journal of Management Studies</w:t>
      </w:r>
      <w:r>
        <w:rPr>
          <w:rFonts w:ascii="Times New Roman" w:hAnsi="Times New Roman" w:eastAsia="Times New Roman" w:cs="Times New Roman"/>
          <w:sz w:val="24"/>
          <w:szCs w:val="24"/>
          <w:lang w:eastAsia="en-GB"/>
        </w:rPr>
        <w:t xml:space="preserve">, </w:t>
      </w:r>
      <w:r>
        <w:rPr>
          <w:rFonts w:ascii="Times New Roman" w:hAnsi="Times New Roman" w:eastAsia="Times New Roman" w:cs="Times New Roman"/>
          <w:i/>
          <w:iCs/>
          <w:sz w:val="24"/>
          <w:szCs w:val="24"/>
          <w:lang w:eastAsia="en-GB"/>
        </w:rPr>
        <w:t>58</w:t>
      </w:r>
      <w:r>
        <w:rPr>
          <w:rFonts w:ascii="Times New Roman" w:hAnsi="Times New Roman" w:eastAsia="Times New Roman" w:cs="Times New Roman"/>
          <w:sz w:val="24"/>
          <w:szCs w:val="24"/>
          <w:lang w:eastAsia="en-GB"/>
        </w:rPr>
        <w:t>(5), 1159–1197.</w:t>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Harrison, R., Fischer, S., Walpola, R. L., Chauhan, A., Babalola, T., Mears, S., &amp; Le-Dao, H. (2021). Where Do Models for Change Management, Improvement and Implementation Meet? a Systematic Review of the Applications of Change Management Models in Healthcare. </w:t>
      </w:r>
      <w:r>
        <w:rPr>
          <w:rFonts w:ascii="Times New Roman" w:hAnsi="Times New Roman" w:eastAsia="Times New Roman" w:cs="Times New Roman"/>
          <w:i/>
          <w:iCs/>
          <w:sz w:val="24"/>
          <w:szCs w:val="24"/>
          <w:lang w:eastAsia="en-GB"/>
        </w:rPr>
        <w:t>Journal of Healthcare Leadership</w:t>
      </w:r>
      <w:r>
        <w:rPr>
          <w:rFonts w:ascii="Times New Roman" w:hAnsi="Times New Roman" w:eastAsia="Times New Roman" w:cs="Times New Roman"/>
          <w:sz w:val="24"/>
          <w:szCs w:val="24"/>
          <w:lang w:eastAsia="en-GB"/>
        </w:rPr>
        <w:t xml:space="preserve">, </w:t>
      </w:r>
      <w:r>
        <w:rPr>
          <w:rFonts w:ascii="Times New Roman" w:hAnsi="Times New Roman" w:eastAsia="Times New Roman" w:cs="Times New Roman"/>
          <w:i/>
          <w:iCs/>
          <w:sz w:val="24"/>
          <w:szCs w:val="24"/>
          <w:lang w:eastAsia="en-GB"/>
        </w:rPr>
        <w:t>Volume 13</w:t>
      </w:r>
      <w:r>
        <w:rPr>
          <w:rFonts w:ascii="Times New Roman" w:hAnsi="Times New Roman" w:eastAsia="Times New Roman" w:cs="Times New Roman"/>
          <w:sz w:val="24"/>
          <w:szCs w:val="24"/>
          <w:lang w:eastAsia="en-GB"/>
        </w:rPr>
        <w:t>(13), 85–108. NCBI. https://doi.org/10.2147/JHL.S289176</w:t>
      </w:r>
    </w:p>
    <w:p>
      <w:pPr>
        <w:pStyle w:val="7"/>
        <w:spacing w:before="0" w:beforeAutospacing="0" w:after="0" w:afterAutospacing="0" w:line="480" w:lineRule="auto"/>
        <w:ind w:left="720" w:hanging="720"/>
      </w:pPr>
      <w:r>
        <w:t xml:space="preserve">Kiesnere, A., &amp; Baumgartner, R. (2019). Sustainability Management in Practice: Organizational Change for Sustainability in Smaller Large-Sized Companies in Austria. </w:t>
      </w:r>
      <w:r>
        <w:rPr>
          <w:i/>
          <w:iCs/>
        </w:rPr>
        <w:t>Sustainability</w:t>
      </w:r>
      <w:r>
        <w:t xml:space="preserve">, </w:t>
      </w:r>
      <w:r>
        <w:rPr>
          <w:i/>
          <w:iCs/>
        </w:rPr>
        <w:t>11</w:t>
      </w:r>
      <w:r>
        <w:t>(3), 572. https://doi.org/10.3390/su11030572</w:t>
      </w:r>
    </w:p>
    <w:p>
      <w:pPr>
        <w:pStyle w:val="7"/>
        <w:spacing w:before="0" w:beforeAutospacing="0" w:after="0" w:afterAutospacing="0" w:line="480" w:lineRule="auto"/>
        <w:ind w:left="720" w:hanging="720"/>
      </w:pPr>
      <w:r>
        <w:t xml:space="preserve">Kneeshaw, D., Sturtevant, B. R., DeGrandpé, L., Doblas-Miranda, E., James, P., Tardif, D., &amp; Burton, P. J. (2021). </w:t>
      </w:r>
      <w:r>
        <w:rPr>
          <w:i/>
          <w:iCs/>
        </w:rPr>
        <w:t>The Vision of Managing for Pest-Resistant Landscapes: Realistic or Utopic?</w:t>
      </w:r>
      <w:r>
        <w:t xml:space="preserve"> </w:t>
      </w:r>
      <w:r>
        <w:rPr>
          <w:i/>
          <w:iCs/>
        </w:rPr>
        <w:t>7</w:t>
      </w:r>
      <w:r>
        <w:t>(2), 97–113. https://doi.org/10.1007/s40725-021-00140-z</w:t>
      </w:r>
    </w:p>
    <w:p>
      <w:pPr>
        <w:pStyle w:val="7"/>
        <w:spacing w:before="0" w:beforeAutospacing="0" w:after="0" w:afterAutospacing="0" w:line="480" w:lineRule="auto"/>
        <w:ind w:left="720" w:hanging="720"/>
      </w:pPr>
      <w:r>
        <w:t xml:space="preserve">Kraus, S., Durst, S., Ferreira, J. J., Veiga, P., Kailer, N., &amp; Weinmann, A. (2022). Digital transformation in business and management research: An overview of the current status quo. </w:t>
      </w:r>
      <w:r>
        <w:rPr>
          <w:i/>
          <w:iCs/>
        </w:rPr>
        <w:t>International Journal of Information Management</w:t>
      </w:r>
      <w:r>
        <w:t xml:space="preserve">, </w:t>
      </w:r>
      <w:r>
        <w:rPr>
          <w:i/>
          <w:iCs/>
        </w:rPr>
        <w:t>63</w:t>
      </w:r>
      <w:r>
        <w:t xml:space="preserve">(4), 102466. Sciencedirect. </w:t>
      </w:r>
      <w:r>
        <w:fldChar w:fldCharType="begin"/>
      </w:r>
      <w:r>
        <w:instrText xml:space="preserve"> HYPERLINK "https://doi.org/10.1016/j.ijinfomgt.2021.102466" </w:instrText>
      </w:r>
      <w:r>
        <w:fldChar w:fldCharType="separate"/>
      </w:r>
      <w:r>
        <w:rPr>
          <w:rStyle w:val="11"/>
        </w:rPr>
        <w:t>https://doi.org/10.1016/j.ijinfomgt.2021.102466</w:t>
      </w:r>
      <w:r>
        <w:rPr>
          <w:rStyle w:val="11"/>
        </w:rPr>
        <w:fldChar w:fldCharType="end"/>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Li, J., Greenwood, D., &amp; Kassem, M. (2019). Blockchain in the built environment and construction industry: A systematic review, conceptual models and practical use cases. </w:t>
      </w:r>
      <w:r>
        <w:rPr>
          <w:rFonts w:ascii="Times New Roman" w:hAnsi="Times New Roman" w:eastAsia="Times New Roman" w:cs="Times New Roman"/>
          <w:i/>
          <w:iCs/>
          <w:sz w:val="24"/>
          <w:szCs w:val="24"/>
          <w:lang w:eastAsia="en-GB"/>
        </w:rPr>
        <w:t>Automation in Construction</w:t>
      </w:r>
      <w:r>
        <w:rPr>
          <w:rFonts w:ascii="Times New Roman" w:hAnsi="Times New Roman" w:eastAsia="Times New Roman" w:cs="Times New Roman"/>
          <w:sz w:val="24"/>
          <w:szCs w:val="24"/>
          <w:lang w:eastAsia="en-GB"/>
        </w:rPr>
        <w:t xml:space="preserve">, </w:t>
      </w:r>
      <w:r>
        <w:rPr>
          <w:rFonts w:ascii="Times New Roman" w:hAnsi="Times New Roman" w:eastAsia="Times New Roman" w:cs="Times New Roman"/>
          <w:i/>
          <w:iCs/>
          <w:sz w:val="24"/>
          <w:szCs w:val="24"/>
          <w:lang w:eastAsia="en-GB"/>
        </w:rPr>
        <w:t>102</w:t>
      </w:r>
      <w:r>
        <w:rPr>
          <w:rFonts w:ascii="Times New Roman" w:hAnsi="Times New Roman" w:eastAsia="Times New Roman" w:cs="Times New Roman"/>
          <w:sz w:val="24"/>
          <w:szCs w:val="24"/>
          <w:lang w:eastAsia="en-GB"/>
        </w:rPr>
        <w:t>(1), 288–307. https://doi.org/10.1016/j.autcon.2019.02.005</w:t>
      </w:r>
    </w:p>
    <w:p>
      <w:pPr>
        <w:pStyle w:val="7"/>
        <w:spacing w:before="0" w:beforeAutospacing="0" w:after="0" w:afterAutospacing="0" w:line="480" w:lineRule="auto"/>
        <w:ind w:left="720" w:hanging="720"/>
      </w:pPr>
    </w:p>
    <w:p>
      <w:pPr>
        <w:pStyle w:val="7"/>
        <w:spacing w:before="0" w:beforeAutospacing="0" w:after="0" w:afterAutospacing="0" w:line="480" w:lineRule="auto"/>
        <w:ind w:left="720" w:hanging="720"/>
      </w:pPr>
      <w:r>
        <w:t xml:space="preserve">Lim, S. F. W. T., &amp; Winkenbach, M. (2018). Configuring the Last-Mile in Business-to-Consumer E-Retailing. </w:t>
      </w:r>
      <w:r>
        <w:rPr>
          <w:i/>
          <w:iCs/>
        </w:rPr>
        <w:t>California Management Review</w:t>
      </w:r>
      <w:r>
        <w:t xml:space="preserve">, </w:t>
      </w:r>
      <w:r>
        <w:rPr>
          <w:i/>
          <w:iCs/>
        </w:rPr>
        <w:t>61</w:t>
      </w:r>
      <w:r>
        <w:t>(2), 132–154. https://doi.org/10.1177/0008125618805094</w:t>
      </w:r>
    </w:p>
    <w:p>
      <w:pPr>
        <w:pStyle w:val="7"/>
        <w:spacing w:before="0" w:beforeAutospacing="0" w:after="0" w:afterAutospacing="0" w:line="480" w:lineRule="auto"/>
        <w:ind w:left="720" w:hanging="720"/>
      </w:pPr>
      <w:r>
        <w:t xml:space="preserve">ltd, R. and M. (2021). </w:t>
      </w:r>
      <w:r>
        <w:rPr>
          <w:i/>
          <w:iCs/>
        </w:rPr>
        <w:t>Tesco Plc (TSCO) - Financial and Strategic SWOT Analysis Review</w:t>
      </w:r>
      <w:r>
        <w:t xml:space="preserve">. Www.researchandmarkets.com. </w:t>
      </w:r>
      <w:r>
        <w:fldChar w:fldCharType="begin"/>
      </w:r>
      <w:r>
        <w:instrText xml:space="preserve"> HYPERLINK "https://www.researchandmarkets.com/reports/1495481/tesco_plc_tsco_financial_and_strategic_swot" </w:instrText>
      </w:r>
      <w:r>
        <w:fldChar w:fldCharType="separate"/>
      </w:r>
      <w:r>
        <w:rPr>
          <w:rStyle w:val="11"/>
        </w:rPr>
        <w:t>https://www.researchandmarkets.com/reports/1495481/tesco_plc_tsco_financial_and_strategic_swot</w:t>
      </w:r>
      <w:r>
        <w:rPr>
          <w:rStyle w:val="11"/>
        </w:rPr>
        <w:fldChar w:fldCharType="end"/>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ltd, R. and M. (2022, January 15). </w:t>
      </w:r>
      <w:r>
        <w:rPr>
          <w:rFonts w:ascii="Times New Roman" w:hAnsi="Times New Roman" w:eastAsia="Times New Roman" w:cs="Times New Roman"/>
          <w:i/>
          <w:iCs/>
          <w:sz w:val="24"/>
          <w:szCs w:val="24"/>
          <w:lang w:eastAsia="en-GB"/>
        </w:rPr>
        <w:t>Tesco - Digital Transformation Strategies - Research and Markets</w:t>
      </w:r>
      <w:r>
        <w:rPr>
          <w:rFonts w:ascii="Times New Roman" w:hAnsi="Times New Roman" w:eastAsia="Times New Roman" w:cs="Times New Roman"/>
          <w:sz w:val="24"/>
          <w:szCs w:val="24"/>
          <w:lang w:eastAsia="en-GB"/>
        </w:rPr>
        <w:t>. Www.researchandmarkets.com. https://www.researchandmarkets.com/reports/5670610/tesco-digital-transformation-strategies</w:t>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Mahalinga Shiva, M. S. A., &amp; Suar, D. (2011). Transformational Leadership, Organizational Culture, Organizational Effectiveness, and Programme Outcomes in Non-Governmental Organizations. </w:t>
      </w:r>
      <w:r>
        <w:rPr>
          <w:rFonts w:ascii="Times New Roman" w:hAnsi="Times New Roman" w:eastAsia="Times New Roman" w:cs="Times New Roman"/>
          <w:i/>
          <w:iCs/>
          <w:sz w:val="24"/>
          <w:szCs w:val="24"/>
          <w:lang w:eastAsia="en-GB"/>
        </w:rPr>
        <w:t>VOLUNTAS: International Journal of Voluntary and Nonprofit Organizations</w:t>
      </w:r>
      <w:r>
        <w:rPr>
          <w:rFonts w:ascii="Times New Roman" w:hAnsi="Times New Roman" w:eastAsia="Times New Roman" w:cs="Times New Roman"/>
          <w:sz w:val="24"/>
          <w:szCs w:val="24"/>
          <w:lang w:eastAsia="en-GB"/>
        </w:rPr>
        <w:t xml:space="preserve">, </w:t>
      </w:r>
      <w:r>
        <w:rPr>
          <w:rFonts w:ascii="Times New Roman" w:hAnsi="Times New Roman" w:eastAsia="Times New Roman" w:cs="Times New Roman"/>
          <w:i/>
          <w:iCs/>
          <w:sz w:val="24"/>
          <w:szCs w:val="24"/>
          <w:lang w:eastAsia="en-GB"/>
        </w:rPr>
        <w:t>23</w:t>
      </w:r>
      <w:r>
        <w:rPr>
          <w:rFonts w:ascii="Times New Roman" w:hAnsi="Times New Roman" w:eastAsia="Times New Roman" w:cs="Times New Roman"/>
          <w:sz w:val="24"/>
          <w:szCs w:val="24"/>
          <w:lang w:eastAsia="en-GB"/>
        </w:rPr>
        <w:t>(3), 684–710. https://doi.org/10.1007/s11266-011-9230-4</w:t>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Mansaray, H. E. (2019). The Role of Leadership Style in Organisational Change Management: A Literature Review. </w:t>
      </w:r>
      <w:r>
        <w:rPr>
          <w:rFonts w:ascii="Times New Roman" w:hAnsi="Times New Roman" w:eastAsia="Times New Roman" w:cs="Times New Roman"/>
          <w:i/>
          <w:iCs/>
          <w:sz w:val="24"/>
          <w:szCs w:val="24"/>
          <w:lang w:eastAsia="en-GB"/>
        </w:rPr>
        <w:t>Journal of Human Resource Management</w:t>
      </w:r>
      <w:r>
        <w:rPr>
          <w:rFonts w:ascii="Times New Roman" w:hAnsi="Times New Roman" w:eastAsia="Times New Roman" w:cs="Times New Roman"/>
          <w:sz w:val="24"/>
          <w:szCs w:val="24"/>
          <w:lang w:eastAsia="en-GB"/>
        </w:rPr>
        <w:t xml:space="preserve">, </w:t>
      </w:r>
      <w:r>
        <w:rPr>
          <w:rFonts w:ascii="Times New Roman" w:hAnsi="Times New Roman" w:eastAsia="Times New Roman" w:cs="Times New Roman"/>
          <w:i/>
          <w:iCs/>
          <w:sz w:val="24"/>
          <w:szCs w:val="24"/>
          <w:lang w:eastAsia="en-GB"/>
        </w:rPr>
        <w:t>7</w:t>
      </w:r>
      <w:r>
        <w:rPr>
          <w:rFonts w:ascii="Times New Roman" w:hAnsi="Times New Roman" w:eastAsia="Times New Roman" w:cs="Times New Roman"/>
          <w:sz w:val="24"/>
          <w:szCs w:val="24"/>
          <w:lang w:eastAsia="en-GB"/>
        </w:rPr>
        <w:t>(1), 18–31. sciencepublishinggroup. https://doi.org/10.11648/j.jhrm.20190701.13</w:t>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McCarthy, P., Sammon, D., &amp; Alhassan, I. (2021). Digital Transformation Leadership Characteristics: a Literature Analysis: </w:t>
      </w:r>
      <w:r>
        <w:rPr>
          <w:rFonts w:ascii="Times New Roman" w:hAnsi="Times New Roman" w:eastAsia="Times New Roman" w:cs="Times New Roman"/>
          <w:i/>
          <w:iCs/>
          <w:sz w:val="24"/>
          <w:szCs w:val="24"/>
          <w:lang w:eastAsia="en-GB"/>
        </w:rPr>
        <w:t>Journal of Decision Systems</w:t>
      </w:r>
      <w:r>
        <w:rPr>
          <w:rFonts w:ascii="Times New Roman" w:hAnsi="Times New Roman" w:eastAsia="Times New Roman" w:cs="Times New Roman"/>
          <w:sz w:val="24"/>
          <w:szCs w:val="24"/>
          <w:lang w:eastAsia="en-GB"/>
        </w:rPr>
        <w:t>, 1–30. https://doi.org/10.1080/12460125.2021.1908934</w:t>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McKimm, J., Johnstone, D., Mills, C., Hassanien, M., &amp; Al-Hayani, A. (2022). Healthcare leadership development during a pandemic: do not stop, adapt. </w:t>
      </w:r>
      <w:r>
        <w:rPr>
          <w:rFonts w:ascii="Times New Roman" w:hAnsi="Times New Roman" w:eastAsia="Times New Roman" w:cs="Times New Roman"/>
          <w:i/>
          <w:iCs/>
          <w:sz w:val="24"/>
          <w:szCs w:val="24"/>
          <w:lang w:eastAsia="en-GB"/>
        </w:rPr>
        <w:t>British Journal of Hospital Medicine</w:t>
      </w:r>
      <w:r>
        <w:rPr>
          <w:rFonts w:ascii="Times New Roman" w:hAnsi="Times New Roman" w:eastAsia="Times New Roman" w:cs="Times New Roman"/>
          <w:sz w:val="24"/>
          <w:szCs w:val="24"/>
          <w:lang w:eastAsia="en-GB"/>
        </w:rPr>
        <w:t xml:space="preserve">, </w:t>
      </w:r>
      <w:r>
        <w:rPr>
          <w:rFonts w:ascii="Times New Roman" w:hAnsi="Times New Roman" w:eastAsia="Times New Roman" w:cs="Times New Roman"/>
          <w:i/>
          <w:iCs/>
          <w:sz w:val="24"/>
          <w:szCs w:val="24"/>
          <w:lang w:eastAsia="en-GB"/>
        </w:rPr>
        <w:t>83</w:t>
      </w:r>
      <w:r>
        <w:rPr>
          <w:rFonts w:ascii="Times New Roman" w:hAnsi="Times New Roman" w:eastAsia="Times New Roman" w:cs="Times New Roman"/>
          <w:sz w:val="24"/>
          <w:szCs w:val="24"/>
          <w:lang w:eastAsia="en-GB"/>
        </w:rPr>
        <w:t>(1), 1–9. https://doi.org/10.12968/hmed.2021.0479</w:t>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Nilsen, P., &amp; Bernhardsson, S. (2019). Context matters in implementation science: a scoping review of determinant frameworks that describe contextual determinants for implementation outcomes. </w:t>
      </w:r>
      <w:r>
        <w:rPr>
          <w:rFonts w:ascii="Times New Roman" w:hAnsi="Times New Roman" w:eastAsia="Times New Roman" w:cs="Times New Roman"/>
          <w:i/>
          <w:iCs/>
          <w:sz w:val="24"/>
          <w:szCs w:val="24"/>
          <w:lang w:eastAsia="en-GB"/>
        </w:rPr>
        <w:t>BMC Health Services Research</w:t>
      </w:r>
      <w:r>
        <w:rPr>
          <w:rFonts w:ascii="Times New Roman" w:hAnsi="Times New Roman" w:eastAsia="Times New Roman" w:cs="Times New Roman"/>
          <w:sz w:val="24"/>
          <w:szCs w:val="24"/>
          <w:lang w:eastAsia="en-GB"/>
        </w:rPr>
        <w:t xml:space="preserve">, </w:t>
      </w:r>
      <w:r>
        <w:rPr>
          <w:rFonts w:ascii="Times New Roman" w:hAnsi="Times New Roman" w:eastAsia="Times New Roman" w:cs="Times New Roman"/>
          <w:i/>
          <w:iCs/>
          <w:sz w:val="24"/>
          <w:szCs w:val="24"/>
          <w:lang w:eastAsia="en-GB"/>
        </w:rPr>
        <w:t>19</w:t>
      </w:r>
      <w:r>
        <w:rPr>
          <w:rFonts w:ascii="Times New Roman" w:hAnsi="Times New Roman" w:eastAsia="Times New Roman" w:cs="Times New Roman"/>
          <w:sz w:val="24"/>
          <w:szCs w:val="24"/>
          <w:lang w:eastAsia="en-GB"/>
        </w:rPr>
        <w:t>(1). https://doi.org/10.1186/s12913-019-4015-3</w:t>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Partridge, J. (2020, December 9). Tesco warns of higher prices if UK and EU fail to agree Brexit deal. </w:t>
      </w:r>
      <w:r>
        <w:rPr>
          <w:rFonts w:ascii="Times New Roman" w:hAnsi="Times New Roman" w:eastAsia="Times New Roman" w:cs="Times New Roman"/>
          <w:i/>
          <w:iCs/>
          <w:sz w:val="24"/>
          <w:szCs w:val="24"/>
          <w:lang w:eastAsia="en-GB"/>
        </w:rPr>
        <w:t>The Guardian</w:t>
      </w:r>
      <w:r>
        <w:rPr>
          <w:rFonts w:ascii="Times New Roman" w:hAnsi="Times New Roman" w:eastAsia="Times New Roman" w:cs="Times New Roman"/>
          <w:sz w:val="24"/>
          <w:szCs w:val="24"/>
          <w:lang w:eastAsia="en-GB"/>
        </w:rPr>
        <w:t>. https://www.theguardian.com/business/2020/dec/09/tesco-prices-uk-eu-fail-agree-brexit-no-deal-shortages-tariffs#:~:text=2%20years%20old-</w:t>
      </w:r>
    </w:p>
    <w:p>
      <w:pPr>
        <w:pStyle w:val="7"/>
        <w:spacing w:before="0" w:beforeAutospacing="0" w:after="0" w:afterAutospacing="0" w:line="480" w:lineRule="auto"/>
        <w:ind w:left="720" w:hanging="720"/>
      </w:pPr>
      <w:r>
        <w:t xml:space="preserve">Piccoli, A., Pahl, M.-O., &amp; Wüstrich, L. (2020, July 1). </w:t>
      </w:r>
      <w:r>
        <w:rPr>
          <w:i/>
          <w:iCs/>
        </w:rPr>
        <w:t>Group Key Management in constrained IoT Settings</w:t>
      </w:r>
      <w:r>
        <w:t xml:space="preserve">. IEEE Xplore. </w:t>
      </w:r>
      <w:r>
        <w:fldChar w:fldCharType="begin"/>
      </w:r>
      <w:r>
        <w:instrText xml:space="preserve"> HYPERLINK "https://doi.org/10.1109/ISCC50000.2020.9219619" </w:instrText>
      </w:r>
      <w:r>
        <w:fldChar w:fldCharType="separate"/>
      </w:r>
      <w:r>
        <w:rPr>
          <w:rStyle w:val="11"/>
        </w:rPr>
        <w:t>https://doi.org/10.1109/ISCC50000.2020.9219619</w:t>
      </w:r>
      <w:r>
        <w:rPr>
          <w:rStyle w:val="11"/>
        </w:rPr>
        <w:fldChar w:fldCharType="end"/>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Rêgo, B. S., Jayantilal, S., Ferreira, J. J., &amp; Carayannis, E. G. (2021). Digital Transformation and Strategic Management: a Systematic Review of the Literature. </w:t>
      </w:r>
      <w:r>
        <w:rPr>
          <w:rFonts w:ascii="Times New Roman" w:hAnsi="Times New Roman" w:eastAsia="Times New Roman" w:cs="Times New Roman"/>
          <w:i/>
          <w:iCs/>
          <w:sz w:val="24"/>
          <w:szCs w:val="24"/>
          <w:lang w:eastAsia="en-GB"/>
        </w:rPr>
        <w:t>Journal of the Knowledge Economy</w:t>
      </w:r>
      <w:r>
        <w:rPr>
          <w:rFonts w:ascii="Times New Roman" w:hAnsi="Times New Roman" w:eastAsia="Times New Roman" w:cs="Times New Roman"/>
          <w:sz w:val="24"/>
          <w:szCs w:val="24"/>
          <w:lang w:eastAsia="en-GB"/>
        </w:rPr>
        <w:t xml:space="preserve">, </w:t>
      </w:r>
      <w:r>
        <w:rPr>
          <w:rFonts w:ascii="Times New Roman" w:hAnsi="Times New Roman" w:eastAsia="Times New Roman" w:cs="Times New Roman"/>
          <w:i/>
          <w:iCs/>
          <w:sz w:val="24"/>
          <w:szCs w:val="24"/>
          <w:lang w:eastAsia="en-GB"/>
        </w:rPr>
        <w:t>5</w:t>
      </w:r>
      <w:r>
        <w:rPr>
          <w:rFonts w:ascii="Times New Roman" w:hAnsi="Times New Roman" w:eastAsia="Times New Roman" w:cs="Times New Roman"/>
          <w:sz w:val="24"/>
          <w:szCs w:val="24"/>
          <w:lang w:eastAsia="en-GB"/>
        </w:rPr>
        <w:t>(3). https://doi.org/10.1007/s13132-021-00853-3</w:t>
      </w:r>
    </w:p>
    <w:p>
      <w:pPr>
        <w:pStyle w:val="7"/>
        <w:spacing w:before="0" w:beforeAutospacing="0" w:after="0" w:afterAutospacing="0" w:line="480" w:lineRule="auto"/>
        <w:ind w:left="720" w:hanging="720"/>
      </w:pPr>
      <w:r>
        <w:t xml:space="preserve">Reuters. (2023, January 31). Tesco’s UK store management changes to impact 1,750 jobs. </w:t>
      </w:r>
      <w:r>
        <w:rPr>
          <w:i/>
          <w:iCs/>
        </w:rPr>
        <w:t>Reuters</w:t>
      </w:r>
      <w:r>
        <w:t xml:space="preserve">. </w:t>
      </w:r>
      <w:r>
        <w:fldChar w:fldCharType="begin"/>
      </w:r>
      <w:r>
        <w:instrText xml:space="preserve"> HYPERLINK "https://www.reuters.com/business/retail-consumer/britains-tesco-says-store-management-changes-impact-1750-jobs-2023-01-31/" </w:instrText>
      </w:r>
      <w:r>
        <w:fldChar w:fldCharType="separate"/>
      </w:r>
      <w:r>
        <w:rPr>
          <w:rStyle w:val="11"/>
        </w:rPr>
        <w:t>https://www.reuters.com/business/retail-consumer/britains-tesco-says-store-management-changes-impact-1750-jobs-2023-01-31/</w:t>
      </w:r>
      <w:r>
        <w:rPr>
          <w:rStyle w:val="11"/>
        </w:rPr>
        <w:fldChar w:fldCharType="end"/>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Rosenhead, J., Franco, L. A., Grint, K., &amp; Friedland, B. (2019). Complexity Theory and Leadership practice: a review, a critique, and Some Recommendations. </w:t>
      </w:r>
      <w:r>
        <w:rPr>
          <w:rFonts w:ascii="Times New Roman" w:hAnsi="Times New Roman" w:eastAsia="Times New Roman" w:cs="Times New Roman"/>
          <w:i/>
          <w:iCs/>
          <w:sz w:val="24"/>
          <w:szCs w:val="24"/>
          <w:lang w:eastAsia="en-GB"/>
        </w:rPr>
        <w:t>The Leadership Quarterly</w:t>
      </w:r>
      <w:r>
        <w:rPr>
          <w:rFonts w:ascii="Times New Roman" w:hAnsi="Times New Roman" w:eastAsia="Times New Roman" w:cs="Times New Roman"/>
          <w:sz w:val="24"/>
          <w:szCs w:val="24"/>
          <w:lang w:eastAsia="en-GB"/>
        </w:rPr>
        <w:t xml:space="preserve">, </w:t>
      </w:r>
      <w:r>
        <w:rPr>
          <w:rFonts w:ascii="Times New Roman" w:hAnsi="Times New Roman" w:eastAsia="Times New Roman" w:cs="Times New Roman"/>
          <w:i/>
          <w:iCs/>
          <w:sz w:val="24"/>
          <w:szCs w:val="24"/>
          <w:lang w:eastAsia="en-GB"/>
        </w:rPr>
        <w:t>30</w:t>
      </w:r>
      <w:r>
        <w:rPr>
          <w:rFonts w:ascii="Times New Roman" w:hAnsi="Times New Roman" w:eastAsia="Times New Roman" w:cs="Times New Roman"/>
          <w:sz w:val="24"/>
          <w:szCs w:val="24"/>
          <w:lang w:eastAsia="en-GB"/>
        </w:rPr>
        <w:t>(5), 101304. https://doi.org/10.1016/j.leaqua.2019.07.002</w:t>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Sarkar, M. (2021, June 10). </w:t>
      </w:r>
      <w:r>
        <w:rPr>
          <w:rFonts w:ascii="Times New Roman" w:hAnsi="Times New Roman" w:eastAsia="Times New Roman" w:cs="Times New Roman"/>
          <w:i/>
          <w:iCs/>
          <w:sz w:val="24"/>
          <w:szCs w:val="24"/>
          <w:lang w:eastAsia="en-GB"/>
        </w:rPr>
        <w:t>Analyzing business model of TESCO - The Strategy Story</w:t>
      </w:r>
      <w:r>
        <w:rPr>
          <w:rFonts w:ascii="Times New Roman" w:hAnsi="Times New Roman" w:eastAsia="Times New Roman" w:cs="Times New Roman"/>
          <w:sz w:val="24"/>
          <w:szCs w:val="24"/>
          <w:lang w:eastAsia="en-GB"/>
        </w:rPr>
        <w:t>. TheStrategyStory. https://thestrategystory.com/2021/06/10/tesco-business-model/</w:t>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Silva, C. S., Magano, J., Matos, A., &amp; Nogueira, T. (2021). Sustainable Quality Management Systems in the Current Paradigm: The Role of Leadership. </w:t>
      </w:r>
      <w:r>
        <w:rPr>
          <w:rFonts w:ascii="Times New Roman" w:hAnsi="Times New Roman" w:eastAsia="Times New Roman" w:cs="Times New Roman"/>
          <w:i/>
          <w:iCs/>
          <w:sz w:val="24"/>
          <w:szCs w:val="24"/>
          <w:lang w:eastAsia="en-GB"/>
        </w:rPr>
        <w:t>Sustainability</w:t>
      </w:r>
      <w:r>
        <w:rPr>
          <w:rFonts w:ascii="Times New Roman" w:hAnsi="Times New Roman" w:eastAsia="Times New Roman" w:cs="Times New Roman"/>
          <w:sz w:val="24"/>
          <w:szCs w:val="24"/>
          <w:lang w:eastAsia="en-GB"/>
        </w:rPr>
        <w:t xml:space="preserve">, </w:t>
      </w:r>
      <w:r>
        <w:rPr>
          <w:rFonts w:ascii="Times New Roman" w:hAnsi="Times New Roman" w:eastAsia="Times New Roman" w:cs="Times New Roman"/>
          <w:i/>
          <w:iCs/>
          <w:sz w:val="24"/>
          <w:szCs w:val="24"/>
          <w:lang w:eastAsia="en-GB"/>
        </w:rPr>
        <w:t>13</w:t>
      </w:r>
      <w:r>
        <w:rPr>
          <w:rFonts w:ascii="Times New Roman" w:hAnsi="Times New Roman" w:eastAsia="Times New Roman" w:cs="Times New Roman"/>
          <w:sz w:val="24"/>
          <w:szCs w:val="24"/>
          <w:lang w:eastAsia="en-GB"/>
        </w:rPr>
        <w:t xml:space="preserve">(4), 2056. </w:t>
      </w:r>
      <w:r>
        <w:fldChar w:fldCharType="begin"/>
      </w:r>
      <w:r>
        <w:instrText xml:space="preserve"> HYPERLINK "https://doi.org/10.3390/su13042056" </w:instrText>
      </w:r>
      <w:r>
        <w:fldChar w:fldCharType="separate"/>
      </w:r>
      <w:r>
        <w:rPr>
          <w:rStyle w:val="11"/>
          <w:rFonts w:ascii="Times New Roman" w:hAnsi="Times New Roman" w:eastAsia="Times New Roman" w:cs="Times New Roman"/>
          <w:sz w:val="24"/>
          <w:szCs w:val="24"/>
          <w:lang w:eastAsia="en-GB"/>
        </w:rPr>
        <w:t>https://doi.org/10.3390/su13042056</w:t>
      </w:r>
      <w:r>
        <w:rPr>
          <w:rStyle w:val="11"/>
          <w:rFonts w:ascii="Times New Roman" w:hAnsi="Times New Roman" w:eastAsia="Times New Roman" w:cs="Times New Roman"/>
          <w:sz w:val="24"/>
          <w:szCs w:val="24"/>
          <w:lang w:eastAsia="en-GB"/>
        </w:rPr>
        <w:fldChar w:fldCharType="end"/>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cs="Times New Roman"/>
          <w:color w:val="222222"/>
          <w:sz w:val="24"/>
          <w:szCs w:val="24"/>
          <w:shd w:val="clear" w:color="auto" w:fill="FFFFFF"/>
        </w:rPr>
        <w:t>Swanson, D.J. and Creed, A.S., 2014. Sharpening the focus of force field analysis. </w:t>
      </w:r>
      <w:r>
        <w:rPr>
          <w:rFonts w:ascii="Times New Roman" w:hAnsi="Times New Roman" w:cs="Times New Roman"/>
          <w:i/>
          <w:iCs/>
          <w:color w:val="222222"/>
          <w:sz w:val="24"/>
          <w:szCs w:val="24"/>
          <w:shd w:val="clear" w:color="auto" w:fill="FFFFFF"/>
        </w:rPr>
        <w:t>Journal of change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14</w:t>
      </w:r>
      <w:r>
        <w:rPr>
          <w:rFonts w:ascii="Times New Roman" w:hAnsi="Times New Roman" w:cs="Times New Roman"/>
          <w:color w:val="222222"/>
          <w:sz w:val="24"/>
          <w:szCs w:val="24"/>
          <w:shd w:val="clear" w:color="auto" w:fill="FFFFFF"/>
        </w:rPr>
        <w:t>(1), pp.28-47</w:t>
      </w:r>
      <w:r>
        <w:rPr>
          <w:rFonts w:ascii="Arial" w:hAnsi="Arial" w:cs="Arial"/>
          <w:color w:val="222222"/>
          <w:sz w:val="20"/>
          <w:szCs w:val="20"/>
          <w:shd w:val="clear" w:color="auto" w:fill="FFFFFF"/>
        </w:rPr>
        <w:t>.</w:t>
      </w:r>
    </w:p>
    <w:p>
      <w:pPr>
        <w:pStyle w:val="7"/>
        <w:spacing w:before="0" w:beforeAutospacing="0" w:after="0" w:afterAutospacing="0" w:line="480" w:lineRule="auto"/>
        <w:ind w:left="720" w:hanging="720"/>
      </w:pPr>
      <w:r>
        <w:t xml:space="preserve">Tesco Company. (2023). </w:t>
      </w:r>
      <w:r>
        <w:rPr>
          <w:i/>
          <w:iCs/>
        </w:rPr>
        <w:t>About Tesco</w:t>
      </w:r>
      <w:r>
        <w:t xml:space="preserve">. Tesco PLC; www.tescoplc.com. </w:t>
      </w:r>
      <w:r>
        <w:fldChar w:fldCharType="begin"/>
      </w:r>
      <w:r>
        <w:instrText xml:space="preserve"> HYPERLINK "https://www.tescoplc.com/about/" </w:instrText>
      </w:r>
      <w:r>
        <w:fldChar w:fldCharType="separate"/>
      </w:r>
      <w:r>
        <w:rPr>
          <w:rStyle w:val="11"/>
        </w:rPr>
        <w:t>https://www.tescoplc.com/about/</w:t>
      </w:r>
      <w:r>
        <w:rPr>
          <w:rStyle w:val="11"/>
        </w:rPr>
        <w:fldChar w:fldCharType="end"/>
      </w:r>
    </w:p>
    <w:p>
      <w:pPr>
        <w:spacing w:after="0" w:line="480" w:lineRule="auto"/>
        <w:ind w:left="720" w:hanging="720"/>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Tyagi, K. (2023). Tesco’s Marketing Strategy. An Analysis. In </w:t>
      </w:r>
      <w:r>
        <w:rPr>
          <w:rFonts w:ascii="Times New Roman" w:hAnsi="Times New Roman" w:eastAsia="Times New Roman" w:cs="Times New Roman"/>
          <w:i/>
          <w:iCs/>
          <w:sz w:val="24"/>
          <w:szCs w:val="24"/>
          <w:lang w:eastAsia="en-GB"/>
        </w:rPr>
        <w:t>www.grin.com</w:t>
      </w:r>
      <w:r>
        <w:rPr>
          <w:rFonts w:ascii="Times New Roman" w:hAnsi="Times New Roman" w:eastAsia="Times New Roman" w:cs="Times New Roman"/>
          <w:sz w:val="24"/>
          <w:szCs w:val="24"/>
          <w:lang w:eastAsia="en-GB"/>
        </w:rPr>
        <w:t>. https://www.grin.com/document/1334582</w:t>
      </w:r>
    </w:p>
    <w:p>
      <w:pPr>
        <w:pStyle w:val="7"/>
        <w:spacing w:before="0" w:beforeAutospacing="0" w:after="0" w:afterAutospacing="0" w:line="480" w:lineRule="auto"/>
        <w:ind w:left="720" w:hanging="720"/>
      </w:pPr>
      <w:r>
        <w:t xml:space="preserve">Vuksanović Herceg, I., Kuč, V., Mijušković, V. M., &amp; Herceg, T. (2020). Challenges and Driving Forces for Industry 4.0 Implementation. </w:t>
      </w:r>
      <w:r>
        <w:rPr>
          <w:i/>
          <w:iCs/>
        </w:rPr>
        <w:t>Sustainability</w:t>
      </w:r>
      <w:r>
        <w:t xml:space="preserve">, </w:t>
      </w:r>
      <w:r>
        <w:rPr>
          <w:i/>
          <w:iCs/>
        </w:rPr>
        <w:t>12</w:t>
      </w:r>
      <w:r>
        <w:t>(10), 4208. https://doi.org/10.3390/su12104208</w:t>
      </w:r>
    </w:p>
    <w:p>
      <w:pPr>
        <w:pStyle w:val="7"/>
        <w:spacing w:before="0" w:beforeAutospacing="0" w:after="0" w:afterAutospacing="0" w:line="480" w:lineRule="auto"/>
        <w:ind w:left="720" w:hanging="720"/>
      </w:pPr>
      <w:r>
        <w:t xml:space="preserve">Zheng, P., Wang, Z., Chen, C.-H., &amp; Pheng Khoo, L. (2019). A survey of smart product-service systems: Key aspects, challenges and future perspectives. </w:t>
      </w:r>
      <w:r>
        <w:rPr>
          <w:i/>
          <w:iCs/>
        </w:rPr>
        <w:t>Advanced Engineering Informatics</w:t>
      </w:r>
      <w:r>
        <w:t xml:space="preserve">, </w:t>
      </w:r>
      <w:r>
        <w:rPr>
          <w:i/>
          <w:iCs/>
        </w:rPr>
        <w:t>42</w:t>
      </w:r>
      <w:r>
        <w:t>, 100973. https://doi.org/10.1016/j.aei.2019.100973</w:t>
      </w: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p>
    <w:sectPr>
      <w:headerReference r:id="rId5" w:type="default"/>
      <w:pgSz w:w="11906" w:h="16838"/>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38333474"/>
      <w:docPartObj>
        <w:docPartGallery w:val="autotext"/>
      </w:docPartObj>
    </w:sdtPr>
    <w:sdtContent>
      <w:p>
        <w:pPr>
          <w:pStyle w:val="5"/>
          <w:spacing w:line="480" w:lineRule="auto"/>
          <w:jc w:val="right"/>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23</w:t>
        </w:r>
        <w:r>
          <w:rPr>
            <w:rFonts w:ascii="Times New Roman" w:hAnsi="Times New Roman" w:cs="Times New Roman"/>
            <w:sz w:val="24"/>
            <w:szCs w:val="24"/>
          </w:rPr>
          <w:fldChar w:fldCharType="end"/>
        </w:r>
      </w:p>
    </w:sdtContent>
  </w:sdt>
  <w:p>
    <w:pPr>
      <w:pStyle w:val="5"/>
      <w:spacing w:line="480" w:lineRule="auto"/>
      <w:rPr>
        <w:rFonts w:ascii="Times New Roman" w:hAnsi="Times New Roman" w:cs="Times New Roman"/>
        <w:sz w:val="24"/>
        <w:szCs w:val="24"/>
      </w:rPr>
    </w:pPr>
    <w:r>
      <w:rPr>
        <w:rFonts w:ascii="Times New Roman" w:hAnsi="Times New Roman" w:cs="Times New Roman"/>
        <w:sz w:val="24"/>
        <w:szCs w:val="24"/>
      </w:rPr>
      <w:t>Change Management in Tesco Company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FB2F2B"/>
    <w:multiLevelType w:val="multilevel"/>
    <w:tmpl w:val="26FB2F2B"/>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diOTE4YzUxMjY0YjUwOGIyZTQwZTQ5NGNkNzBmN2MifQ=="/>
  </w:docVars>
  <w:rsids>
    <w:rsidRoot w:val="003C524B"/>
    <w:rsid w:val="00004E3B"/>
    <w:rsid w:val="00010FFC"/>
    <w:rsid w:val="00024341"/>
    <w:rsid w:val="00045DC4"/>
    <w:rsid w:val="000556DC"/>
    <w:rsid w:val="000A3219"/>
    <w:rsid w:val="000A45ED"/>
    <w:rsid w:val="001209B3"/>
    <w:rsid w:val="00121B8F"/>
    <w:rsid w:val="001601A4"/>
    <w:rsid w:val="00175B5F"/>
    <w:rsid w:val="00182507"/>
    <w:rsid w:val="001A1DF4"/>
    <w:rsid w:val="001A224A"/>
    <w:rsid w:val="001C2CEA"/>
    <w:rsid w:val="001D788B"/>
    <w:rsid w:val="0021045C"/>
    <w:rsid w:val="00223BBE"/>
    <w:rsid w:val="002C7439"/>
    <w:rsid w:val="002D1464"/>
    <w:rsid w:val="002D2830"/>
    <w:rsid w:val="002D6E38"/>
    <w:rsid w:val="003437E7"/>
    <w:rsid w:val="00390AFC"/>
    <w:rsid w:val="003B70FD"/>
    <w:rsid w:val="003C524B"/>
    <w:rsid w:val="00442C67"/>
    <w:rsid w:val="00472DB1"/>
    <w:rsid w:val="00482826"/>
    <w:rsid w:val="004A2737"/>
    <w:rsid w:val="004A3211"/>
    <w:rsid w:val="004D4C13"/>
    <w:rsid w:val="00505554"/>
    <w:rsid w:val="00507A44"/>
    <w:rsid w:val="00521D88"/>
    <w:rsid w:val="00571A71"/>
    <w:rsid w:val="006875D5"/>
    <w:rsid w:val="00696397"/>
    <w:rsid w:val="00756C4B"/>
    <w:rsid w:val="007811FB"/>
    <w:rsid w:val="007F0727"/>
    <w:rsid w:val="00846100"/>
    <w:rsid w:val="008779B4"/>
    <w:rsid w:val="00883BA8"/>
    <w:rsid w:val="008D0AEF"/>
    <w:rsid w:val="008F6819"/>
    <w:rsid w:val="0099543E"/>
    <w:rsid w:val="00A77842"/>
    <w:rsid w:val="00A91547"/>
    <w:rsid w:val="00AB6399"/>
    <w:rsid w:val="00AC78D9"/>
    <w:rsid w:val="00B119C3"/>
    <w:rsid w:val="00B23BB3"/>
    <w:rsid w:val="00B2767E"/>
    <w:rsid w:val="00B44191"/>
    <w:rsid w:val="00B52E03"/>
    <w:rsid w:val="00B578BD"/>
    <w:rsid w:val="00B62D82"/>
    <w:rsid w:val="00B703F3"/>
    <w:rsid w:val="00B86DBA"/>
    <w:rsid w:val="00C408E5"/>
    <w:rsid w:val="00C50D5A"/>
    <w:rsid w:val="00C56801"/>
    <w:rsid w:val="00C659FD"/>
    <w:rsid w:val="00C87B1E"/>
    <w:rsid w:val="00CD2D6D"/>
    <w:rsid w:val="00CD55BD"/>
    <w:rsid w:val="00CE0562"/>
    <w:rsid w:val="00CF6647"/>
    <w:rsid w:val="00D04E1E"/>
    <w:rsid w:val="00D30361"/>
    <w:rsid w:val="00D339CE"/>
    <w:rsid w:val="00D375E6"/>
    <w:rsid w:val="00D63026"/>
    <w:rsid w:val="00DD28FE"/>
    <w:rsid w:val="00E13856"/>
    <w:rsid w:val="00EC158F"/>
    <w:rsid w:val="00EC1A37"/>
    <w:rsid w:val="00EF2B6E"/>
    <w:rsid w:val="00F330F3"/>
    <w:rsid w:val="00F37FD9"/>
    <w:rsid w:val="00F5355A"/>
    <w:rsid w:val="00F72AA7"/>
    <w:rsid w:val="00F81FEE"/>
    <w:rsid w:val="00FA7048"/>
    <w:rsid w:val="00FC02E1"/>
    <w:rsid w:val="00FC107C"/>
    <w:rsid w:val="00FC19CA"/>
    <w:rsid w:val="00FD4DD7"/>
    <w:rsid w:val="15A25A68"/>
    <w:rsid w:val="2DAB64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2"/>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3"/>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7"/>
    <w:unhideWhenUsed/>
    <w:qFormat/>
    <w:uiPriority w:val="99"/>
    <w:pPr>
      <w:tabs>
        <w:tab w:val="center" w:pos="4513"/>
        <w:tab w:val="right" w:pos="9026"/>
      </w:tabs>
      <w:spacing w:after="0" w:line="240" w:lineRule="auto"/>
    </w:pPr>
  </w:style>
  <w:style w:type="paragraph" w:styleId="5">
    <w:name w:val="header"/>
    <w:basedOn w:val="1"/>
    <w:link w:val="16"/>
    <w:unhideWhenUsed/>
    <w:qFormat/>
    <w:uiPriority w:val="99"/>
    <w:pPr>
      <w:tabs>
        <w:tab w:val="center" w:pos="4513"/>
        <w:tab w:val="right" w:pos="9026"/>
      </w:tabs>
      <w:spacing w:after="0" w:line="240" w:lineRule="auto"/>
    </w:pPr>
  </w:style>
  <w:style w:type="paragraph" w:styleId="6">
    <w:name w:val="toc 1"/>
    <w:basedOn w:val="1"/>
    <w:next w:val="1"/>
    <w:unhideWhenUsed/>
    <w:qFormat/>
    <w:uiPriority w:val="39"/>
    <w:pPr>
      <w:spacing w:after="100"/>
    </w:pPr>
  </w:style>
  <w:style w:type="paragraph" w:styleId="7">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10">
    <w:name w:val="Strong"/>
    <w:basedOn w:val="9"/>
    <w:qFormat/>
    <w:uiPriority w:val="0"/>
    <w:rPr>
      <w:b/>
    </w:rPr>
  </w:style>
  <w:style w:type="character" w:styleId="11">
    <w:name w:val="Hyperlink"/>
    <w:basedOn w:val="9"/>
    <w:unhideWhenUsed/>
    <w:qFormat/>
    <w:uiPriority w:val="99"/>
    <w:rPr>
      <w:color w:val="0563C1" w:themeColor="hyperlink"/>
      <w:u w:val="single"/>
      <w14:textFill>
        <w14:solidFill>
          <w14:schemeClr w14:val="hlink"/>
        </w14:solidFill>
      </w14:textFill>
    </w:rPr>
  </w:style>
  <w:style w:type="character" w:customStyle="1" w:styleId="12">
    <w:name w:val="Heading 1 Char"/>
    <w:basedOn w:val="9"/>
    <w:link w:val="2"/>
    <w:qFormat/>
    <w:uiPriority w:val="9"/>
    <w:rPr>
      <w:rFonts w:asciiTheme="majorHAnsi" w:hAnsiTheme="majorHAnsi" w:eastAsiaTheme="majorEastAsia" w:cstheme="majorBidi"/>
      <w:color w:val="2E75B6" w:themeColor="accent1" w:themeShade="BF"/>
      <w:sz w:val="32"/>
      <w:szCs w:val="32"/>
    </w:rPr>
  </w:style>
  <w:style w:type="character" w:customStyle="1" w:styleId="13">
    <w:name w:val="Heading 2 Char"/>
    <w:basedOn w:val="9"/>
    <w:link w:val="3"/>
    <w:qFormat/>
    <w:uiPriority w:val="9"/>
    <w:rPr>
      <w:rFonts w:asciiTheme="majorHAnsi" w:hAnsiTheme="majorHAnsi" w:eastAsiaTheme="majorEastAsia" w:cstheme="majorBidi"/>
      <w:color w:val="2E75B6" w:themeColor="accent1" w:themeShade="BF"/>
      <w:sz w:val="26"/>
      <w:szCs w:val="26"/>
    </w:rPr>
  </w:style>
  <w:style w:type="paragraph" w:styleId="14">
    <w:name w:val="List Paragraph"/>
    <w:basedOn w:val="1"/>
    <w:qFormat/>
    <w:uiPriority w:val="34"/>
    <w:pPr>
      <w:ind w:left="720"/>
      <w:contextualSpacing/>
    </w:pPr>
  </w:style>
  <w:style w:type="paragraph" w:customStyle="1" w:styleId="15">
    <w:name w:val="TOC Heading"/>
    <w:basedOn w:val="2"/>
    <w:next w:val="1"/>
    <w:unhideWhenUsed/>
    <w:qFormat/>
    <w:uiPriority w:val="39"/>
    <w:pPr>
      <w:outlineLvl w:val="9"/>
    </w:pPr>
    <w:rPr>
      <w:lang w:val="en-US"/>
    </w:rPr>
  </w:style>
  <w:style w:type="character" w:customStyle="1" w:styleId="16">
    <w:name w:val="Header Char"/>
    <w:basedOn w:val="9"/>
    <w:link w:val="5"/>
    <w:qFormat/>
    <w:uiPriority w:val="99"/>
  </w:style>
  <w:style w:type="character" w:customStyle="1" w:styleId="17">
    <w:name w:val="Footer Char"/>
    <w:basedOn w:val="9"/>
    <w:link w:val="4"/>
    <w:qFormat/>
    <w:uiPriority w:val="99"/>
  </w:style>
  <w:style w:type="character" w:customStyle="1" w:styleId="18">
    <w:name w:val="Unresolved Mention"/>
    <w:basedOn w:val="9"/>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09D04E-DC4C-4F0B-8DA4-43DA9571DEAA}">
  <ds:schemaRefs/>
</ds:datastoreItem>
</file>

<file path=docProps/app.xml><?xml version="1.0" encoding="utf-8"?>
<Properties xmlns="http://schemas.openxmlformats.org/officeDocument/2006/extended-properties" xmlns:vt="http://schemas.openxmlformats.org/officeDocument/2006/docPropsVTypes">
  <Template>Normal</Template>
  <Pages>23</Pages>
  <Words>5142</Words>
  <Characters>33115</Characters>
  <Lines>509</Lines>
  <Paragraphs>121</Paragraphs>
  <TotalTime>14</TotalTime>
  <ScaleCrop>false</ScaleCrop>
  <LinksUpToDate>false</LinksUpToDate>
  <CharactersWithSpaces>38136</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2023-05-26T08:18:00Z</dcterms:created>
  <dc:creator>35044</dc:creator>
  <cp:lastModifiedBy>Vince Liao</cp:lastModifiedBy>
  <dcterms:modified xsi:type="dcterms:W3CDTF">2023-07-21T19:14:39Z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f15d5bc6c0117e5a593485de5d042dec7adc7f876556a1cea8504eadce49699e</vt:lpwstr>
  </property>
  <property fmtid="{D5CDD505-2E9C-101B-9397-08002B2CF9AE}" pid="3" name="KSOProductBuildVer">
    <vt:lpwstr>2052-12.1.0.15120</vt:lpwstr>
  </property>
  <property fmtid="{D5CDD505-2E9C-101B-9397-08002B2CF9AE}" pid="4" name="ICV">
    <vt:lpwstr>535F6C62C808411687540F7C55E22DA0_13</vt:lpwstr>
  </property>
</Properties>
</file>