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4DCAB" w14:textId="1593AC24" w:rsidR="00794260" w:rsidRDefault="005C0858">
      <w:r>
        <w:rPr>
          <w:noProof/>
        </w:rPr>
        <w:drawing>
          <wp:inline distT="0" distB="0" distL="0" distR="0" wp14:anchorId="5D3F8EEF" wp14:editId="0DA29FF5">
            <wp:extent cx="5731510" cy="1656715"/>
            <wp:effectExtent l="0" t="0" r="2540" b="635"/>
            <wp:docPr id="38542287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422872"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656715"/>
                    </a:xfrm>
                    <a:prstGeom prst="rect">
                      <a:avLst/>
                    </a:prstGeom>
                    <a:noFill/>
                  </pic:spPr>
                </pic:pic>
              </a:graphicData>
            </a:graphic>
          </wp:inline>
        </w:drawing>
      </w:r>
    </w:p>
    <w:p w14:paraId="5A434D65" w14:textId="77777777" w:rsidR="00922FFE" w:rsidRPr="002867A7" w:rsidRDefault="00922FFE" w:rsidP="00922FFE">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 xml:space="preserve">MODULE NAME: </w:t>
      </w:r>
      <w:r>
        <w:rPr>
          <w:rFonts w:ascii="Arial" w:hAnsi="Arial" w:cs="Arial"/>
          <w:kern w:val="0"/>
          <w:sz w:val="36"/>
          <w:szCs w:val="36"/>
          <w:u w:val="single"/>
          <w14:ligatures w14:val="none"/>
        </w:rPr>
        <w:t xml:space="preserve">COMMUNITY ENGAGEMENT </w:t>
      </w:r>
    </w:p>
    <w:p w14:paraId="62FD07D0" w14:textId="77777777" w:rsidR="00922FFE" w:rsidRDefault="00922FFE" w:rsidP="00922FFE">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MODULE CODE: LCBB400</w:t>
      </w:r>
      <w:r>
        <w:rPr>
          <w:rFonts w:ascii="Arial" w:hAnsi="Arial" w:cs="Arial"/>
          <w:kern w:val="0"/>
          <w:sz w:val="36"/>
          <w:szCs w:val="36"/>
          <w:u w:val="single"/>
          <w14:ligatures w14:val="none"/>
        </w:rPr>
        <w:t>2</w:t>
      </w:r>
    </w:p>
    <w:p w14:paraId="20219486" w14:textId="77777777" w:rsidR="00922FFE" w:rsidRDefault="00922FFE" w:rsidP="00922FFE">
      <w:pPr>
        <w:tabs>
          <w:tab w:val="left" w:pos="1720"/>
        </w:tabs>
        <w:jc w:val="center"/>
        <w:rPr>
          <w:rFonts w:ascii="Arial" w:hAnsi="Arial" w:cs="Arial"/>
          <w:kern w:val="0"/>
          <w:sz w:val="36"/>
          <w:szCs w:val="36"/>
          <w:u w:val="single"/>
          <w14:ligatures w14:val="none"/>
        </w:rPr>
      </w:pPr>
    </w:p>
    <w:p w14:paraId="434BA9FA" w14:textId="77777777" w:rsidR="00922FFE" w:rsidRDefault="00922FFE" w:rsidP="00922FFE">
      <w:pPr>
        <w:tabs>
          <w:tab w:val="left" w:pos="1720"/>
        </w:tabs>
        <w:jc w:val="center"/>
        <w:rPr>
          <w:rFonts w:ascii="Arial" w:hAnsi="Arial" w:cs="Arial"/>
          <w:kern w:val="0"/>
          <w:sz w:val="36"/>
          <w:szCs w:val="36"/>
          <w:u w:val="single"/>
          <w14:ligatures w14:val="none"/>
        </w:rPr>
      </w:pPr>
    </w:p>
    <w:p w14:paraId="48C4B8BB" w14:textId="77777777" w:rsidR="00922FFE" w:rsidRDefault="00922FFE" w:rsidP="00922FFE">
      <w:pPr>
        <w:tabs>
          <w:tab w:val="left" w:pos="1720"/>
        </w:tabs>
        <w:jc w:val="center"/>
        <w:rPr>
          <w:rFonts w:ascii="Arial" w:hAnsi="Arial" w:cs="Arial"/>
          <w:kern w:val="0"/>
          <w:sz w:val="36"/>
          <w:szCs w:val="36"/>
          <w:u w:val="single"/>
          <w14:ligatures w14:val="none"/>
        </w:rPr>
      </w:pPr>
    </w:p>
    <w:p w14:paraId="3DEFC0C4" w14:textId="062DF1FA" w:rsidR="00922FFE" w:rsidRDefault="00922FFE" w:rsidP="00922FFE">
      <w:pPr>
        <w:jc w:val="center"/>
        <w:rPr>
          <w:rFonts w:ascii="Arial" w:hAnsi="Arial" w:cs="Arial"/>
          <w:b/>
          <w:bCs/>
          <w:sz w:val="44"/>
          <w:szCs w:val="44"/>
        </w:rPr>
      </w:pPr>
      <w:r w:rsidRPr="002867A7">
        <w:rPr>
          <w:rFonts w:ascii="Arial" w:hAnsi="Arial" w:cs="Arial"/>
          <w:b/>
          <w:bCs/>
          <w:sz w:val="44"/>
          <w:szCs w:val="44"/>
        </w:rPr>
        <w:t xml:space="preserve">TOPIC: </w:t>
      </w:r>
      <w:r w:rsidR="00A45D36">
        <w:rPr>
          <w:rFonts w:ascii="Arial" w:hAnsi="Arial" w:cs="Arial"/>
          <w:b/>
          <w:bCs/>
          <w:sz w:val="44"/>
          <w:szCs w:val="44"/>
        </w:rPr>
        <w:t xml:space="preserve">REFLECTIVE EVALUATION </w:t>
      </w:r>
    </w:p>
    <w:p w14:paraId="31C2E915" w14:textId="77777777" w:rsidR="00922FFE" w:rsidRDefault="00922FFE" w:rsidP="00922FFE">
      <w:pPr>
        <w:jc w:val="center"/>
        <w:rPr>
          <w:rFonts w:ascii="Arial" w:hAnsi="Arial" w:cs="Arial"/>
          <w:b/>
          <w:bCs/>
          <w:sz w:val="44"/>
          <w:szCs w:val="44"/>
        </w:rPr>
      </w:pPr>
    </w:p>
    <w:p w14:paraId="1D74A837" w14:textId="77777777" w:rsidR="00922FFE" w:rsidRDefault="00922FFE" w:rsidP="00922FFE">
      <w:pPr>
        <w:jc w:val="center"/>
        <w:rPr>
          <w:rFonts w:ascii="Arial" w:hAnsi="Arial" w:cs="Arial"/>
          <w:b/>
          <w:bCs/>
          <w:sz w:val="44"/>
          <w:szCs w:val="44"/>
        </w:rPr>
      </w:pPr>
    </w:p>
    <w:p w14:paraId="1F661ACD" w14:textId="77777777" w:rsidR="00922FFE" w:rsidRDefault="00922FFE" w:rsidP="00922FFE">
      <w:pPr>
        <w:jc w:val="center"/>
        <w:rPr>
          <w:rFonts w:ascii="Arial" w:hAnsi="Arial" w:cs="Arial"/>
          <w:b/>
          <w:bCs/>
          <w:sz w:val="44"/>
          <w:szCs w:val="44"/>
        </w:rPr>
      </w:pPr>
    </w:p>
    <w:p w14:paraId="2B1EF5A1" w14:textId="77777777" w:rsidR="00922FFE" w:rsidRPr="002867A7" w:rsidRDefault="00922FFE" w:rsidP="00922FFE">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STUDENT NAME: LYUBOMIR MIHAYLOV</w:t>
      </w:r>
    </w:p>
    <w:p w14:paraId="5DC1DC15" w14:textId="77777777" w:rsidR="00922FFE" w:rsidRPr="002867A7" w:rsidRDefault="00922FFE" w:rsidP="00922FFE">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STUDENT NUMBER: 2029614</w:t>
      </w:r>
    </w:p>
    <w:p w14:paraId="7124ED1D" w14:textId="77777777" w:rsidR="00922FFE" w:rsidRPr="002867A7" w:rsidRDefault="00922FFE" w:rsidP="00922FFE">
      <w:pPr>
        <w:jc w:val="center"/>
        <w:rPr>
          <w:rFonts w:ascii="Arial" w:hAnsi="Arial" w:cs="Arial"/>
        </w:rPr>
      </w:pPr>
    </w:p>
    <w:p w14:paraId="30A9696C" w14:textId="77777777" w:rsidR="00922FFE" w:rsidRPr="002867A7" w:rsidRDefault="00922FFE" w:rsidP="00922FFE">
      <w:pPr>
        <w:jc w:val="center"/>
        <w:rPr>
          <w:rFonts w:ascii="Arial" w:hAnsi="Arial" w:cs="Arial"/>
        </w:rPr>
      </w:pPr>
    </w:p>
    <w:p w14:paraId="6E3E1FAF" w14:textId="77777777" w:rsidR="00922FFE" w:rsidRPr="002867A7" w:rsidRDefault="00922FFE" w:rsidP="00922FFE">
      <w:pPr>
        <w:jc w:val="center"/>
        <w:rPr>
          <w:rFonts w:ascii="Arial" w:hAnsi="Arial" w:cs="Arial"/>
        </w:rPr>
      </w:pPr>
    </w:p>
    <w:p w14:paraId="60527967" w14:textId="77777777" w:rsidR="00922FFE" w:rsidRPr="002867A7" w:rsidRDefault="00922FFE" w:rsidP="00922FFE">
      <w:pPr>
        <w:tabs>
          <w:tab w:val="left" w:pos="1720"/>
        </w:tabs>
        <w:jc w:val="center"/>
        <w:rPr>
          <w:rFonts w:ascii="Arial" w:hAnsi="Arial" w:cs="Arial"/>
          <w:b/>
          <w:bCs/>
          <w:kern w:val="0"/>
          <w:sz w:val="32"/>
          <w:szCs w:val="32"/>
          <w14:ligatures w14:val="none"/>
        </w:rPr>
      </w:pPr>
      <w:r w:rsidRPr="002867A7">
        <w:rPr>
          <w:rFonts w:ascii="Arial" w:hAnsi="Arial" w:cs="Arial"/>
          <w:b/>
          <w:bCs/>
          <w:kern w:val="0"/>
          <w:sz w:val="32"/>
          <w:szCs w:val="32"/>
          <w14:ligatures w14:val="none"/>
        </w:rPr>
        <w:t xml:space="preserve">LECTURER NAME: </w:t>
      </w:r>
      <w:r>
        <w:rPr>
          <w:rFonts w:ascii="Arial" w:hAnsi="Arial" w:cs="Arial"/>
          <w:b/>
          <w:bCs/>
          <w:kern w:val="0"/>
          <w:sz w:val="32"/>
          <w:szCs w:val="32"/>
          <w14:ligatures w14:val="none"/>
        </w:rPr>
        <w:t xml:space="preserve">NADEEM MIRZA </w:t>
      </w:r>
    </w:p>
    <w:p w14:paraId="570855EF" w14:textId="3A8C627E" w:rsidR="00922FFE" w:rsidRPr="002867A7" w:rsidRDefault="00922FFE" w:rsidP="00922FFE">
      <w:pPr>
        <w:jc w:val="center"/>
        <w:rPr>
          <w:rFonts w:ascii="Arial" w:hAnsi="Arial" w:cs="Arial"/>
          <w:b/>
          <w:bCs/>
          <w:kern w:val="0"/>
          <w:sz w:val="32"/>
          <w:szCs w:val="32"/>
          <w14:ligatures w14:val="none"/>
        </w:rPr>
      </w:pPr>
      <w:r w:rsidRPr="002867A7">
        <w:rPr>
          <w:rFonts w:ascii="Arial" w:hAnsi="Arial" w:cs="Arial"/>
          <w:b/>
          <w:bCs/>
          <w:kern w:val="0"/>
          <w:sz w:val="32"/>
          <w:szCs w:val="32"/>
          <w14:ligatures w14:val="none"/>
        </w:rPr>
        <w:t xml:space="preserve">DATE: </w:t>
      </w:r>
      <w:r>
        <w:rPr>
          <w:rFonts w:ascii="Arial" w:hAnsi="Arial" w:cs="Arial"/>
          <w:b/>
          <w:bCs/>
          <w:kern w:val="0"/>
          <w:sz w:val="32"/>
          <w:szCs w:val="32"/>
          <w14:ligatures w14:val="none"/>
        </w:rPr>
        <w:t>0</w:t>
      </w:r>
      <w:r>
        <w:rPr>
          <w:rFonts w:ascii="Arial" w:hAnsi="Arial" w:cs="Arial"/>
          <w:b/>
          <w:bCs/>
          <w:kern w:val="0"/>
          <w:sz w:val="32"/>
          <w:szCs w:val="32"/>
          <w14:ligatures w14:val="none"/>
        </w:rPr>
        <w:t>2</w:t>
      </w:r>
      <w:r w:rsidRPr="002867A7">
        <w:rPr>
          <w:rFonts w:ascii="Arial" w:hAnsi="Arial" w:cs="Arial"/>
          <w:b/>
          <w:bCs/>
          <w:kern w:val="0"/>
          <w:sz w:val="32"/>
          <w:szCs w:val="32"/>
          <w14:ligatures w14:val="none"/>
        </w:rPr>
        <w:t>/0</w:t>
      </w:r>
      <w:r>
        <w:rPr>
          <w:rFonts w:ascii="Arial" w:hAnsi="Arial" w:cs="Arial"/>
          <w:b/>
          <w:bCs/>
          <w:kern w:val="0"/>
          <w:sz w:val="32"/>
          <w:szCs w:val="32"/>
          <w14:ligatures w14:val="none"/>
        </w:rPr>
        <w:t>9</w:t>
      </w:r>
      <w:r w:rsidRPr="002867A7">
        <w:rPr>
          <w:rFonts w:ascii="Arial" w:hAnsi="Arial" w:cs="Arial"/>
          <w:b/>
          <w:bCs/>
          <w:kern w:val="0"/>
          <w:sz w:val="32"/>
          <w:szCs w:val="32"/>
          <w14:ligatures w14:val="none"/>
        </w:rPr>
        <w:t>/2023</w:t>
      </w:r>
    </w:p>
    <w:p w14:paraId="366D9E88" w14:textId="77777777" w:rsidR="005C0858" w:rsidRDefault="005C0858" w:rsidP="005C0858">
      <w:pPr>
        <w:jc w:val="center"/>
      </w:pPr>
    </w:p>
    <w:p w14:paraId="5143500C" w14:textId="77777777" w:rsidR="00431AAF" w:rsidRDefault="00431AAF" w:rsidP="005C0858">
      <w:pPr>
        <w:jc w:val="center"/>
      </w:pPr>
    </w:p>
    <w:p w14:paraId="4DB50006" w14:textId="77777777" w:rsidR="00431AAF" w:rsidRDefault="00431AAF" w:rsidP="005C0858">
      <w:pPr>
        <w:jc w:val="center"/>
      </w:pPr>
    </w:p>
    <w:p w14:paraId="1EFC823B" w14:textId="77777777" w:rsidR="00431AAF" w:rsidRDefault="00431AAF" w:rsidP="005C0858">
      <w:pPr>
        <w:jc w:val="center"/>
      </w:pPr>
    </w:p>
    <w:p w14:paraId="6486DB9F" w14:textId="7B5E25FA" w:rsidR="00431AAF" w:rsidRPr="00561F6E" w:rsidRDefault="00431AAF" w:rsidP="00431AAF">
      <w:pPr>
        <w:pStyle w:val="ListParagraph"/>
        <w:numPr>
          <w:ilvl w:val="0"/>
          <w:numId w:val="1"/>
        </w:numPr>
        <w:jc w:val="both"/>
        <w:rPr>
          <w:b/>
          <w:bCs/>
          <w:sz w:val="24"/>
          <w:szCs w:val="24"/>
        </w:rPr>
      </w:pPr>
      <w:r w:rsidRPr="00561F6E">
        <w:rPr>
          <w:b/>
          <w:bCs/>
          <w:sz w:val="24"/>
          <w:szCs w:val="24"/>
        </w:rPr>
        <w:lastRenderedPageBreak/>
        <w:t xml:space="preserve">INTRODUCTION </w:t>
      </w:r>
    </w:p>
    <w:p w14:paraId="727CE908" w14:textId="77777777" w:rsidR="00431AAF" w:rsidRDefault="00431AAF" w:rsidP="00431AAF">
      <w:pPr>
        <w:pStyle w:val="ListParagraph"/>
        <w:jc w:val="both"/>
        <w:rPr>
          <w:sz w:val="24"/>
          <w:szCs w:val="24"/>
        </w:rPr>
      </w:pPr>
    </w:p>
    <w:p w14:paraId="41306908" w14:textId="614C4CD8" w:rsidR="00941BB1" w:rsidRDefault="00941BB1" w:rsidP="00431AAF">
      <w:pPr>
        <w:pStyle w:val="ListParagraph"/>
        <w:jc w:val="both"/>
        <w:rPr>
          <w:sz w:val="24"/>
          <w:szCs w:val="24"/>
        </w:rPr>
      </w:pPr>
      <w:r>
        <w:rPr>
          <w:sz w:val="24"/>
          <w:szCs w:val="24"/>
        </w:rPr>
        <w:t xml:space="preserve">  </w:t>
      </w:r>
      <w:r w:rsidRPr="00941BB1">
        <w:rPr>
          <w:sz w:val="24"/>
          <w:szCs w:val="24"/>
        </w:rPr>
        <w:t>Citizen Power Peterborough (CPP) is a three-year project produced by the Royal Society for the encouragement of Arts, Manufactures, and Commerce (RSA) in partnership with Peterborough City Council (PCC) and the organisation Arts Council England East (ACE).</w:t>
      </w:r>
      <w:r w:rsidR="00CF12AD">
        <w:rPr>
          <w:sz w:val="24"/>
          <w:szCs w:val="24"/>
        </w:rPr>
        <w:t xml:space="preserve"> </w:t>
      </w:r>
      <w:r w:rsidR="00CF12AD" w:rsidRPr="00CF12AD">
        <w:rPr>
          <w:sz w:val="24"/>
          <w:szCs w:val="24"/>
        </w:rPr>
        <w:t>The project embodies the Big Society and localism ideology, supporting stronger, more engaged communities that may not only shape and influence decisions that directly affect them, but also be supported to become actively involved in order to make a good difference.</w:t>
      </w:r>
      <w:r w:rsidR="00A602CC">
        <w:rPr>
          <w:sz w:val="24"/>
          <w:szCs w:val="24"/>
        </w:rPr>
        <w:t xml:space="preserve"> </w:t>
      </w:r>
      <w:r w:rsidR="00A602CC" w:rsidRPr="00A602CC">
        <w:rPr>
          <w:sz w:val="24"/>
          <w:szCs w:val="24"/>
        </w:rPr>
        <w:t>The greatest asset of this project is that it is completely inclusive, all members of the community of all ages and backgrounds will find something to engage with inside Citizen Power, from schoolchildren to their teachers and parents, all the way up to marginalised groups and the elderly</w:t>
      </w:r>
      <w:r w:rsidR="0028347C">
        <w:rPr>
          <w:sz w:val="24"/>
          <w:szCs w:val="24"/>
        </w:rPr>
        <w:t xml:space="preserve">. </w:t>
      </w:r>
      <w:r w:rsidR="00715F9C">
        <w:rPr>
          <w:sz w:val="24"/>
          <w:szCs w:val="24"/>
        </w:rPr>
        <w:t xml:space="preserve"> </w:t>
      </w:r>
      <w:r w:rsidR="00525CD4" w:rsidRPr="00525CD4">
        <w:rPr>
          <w:sz w:val="24"/>
          <w:szCs w:val="24"/>
        </w:rPr>
        <w:t>A significant percentage of the local population was actively involved in the programme. With the goal of strengthening ties to the local community, increasing participation, and encouraging new approaches to public service, 1,497 residents of the Peterborough area participated in the Citizen Power Peterborough programme.</w:t>
      </w:r>
      <w:r w:rsidR="00BF2C3F" w:rsidRPr="00BF2C3F">
        <w:t xml:space="preserve"> </w:t>
      </w:r>
      <w:r w:rsidR="00BF2C3F" w:rsidRPr="00BF2C3F">
        <w:rPr>
          <w:sz w:val="24"/>
          <w:szCs w:val="24"/>
        </w:rPr>
        <w:t>The project had emergent qualities because it included seven different strands of activity. These strands reflected the partners' interests, talents, and objectives, and they were allowed to develop independently in terms of method and timing. The outcomes of these strands and their varied degrees of success will be examined in the following section.</w:t>
      </w:r>
    </w:p>
    <w:p w14:paraId="1D1E4768" w14:textId="77777777" w:rsidR="00BF2C3F" w:rsidRDefault="00BF2C3F" w:rsidP="00431AAF">
      <w:pPr>
        <w:pStyle w:val="ListParagraph"/>
        <w:jc w:val="both"/>
        <w:rPr>
          <w:sz w:val="24"/>
          <w:szCs w:val="24"/>
        </w:rPr>
      </w:pPr>
    </w:p>
    <w:p w14:paraId="5B0A2F9E" w14:textId="766C7B91" w:rsidR="00BF2C3F" w:rsidRPr="00561F6E" w:rsidRDefault="008920E4" w:rsidP="00BF2C3F">
      <w:pPr>
        <w:pStyle w:val="ListParagraph"/>
        <w:numPr>
          <w:ilvl w:val="0"/>
          <w:numId w:val="1"/>
        </w:numPr>
        <w:jc w:val="both"/>
        <w:rPr>
          <w:b/>
          <w:bCs/>
          <w:sz w:val="24"/>
          <w:szCs w:val="24"/>
        </w:rPr>
      </w:pPr>
      <w:r w:rsidRPr="00561F6E">
        <w:rPr>
          <w:b/>
          <w:bCs/>
          <w:sz w:val="24"/>
          <w:szCs w:val="24"/>
        </w:rPr>
        <w:t xml:space="preserve">ANALYSIS OF THE PROJECT </w:t>
      </w:r>
    </w:p>
    <w:p w14:paraId="728F4F13" w14:textId="77777777" w:rsidR="008920E4" w:rsidRDefault="008920E4" w:rsidP="008920E4">
      <w:pPr>
        <w:pStyle w:val="ListParagraph"/>
        <w:jc w:val="both"/>
        <w:rPr>
          <w:sz w:val="24"/>
          <w:szCs w:val="24"/>
        </w:rPr>
      </w:pPr>
    </w:p>
    <w:p w14:paraId="76828BEF" w14:textId="6F6DEB16" w:rsidR="008920E4" w:rsidRDefault="001F7AE2" w:rsidP="008920E4">
      <w:pPr>
        <w:pStyle w:val="ListParagraph"/>
        <w:jc w:val="both"/>
        <w:rPr>
          <w:sz w:val="24"/>
          <w:szCs w:val="24"/>
        </w:rPr>
      </w:pPr>
      <w:r>
        <w:rPr>
          <w:sz w:val="24"/>
          <w:szCs w:val="24"/>
        </w:rPr>
        <w:t xml:space="preserve">  </w:t>
      </w:r>
      <w:r w:rsidRPr="001F7AE2">
        <w:rPr>
          <w:sz w:val="24"/>
          <w:szCs w:val="24"/>
        </w:rPr>
        <w:t>The Innovation Forum is the first of seven projects under Citizen Power Peterborough, and it has had a significant cultural influence and delivered substantial benefits. The Greater Peterborough Partnership (GPP), Peterborough's local strategic partnership, announced the Single Delivery Plan, a 10-year reform agenda. This strategy aims to make fundamental changes to the culture of public service delivery throughout the city.</w:t>
      </w:r>
      <w:r w:rsidR="00DF5636" w:rsidRPr="00DF5636">
        <w:t xml:space="preserve"> </w:t>
      </w:r>
      <w:r w:rsidR="00DF5636" w:rsidRPr="00DF5636">
        <w:rPr>
          <w:sz w:val="24"/>
          <w:szCs w:val="24"/>
        </w:rPr>
        <w:t xml:space="preserve">Forum activities, Learning Groups, Conversations, and Dialogue in Actions were all part of the programme.  The degree of participation in the programme was encouraging. One of the most noteworthy developments is that the forum members have asked and are carrying out a second phase. This second phase had a larger and more diverse membership </w:t>
      </w:r>
      <w:r w:rsidR="00DF5636" w:rsidRPr="00DF5636">
        <w:rPr>
          <w:sz w:val="24"/>
          <w:szCs w:val="24"/>
        </w:rPr>
        <w:t>and last</w:t>
      </w:r>
      <w:r w:rsidR="00DF5636" w:rsidRPr="00DF5636">
        <w:rPr>
          <w:sz w:val="24"/>
          <w:szCs w:val="24"/>
        </w:rPr>
        <w:t xml:space="preserve"> another year. Attendance at all organised activities was regularly at or above 75%. As a result of connections or activities inside the forum, numerous smaller partnerships were formed. These collaborations were self-selected and worked on a variety of projects. Similarly, most members said that their new contacts were beneficial to their day employment, as they were receiving support and new ideas.</w:t>
      </w:r>
      <w:r w:rsidR="00A524B8" w:rsidRPr="00A524B8">
        <w:t xml:space="preserve"> </w:t>
      </w:r>
      <w:r w:rsidR="00A524B8" w:rsidRPr="00A524B8">
        <w:rPr>
          <w:sz w:val="24"/>
          <w:szCs w:val="24"/>
        </w:rPr>
        <w:t xml:space="preserve">The lessons that are learned are that the method of creative practise demands regular practise and persistence in order to become imprinted. It is critical to emphasise the compelling justification for this novel strategy on a regular basis. Effective external facilitation is critical in placing this activity in its proper context. It necessitates a careful and expert approach. To make a real influence, the forum needed to allow enough time to adopt improvements in their strategy. Due to time </w:t>
      </w:r>
      <w:r w:rsidR="00A524B8" w:rsidRPr="00A524B8">
        <w:rPr>
          <w:sz w:val="24"/>
          <w:szCs w:val="24"/>
        </w:rPr>
        <w:lastRenderedPageBreak/>
        <w:t>limits, participants were occasionally forced to withdraw and then rejoin the debate. Senior leaders' consistent attendance is critical in attracting and retaining others' engagement. In order to accurately track progress and analyse impact, meaningful measuring techniques are required.</w:t>
      </w:r>
    </w:p>
    <w:p w14:paraId="00E33061" w14:textId="38C27D80" w:rsidR="00BE784D" w:rsidRDefault="00BE784D" w:rsidP="008920E4">
      <w:pPr>
        <w:pStyle w:val="ListParagraph"/>
        <w:jc w:val="both"/>
        <w:rPr>
          <w:sz w:val="24"/>
          <w:szCs w:val="24"/>
        </w:rPr>
      </w:pPr>
      <w:r>
        <w:rPr>
          <w:sz w:val="24"/>
          <w:szCs w:val="24"/>
        </w:rPr>
        <w:t xml:space="preserve">  </w:t>
      </w:r>
      <w:r w:rsidRPr="00BE784D">
        <w:rPr>
          <w:sz w:val="24"/>
          <w:szCs w:val="24"/>
        </w:rPr>
        <w:t>The project's next segment is Arts and Social Change, investigated the role of imagination and art in creating fresh relationships between individuals and their local communities in Peterborough, with the objective of increasing engagement in community life. The initiative enlisted the help of 457 citizens and local artists. The programme increased local arts involvement by establishing pop-up galleries in various locations throughout the city.</w:t>
      </w:r>
      <w:r w:rsidR="009F2D89" w:rsidRPr="009F2D89">
        <w:t xml:space="preserve"> </w:t>
      </w:r>
      <w:r w:rsidR="009F2D89" w:rsidRPr="009F2D89">
        <w:rPr>
          <w:sz w:val="24"/>
          <w:szCs w:val="24"/>
        </w:rPr>
        <w:t>In addition, new partnerships were developed across many art forms, resulting in the formation of Creative Peterborough, a cross-art form network. The city's arts scene, particularly Arts and Social Change, has seen a substantial surge in community-based participation programmes. 14 artists who took part in the project expressed a wish to be a part of a similar endeavour in the future. Networking increased participants' self-efficacy, creating a stronger sense of belonging and the perception that they were supported and respected by their own group.</w:t>
      </w:r>
      <w:r w:rsidR="00225DC0" w:rsidRPr="00225DC0">
        <w:t xml:space="preserve"> </w:t>
      </w:r>
      <w:r w:rsidR="00225DC0" w:rsidRPr="00225DC0">
        <w:rPr>
          <w:sz w:val="24"/>
          <w:szCs w:val="24"/>
        </w:rPr>
        <w:t>Individuals from disadvantaged or vulnerable groups, as well as those with little or no prior experience in art, demonstrated considerable personal progress in terms of self-efficacy as a result of this programme. This development was shown in their connection with art as well as their civic action. Both on-the-ground participants and the program's delivery partners have recognised possible obstacles for "outside experts." Because of the environment's inadequate arts provision, it became especially vulnerable to criticism.</w:t>
      </w:r>
      <w:r w:rsidR="00673E74" w:rsidRPr="00673E74">
        <w:t xml:space="preserve"> </w:t>
      </w:r>
      <w:r w:rsidR="00673E74" w:rsidRPr="00673E74">
        <w:rPr>
          <w:sz w:val="24"/>
          <w:szCs w:val="24"/>
        </w:rPr>
        <w:t>The importance of institutional mapping has been underlined. This strategy guaranteed that programmes did not duplicate efforts already undertaken by smaller, local partners. Instead, they were able to capitalise on the success of these local projects and offer assistance, serving as a catalyst for new areas of service.</w:t>
      </w:r>
    </w:p>
    <w:p w14:paraId="532FD5BE" w14:textId="50003189" w:rsidR="006B022F" w:rsidRDefault="006B022F" w:rsidP="008920E4">
      <w:pPr>
        <w:pStyle w:val="ListParagraph"/>
        <w:jc w:val="both"/>
        <w:rPr>
          <w:sz w:val="24"/>
          <w:szCs w:val="24"/>
        </w:rPr>
      </w:pPr>
      <w:r>
        <w:rPr>
          <w:sz w:val="24"/>
          <w:szCs w:val="24"/>
        </w:rPr>
        <w:t xml:space="preserve">  </w:t>
      </w:r>
      <w:r w:rsidRPr="006B022F">
        <w:rPr>
          <w:sz w:val="24"/>
          <w:szCs w:val="24"/>
        </w:rPr>
        <w:t xml:space="preserve">The goal of the </w:t>
      </w:r>
      <w:r>
        <w:rPr>
          <w:sz w:val="24"/>
          <w:szCs w:val="24"/>
        </w:rPr>
        <w:t xml:space="preserve">next strand </w:t>
      </w:r>
      <w:r w:rsidRPr="006B022F">
        <w:rPr>
          <w:sz w:val="24"/>
          <w:szCs w:val="24"/>
        </w:rPr>
        <w:t>Peterborough Area Based Curriculum was to create engaging learning experiences for students that use local resources, while also incorporating a diverse range of individuals and organisations in the education of young people. With the selection of five schools in the city that shown a strong commitment to curriculum redesign and active community engagement. Six hundred kids from the five schools took part, including all students from Thomas Deacon Academy, which has around 2,200 students. The project's purpose was to create educational experiences that would engage youngsters from varied backgrounds while also strengthening links between schools and the local community.</w:t>
      </w:r>
      <w:r w:rsidR="00561F6E" w:rsidRPr="00561F6E">
        <w:t xml:space="preserve"> </w:t>
      </w:r>
      <w:r w:rsidR="00561F6E" w:rsidRPr="00561F6E">
        <w:rPr>
          <w:sz w:val="24"/>
          <w:szCs w:val="24"/>
        </w:rPr>
        <w:t>Teachers noted an improvement in student literacy expertise, and students reported having a far broader understanding of the local opportunities available. The lessons acquired include that the secondary school curriculum refused not just change but also enhancement by the local community. One explanation for this is that school structures made it difficult for partners to access topic and classroom teachers. Some students' engagement with the activity was hampered by a lack of confidence in the outdoor environment as well as pre-existing negative perceptions of Peterborough.</w:t>
      </w:r>
    </w:p>
    <w:p w14:paraId="14687C40" w14:textId="29253F88" w:rsidR="00021033" w:rsidRDefault="00021033" w:rsidP="008920E4">
      <w:pPr>
        <w:pStyle w:val="ListParagraph"/>
        <w:jc w:val="both"/>
        <w:rPr>
          <w:sz w:val="24"/>
          <w:szCs w:val="24"/>
        </w:rPr>
      </w:pPr>
      <w:r>
        <w:rPr>
          <w:sz w:val="24"/>
          <w:szCs w:val="24"/>
        </w:rPr>
        <w:lastRenderedPageBreak/>
        <w:t xml:space="preserve">  </w:t>
      </w:r>
      <w:r w:rsidRPr="00021033">
        <w:rPr>
          <w:sz w:val="24"/>
          <w:szCs w:val="24"/>
        </w:rPr>
        <w:t>The Recovery Capital is the project's next strand, and it is an initiative focusing on offering effective support to those in Peterborough who are struggling with drug and/or alcohol use. It aimed to improve collaboration among diverse organisation and individuals working to address these concerns. When the experiment began, it was discovered that Peterborough had a greater population of injecting drug users than the regional norm. On several measurements, drug-related crime in the area was reported to be four times higher than the national average. Furthermore, drug and alcohol users in Peterborough had low amounts of existing recovery capital.</w:t>
      </w:r>
      <w:r w:rsidR="00C7195F" w:rsidRPr="00C7195F">
        <w:t xml:space="preserve"> </w:t>
      </w:r>
      <w:r w:rsidR="00C7195F" w:rsidRPr="00C7195F">
        <w:rPr>
          <w:sz w:val="24"/>
          <w:szCs w:val="24"/>
        </w:rPr>
        <w:t>The goal of this initiative was to promote a user-</w:t>
      </w:r>
      <w:r w:rsidR="003B3202" w:rsidRPr="00C7195F">
        <w:rPr>
          <w:sz w:val="24"/>
          <w:szCs w:val="24"/>
        </w:rPr>
        <w:t>centred</w:t>
      </w:r>
      <w:r w:rsidR="00C7195F" w:rsidRPr="00C7195F">
        <w:rPr>
          <w:sz w:val="24"/>
          <w:szCs w:val="24"/>
        </w:rPr>
        <w:t xml:space="preserve"> approach to service delivery. It was coordinated with the Peterborough Family Recovery Project, which is the local implementation of the government's Troubled Family Programme. The project entailed involving service users in the development of new solutions to improve their resilience and decrease their need on government help. The research comprised multiple stakeholder meetings, interviews with more than 150 people in Peterborough who are dealing with current difficulties, and a complete study of Peterborough's existing levels of recovery capital and social networks. The assessment's findings were subsequently presented to Peterborough City Council.</w:t>
      </w:r>
      <w:r w:rsidR="0088641F" w:rsidRPr="0088641F">
        <w:t xml:space="preserve"> </w:t>
      </w:r>
      <w:r w:rsidR="0088641F" w:rsidRPr="0088641F">
        <w:rPr>
          <w:sz w:val="24"/>
          <w:szCs w:val="24"/>
        </w:rPr>
        <w:t>An online support group was formed with the goal of better understanding the recovery community, creating community ties, and providing good role models. The programme provides recovery coaching training to a wide range of people, including convicts, service users, mental health professionals, and volunteers like the Samaritans. All of the participants interviewed for the evaluation reported feeling more confident and actively utilising the new skills and strategies they learned during the session.</w:t>
      </w:r>
      <w:r w:rsidR="001F79E6" w:rsidRPr="001F79E6">
        <w:t xml:space="preserve"> </w:t>
      </w:r>
      <w:r w:rsidR="001F79E6" w:rsidRPr="001F79E6">
        <w:rPr>
          <w:sz w:val="24"/>
          <w:szCs w:val="24"/>
        </w:rPr>
        <w:t>The lesson to be learned is that recovering drug users, who are frequently excluded in society, may be very inspiring and passionate civic innovators. For this to happen, local agencies must first recognise and value them as vital social assets. Changing one's perspective can be difficult and requires a lot of help, especially in the early phases of engagement. Workers on the front lines must have the required ability, resources, incentives, and support to innovate effectively. This requires making system reforms in drug treatment services a key organisational priority, from the top down.</w:t>
      </w:r>
    </w:p>
    <w:p w14:paraId="2A07F63D" w14:textId="36DDF936" w:rsidR="00DD3298" w:rsidRDefault="00DD3298" w:rsidP="008920E4">
      <w:pPr>
        <w:pStyle w:val="ListParagraph"/>
        <w:jc w:val="both"/>
        <w:rPr>
          <w:sz w:val="24"/>
          <w:szCs w:val="24"/>
        </w:rPr>
      </w:pPr>
      <w:r>
        <w:rPr>
          <w:sz w:val="24"/>
          <w:szCs w:val="24"/>
        </w:rPr>
        <w:t xml:space="preserve">  </w:t>
      </w:r>
      <w:r w:rsidRPr="00DD3298">
        <w:rPr>
          <w:sz w:val="24"/>
          <w:szCs w:val="24"/>
        </w:rPr>
        <w:t> The next strand is Sustainable citizenship with the goal of this project was to foster grassroots environmental advocacy at the local level. The following were the goals for accomplishing this:  To encourage residents to lead innovative projects that promote behavioural change and make Peterborough a more sustainable community. To build a digital network that allows local volunteers to share knowledge and best practises. To increase capacity and support innovation.</w:t>
      </w:r>
      <w:r w:rsidR="00D30F38" w:rsidRPr="00D30F38">
        <w:t xml:space="preserve"> </w:t>
      </w:r>
      <w:r w:rsidR="00D30F38" w:rsidRPr="00D30F38">
        <w:rPr>
          <w:sz w:val="24"/>
          <w:szCs w:val="24"/>
        </w:rPr>
        <w:t>The project strengthened the local environmentalist network. Individuals created new contacts during practically every meeting, which proved useful in solving diverse requirements. The takeaway is that Peterborough has valuable but frequently underutilised resources in the shape of environmental volunteers. These individuals have the ability to contribute significantly to the council's Environmental Capital agenda. Collaboration is essential for the development of new ideas. However, the voluntary sector in Peterborough is currently fragmented, with little chances for individual help and learning.</w:t>
      </w:r>
    </w:p>
    <w:p w14:paraId="182EBFF2" w14:textId="74EA9C9F" w:rsidR="00FE7CF3" w:rsidRDefault="00FE7CF3" w:rsidP="008920E4">
      <w:pPr>
        <w:pStyle w:val="ListParagraph"/>
        <w:jc w:val="both"/>
        <w:rPr>
          <w:sz w:val="24"/>
          <w:szCs w:val="24"/>
        </w:rPr>
      </w:pPr>
      <w:r>
        <w:rPr>
          <w:sz w:val="24"/>
          <w:szCs w:val="24"/>
        </w:rPr>
        <w:lastRenderedPageBreak/>
        <w:t xml:space="preserve">  </w:t>
      </w:r>
      <w:r w:rsidRPr="00FE7CF3">
        <w:rPr>
          <w:sz w:val="24"/>
          <w:szCs w:val="24"/>
        </w:rPr>
        <w:t>The next project, Change Makers, aims to comprehend and analyse individuals' potential to actively participate in civic and social activities. Access to a reservoir of experts and knowledge on specific topics or local locations is one of the perks for the local authority. This is an excellent resource for seeking help and direction. Furthermore, the local government can use this network as a sounding board for new ideas and plans, gaining comments and input from a variety of people. Furthermore, the network allows for the formation of partnerships and joint ventures, allowing the local government to interact with others in the implementation of projects or initiatives.</w:t>
      </w:r>
      <w:r w:rsidR="008D6B29" w:rsidRPr="008D6B29">
        <w:t xml:space="preserve"> </w:t>
      </w:r>
      <w:r w:rsidR="008D6B29" w:rsidRPr="008D6B29">
        <w:rPr>
          <w:sz w:val="24"/>
          <w:szCs w:val="24"/>
        </w:rPr>
        <w:t>Ultimately, the network acts as a conduit for successfully transmitting information and messages throughout the city, ensuring that critical updates reach their intended audience. The network plan was occasionally overly complex, which was the lesson learned. Rather than participating in the scheme, over 100 local non-governmental organisations were involved. Many participants showed a great desire to network and connect with like-minded individuals from other industries and organisations that they rarely encounter in their daily routines during the workshop, which focused on addressing local concerns.</w:t>
      </w:r>
    </w:p>
    <w:p w14:paraId="2E4FCBEE" w14:textId="77777777" w:rsidR="00BC213F" w:rsidRDefault="00BC213F" w:rsidP="008920E4">
      <w:pPr>
        <w:pStyle w:val="ListParagraph"/>
        <w:jc w:val="both"/>
        <w:rPr>
          <w:sz w:val="24"/>
          <w:szCs w:val="24"/>
        </w:rPr>
      </w:pPr>
    </w:p>
    <w:p w14:paraId="67D8E988" w14:textId="53A1B42D" w:rsidR="00BC213F" w:rsidRPr="004F351B" w:rsidRDefault="00BC213F" w:rsidP="00BC213F">
      <w:pPr>
        <w:pStyle w:val="ListParagraph"/>
        <w:numPr>
          <w:ilvl w:val="0"/>
          <w:numId w:val="1"/>
        </w:numPr>
        <w:jc w:val="both"/>
        <w:rPr>
          <w:b/>
          <w:bCs/>
          <w:sz w:val="24"/>
          <w:szCs w:val="24"/>
        </w:rPr>
      </w:pPr>
      <w:r w:rsidRPr="004F351B">
        <w:rPr>
          <w:b/>
          <w:bCs/>
          <w:sz w:val="24"/>
          <w:szCs w:val="24"/>
        </w:rPr>
        <w:t xml:space="preserve">CONCLUSION </w:t>
      </w:r>
    </w:p>
    <w:p w14:paraId="3251A6F7" w14:textId="77777777" w:rsidR="00BC213F" w:rsidRDefault="00BC213F" w:rsidP="00BC213F">
      <w:pPr>
        <w:pStyle w:val="ListParagraph"/>
        <w:jc w:val="both"/>
        <w:rPr>
          <w:sz w:val="24"/>
          <w:szCs w:val="24"/>
        </w:rPr>
      </w:pPr>
    </w:p>
    <w:p w14:paraId="023F4530" w14:textId="45E7711B" w:rsidR="00BC213F" w:rsidRDefault="002F7704" w:rsidP="00BC213F">
      <w:pPr>
        <w:pStyle w:val="ListParagraph"/>
        <w:jc w:val="both"/>
        <w:rPr>
          <w:sz w:val="24"/>
          <w:szCs w:val="24"/>
        </w:rPr>
      </w:pPr>
      <w:r w:rsidRPr="002F7704">
        <w:rPr>
          <w:sz w:val="24"/>
          <w:szCs w:val="24"/>
        </w:rPr>
        <w:t>Citizen Power Peterborough was founded on two fundamental principles: an evaluation of present hurdles and a commitment to participation as active citizens in order to contribute to a better society and a more fulfilling life. The work strands were carefully chosen and developed in order to examine the elements that lead to a transition towards a citizen-driven model of policy formulation, experimentation, and action. The primary role was to develop ways, circumstances, and opportunities that would enable Peterborough residents to build their own projects, act, and have a positive influence.</w:t>
      </w:r>
      <w:r w:rsidR="00CC5479" w:rsidRPr="00CC5479">
        <w:t xml:space="preserve"> </w:t>
      </w:r>
      <w:r w:rsidR="00CC5479" w:rsidRPr="00CC5479">
        <w:rPr>
          <w:sz w:val="24"/>
          <w:szCs w:val="24"/>
        </w:rPr>
        <w:t xml:space="preserve">Lastly, due to a variety of causes, was discovered </w:t>
      </w:r>
      <w:r w:rsidR="00CC5479" w:rsidRPr="00CC5479">
        <w:rPr>
          <w:sz w:val="24"/>
          <w:szCs w:val="24"/>
        </w:rPr>
        <w:t>that the</w:t>
      </w:r>
      <w:r w:rsidR="00CC5479" w:rsidRPr="00CC5479">
        <w:rPr>
          <w:sz w:val="24"/>
          <w:szCs w:val="24"/>
        </w:rPr>
        <w:t xml:space="preserve"> project becoming increasingly engrossed in day-to-day project administration and maintenance. As a result, cultivating a new culture of citizen empowerment while managing individual initiatives became difficult. It became evident that an ongoing evaluation mechanism that delivers real-time input is required. As a result, there were times when they couldn't respond as quickly as they would have liked when challenges </w:t>
      </w:r>
      <w:r w:rsidR="00CC5479" w:rsidRPr="00CC5479">
        <w:rPr>
          <w:sz w:val="24"/>
          <w:szCs w:val="24"/>
        </w:rPr>
        <w:t>surfaced,</w:t>
      </w:r>
      <w:r w:rsidR="00CC5479" w:rsidRPr="00CC5479">
        <w:rPr>
          <w:sz w:val="24"/>
          <w:szCs w:val="24"/>
        </w:rPr>
        <w:t xml:space="preserve"> or projects were at risk of losing momentum or focus. Using metrics in a complex domain like this comes with inherent dangers. It is usual to overestimate the number of persons participating, which is easier to measure, while underestimating the real impact they have, which is more difficult to quantify.</w:t>
      </w:r>
    </w:p>
    <w:p w14:paraId="02B378BF" w14:textId="77777777" w:rsidR="00CC5479" w:rsidRDefault="00CC5479" w:rsidP="00BC213F">
      <w:pPr>
        <w:pStyle w:val="ListParagraph"/>
        <w:jc w:val="both"/>
        <w:rPr>
          <w:sz w:val="24"/>
          <w:szCs w:val="24"/>
        </w:rPr>
      </w:pPr>
    </w:p>
    <w:p w14:paraId="439B7DEA" w14:textId="77777777" w:rsidR="00CC5479" w:rsidRDefault="00CC5479" w:rsidP="00BC213F">
      <w:pPr>
        <w:pStyle w:val="ListParagraph"/>
        <w:jc w:val="both"/>
        <w:rPr>
          <w:sz w:val="24"/>
          <w:szCs w:val="24"/>
        </w:rPr>
      </w:pPr>
    </w:p>
    <w:p w14:paraId="3B5381A5" w14:textId="77777777" w:rsidR="00CC5479" w:rsidRDefault="00CC5479" w:rsidP="00BC213F">
      <w:pPr>
        <w:pStyle w:val="ListParagraph"/>
        <w:jc w:val="both"/>
        <w:rPr>
          <w:sz w:val="24"/>
          <w:szCs w:val="24"/>
        </w:rPr>
      </w:pPr>
    </w:p>
    <w:p w14:paraId="0223605B" w14:textId="77777777" w:rsidR="00CC5479" w:rsidRDefault="00CC5479" w:rsidP="00BC213F">
      <w:pPr>
        <w:pStyle w:val="ListParagraph"/>
        <w:jc w:val="both"/>
        <w:rPr>
          <w:sz w:val="24"/>
          <w:szCs w:val="24"/>
        </w:rPr>
      </w:pPr>
    </w:p>
    <w:p w14:paraId="45A493E5" w14:textId="77777777" w:rsidR="00CC5479" w:rsidRDefault="00CC5479" w:rsidP="00BC213F">
      <w:pPr>
        <w:pStyle w:val="ListParagraph"/>
        <w:jc w:val="both"/>
        <w:rPr>
          <w:sz w:val="24"/>
          <w:szCs w:val="24"/>
        </w:rPr>
      </w:pPr>
    </w:p>
    <w:p w14:paraId="5895DFF7" w14:textId="77777777" w:rsidR="00CC5479" w:rsidRDefault="00CC5479" w:rsidP="00BC213F">
      <w:pPr>
        <w:pStyle w:val="ListParagraph"/>
        <w:jc w:val="both"/>
        <w:rPr>
          <w:sz w:val="24"/>
          <w:szCs w:val="24"/>
        </w:rPr>
      </w:pPr>
    </w:p>
    <w:p w14:paraId="767FBCAA" w14:textId="77777777" w:rsidR="00CC5479" w:rsidRDefault="00CC5479" w:rsidP="00BC213F">
      <w:pPr>
        <w:pStyle w:val="ListParagraph"/>
        <w:jc w:val="both"/>
        <w:rPr>
          <w:sz w:val="24"/>
          <w:szCs w:val="24"/>
        </w:rPr>
      </w:pPr>
    </w:p>
    <w:p w14:paraId="7CD52B5B" w14:textId="77777777" w:rsidR="00CC5479" w:rsidRDefault="00CC5479" w:rsidP="00BC213F">
      <w:pPr>
        <w:pStyle w:val="ListParagraph"/>
        <w:jc w:val="both"/>
        <w:rPr>
          <w:sz w:val="24"/>
          <w:szCs w:val="24"/>
        </w:rPr>
      </w:pPr>
    </w:p>
    <w:p w14:paraId="3476C524" w14:textId="7859CECF" w:rsidR="00CC5479" w:rsidRPr="004F351B" w:rsidRDefault="00CC5479" w:rsidP="00BC213F">
      <w:pPr>
        <w:pStyle w:val="ListParagraph"/>
        <w:jc w:val="both"/>
        <w:rPr>
          <w:b/>
          <w:bCs/>
          <w:sz w:val="24"/>
          <w:szCs w:val="24"/>
        </w:rPr>
      </w:pPr>
      <w:r w:rsidRPr="004F351B">
        <w:rPr>
          <w:b/>
          <w:bCs/>
          <w:sz w:val="24"/>
          <w:szCs w:val="24"/>
        </w:rPr>
        <w:lastRenderedPageBreak/>
        <w:t xml:space="preserve">REFERENCES </w:t>
      </w:r>
    </w:p>
    <w:p w14:paraId="01F7BE95" w14:textId="77777777" w:rsidR="00CC5479" w:rsidRDefault="00CC5479" w:rsidP="00BC213F">
      <w:pPr>
        <w:pStyle w:val="ListParagraph"/>
        <w:jc w:val="both"/>
        <w:rPr>
          <w:sz w:val="24"/>
          <w:szCs w:val="24"/>
        </w:rPr>
      </w:pPr>
    </w:p>
    <w:p w14:paraId="3F9168F8" w14:textId="38E7290A" w:rsidR="00193740" w:rsidRPr="008667A6" w:rsidRDefault="00193740" w:rsidP="00193740">
      <w:pPr>
        <w:rPr>
          <w:sz w:val="24"/>
          <w:szCs w:val="24"/>
        </w:rPr>
      </w:pPr>
      <w:r w:rsidRPr="008667A6">
        <w:rPr>
          <w:sz w:val="24"/>
          <w:szCs w:val="24"/>
        </w:rPr>
        <w:t xml:space="preserve">Citizen Power Peterborough (2013), online source, available at: </w:t>
      </w:r>
      <w:hyperlink r:id="rId6" w:history="1">
        <w:r w:rsidRPr="008667A6">
          <w:rPr>
            <w:rStyle w:val="Hyperlink"/>
            <w:sz w:val="24"/>
            <w:szCs w:val="24"/>
          </w:rPr>
          <w:t>*citizen-power-peterborough-impact-and-learning-report.pdf (thersa.org)</w:t>
        </w:r>
      </w:hyperlink>
      <w:r w:rsidRPr="008667A6">
        <w:rPr>
          <w:sz w:val="24"/>
          <w:szCs w:val="24"/>
        </w:rPr>
        <w:t xml:space="preserve"> (accessed on 18/0</w:t>
      </w:r>
      <w:r w:rsidR="008667A6" w:rsidRPr="008667A6">
        <w:rPr>
          <w:sz w:val="24"/>
          <w:szCs w:val="24"/>
        </w:rPr>
        <w:t>8</w:t>
      </w:r>
      <w:r w:rsidRPr="008667A6">
        <w:rPr>
          <w:sz w:val="24"/>
          <w:szCs w:val="24"/>
        </w:rPr>
        <w:t xml:space="preserve">/2023) </w:t>
      </w:r>
    </w:p>
    <w:p w14:paraId="1CC268C1" w14:textId="77777777" w:rsidR="008667A6" w:rsidRPr="008667A6" w:rsidRDefault="008667A6" w:rsidP="00193740">
      <w:pPr>
        <w:rPr>
          <w:sz w:val="24"/>
          <w:szCs w:val="24"/>
        </w:rPr>
      </w:pPr>
    </w:p>
    <w:p w14:paraId="6BDDC369" w14:textId="5E4B974F" w:rsidR="00465C25" w:rsidRPr="008667A6" w:rsidRDefault="00465C25" w:rsidP="00193740">
      <w:pPr>
        <w:rPr>
          <w:sz w:val="24"/>
          <w:szCs w:val="24"/>
        </w:rPr>
      </w:pPr>
      <w:r w:rsidRPr="008667A6">
        <w:rPr>
          <w:sz w:val="24"/>
          <w:szCs w:val="24"/>
        </w:rPr>
        <w:t>Citizen Power Peterborough</w:t>
      </w:r>
      <w:r w:rsidR="00FF7700" w:rsidRPr="008667A6">
        <w:rPr>
          <w:sz w:val="24"/>
          <w:szCs w:val="24"/>
        </w:rPr>
        <w:t xml:space="preserve">: A Scoping Study (2010), online source, available at: </w:t>
      </w:r>
      <w:hyperlink r:id="rId7" w:history="1">
        <w:r w:rsidR="00FF7700" w:rsidRPr="008667A6">
          <w:rPr>
            <w:rStyle w:val="Hyperlink"/>
            <w:sz w:val="24"/>
            <w:szCs w:val="24"/>
          </w:rPr>
          <w:t>https://www.thersa.org/reports/citizen-power-peterborough-a-scoping-study</w:t>
        </w:r>
      </w:hyperlink>
      <w:r w:rsidR="00FF7700" w:rsidRPr="008667A6">
        <w:rPr>
          <w:sz w:val="24"/>
          <w:szCs w:val="24"/>
        </w:rPr>
        <w:t xml:space="preserve"> (accessed on </w:t>
      </w:r>
      <w:r w:rsidR="008667A6" w:rsidRPr="008667A6">
        <w:rPr>
          <w:sz w:val="24"/>
          <w:szCs w:val="24"/>
        </w:rPr>
        <w:t xml:space="preserve">19/08/2023) </w:t>
      </w:r>
    </w:p>
    <w:p w14:paraId="4874D214" w14:textId="77777777" w:rsidR="00193740" w:rsidRPr="008667A6" w:rsidRDefault="00193740" w:rsidP="00193740">
      <w:pPr>
        <w:rPr>
          <w:sz w:val="24"/>
          <w:szCs w:val="24"/>
        </w:rPr>
      </w:pPr>
    </w:p>
    <w:p w14:paraId="44AC16E4" w14:textId="77777777" w:rsidR="00193740" w:rsidRPr="008667A6" w:rsidRDefault="00193740" w:rsidP="00193740">
      <w:pPr>
        <w:rPr>
          <w:sz w:val="24"/>
          <w:szCs w:val="24"/>
        </w:rPr>
      </w:pPr>
      <w:r w:rsidRPr="008667A6">
        <w:rPr>
          <w:sz w:val="24"/>
          <w:szCs w:val="24"/>
        </w:rPr>
        <w:t xml:space="preserve">Cuthill, M et al. (2008) “Reporting Social Outcomes of Development: An Analysis of Diverse Approaches”, The International Journal of Interdisciplinary Social Science, Vol. 3, No 6, pp. 146-150 </w:t>
      </w:r>
    </w:p>
    <w:p w14:paraId="18F70990" w14:textId="77777777" w:rsidR="00193740" w:rsidRPr="008667A6" w:rsidRDefault="00193740" w:rsidP="00193740">
      <w:pPr>
        <w:rPr>
          <w:sz w:val="24"/>
          <w:szCs w:val="24"/>
        </w:rPr>
      </w:pPr>
    </w:p>
    <w:p w14:paraId="58369FE5" w14:textId="7CB47795" w:rsidR="00193740" w:rsidRPr="008667A6" w:rsidRDefault="00193740" w:rsidP="00193740">
      <w:pPr>
        <w:rPr>
          <w:sz w:val="24"/>
          <w:szCs w:val="24"/>
        </w:rPr>
      </w:pPr>
      <w:r w:rsidRPr="008667A6">
        <w:rPr>
          <w:sz w:val="24"/>
          <w:szCs w:val="24"/>
        </w:rPr>
        <w:t xml:space="preserve">Day, G. (2006) “Community and Everyday Life”, Routledge, London, online source, available at: </w:t>
      </w:r>
      <w:hyperlink r:id="rId8" w:history="1">
        <w:r w:rsidRPr="008667A6">
          <w:rPr>
            <w:rStyle w:val="Hyperlink"/>
            <w:sz w:val="24"/>
            <w:szCs w:val="24"/>
          </w:rPr>
          <w:t>https://ebookcentral.proquest.com/lib/trinity/detail.action?docID=273709&amp;pq-origsite=primo</w:t>
        </w:r>
      </w:hyperlink>
      <w:r w:rsidRPr="008667A6">
        <w:rPr>
          <w:sz w:val="24"/>
          <w:szCs w:val="24"/>
        </w:rPr>
        <w:t xml:space="preserve"> (accessed on 18/0</w:t>
      </w:r>
      <w:r w:rsidR="008667A6" w:rsidRPr="008667A6">
        <w:rPr>
          <w:sz w:val="24"/>
          <w:szCs w:val="24"/>
        </w:rPr>
        <w:t>8</w:t>
      </w:r>
      <w:r w:rsidRPr="008667A6">
        <w:rPr>
          <w:sz w:val="24"/>
          <w:szCs w:val="24"/>
        </w:rPr>
        <w:t xml:space="preserve">/2023) </w:t>
      </w:r>
    </w:p>
    <w:p w14:paraId="42A0F214" w14:textId="77777777" w:rsidR="00193740" w:rsidRPr="008667A6" w:rsidRDefault="00193740" w:rsidP="00193740">
      <w:pPr>
        <w:rPr>
          <w:sz w:val="24"/>
          <w:szCs w:val="24"/>
        </w:rPr>
      </w:pPr>
    </w:p>
    <w:p w14:paraId="3373B398" w14:textId="24C27851" w:rsidR="00193740" w:rsidRPr="008667A6" w:rsidRDefault="00193740" w:rsidP="00193740">
      <w:pPr>
        <w:rPr>
          <w:sz w:val="24"/>
          <w:szCs w:val="24"/>
        </w:rPr>
      </w:pPr>
      <w:r w:rsidRPr="008667A6">
        <w:rPr>
          <w:sz w:val="24"/>
          <w:szCs w:val="24"/>
        </w:rPr>
        <w:t>Gilchrist, A. (2009) “The well-connected community. A network approach to community development”, 2</w:t>
      </w:r>
      <w:r w:rsidRPr="008667A6">
        <w:rPr>
          <w:sz w:val="24"/>
          <w:szCs w:val="24"/>
          <w:vertAlign w:val="superscript"/>
        </w:rPr>
        <w:t>nd</w:t>
      </w:r>
      <w:r w:rsidRPr="008667A6">
        <w:rPr>
          <w:sz w:val="24"/>
          <w:szCs w:val="24"/>
        </w:rPr>
        <w:t xml:space="preserve"> Ed., Bristol University Press, online source, available at: </w:t>
      </w:r>
      <w:hyperlink r:id="rId9" w:history="1">
        <w:r w:rsidRPr="008667A6">
          <w:rPr>
            <w:rStyle w:val="Hyperlink"/>
            <w:sz w:val="24"/>
            <w:szCs w:val="24"/>
          </w:rPr>
          <w:t>https://www-jstor-org.ezproxy.uwtsd.ac.uk/stable/j.ctt9qgrjc</w:t>
        </w:r>
      </w:hyperlink>
      <w:r w:rsidRPr="008667A6">
        <w:rPr>
          <w:sz w:val="24"/>
          <w:szCs w:val="24"/>
        </w:rPr>
        <w:t xml:space="preserve"> (accessed on 20/0</w:t>
      </w:r>
      <w:r w:rsidR="008667A6" w:rsidRPr="008667A6">
        <w:rPr>
          <w:sz w:val="24"/>
          <w:szCs w:val="24"/>
        </w:rPr>
        <w:t>8</w:t>
      </w:r>
      <w:r w:rsidRPr="008667A6">
        <w:rPr>
          <w:sz w:val="24"/>
          <w:szCs w:val="24"/>
        </w:rPr>
        <w:t>/2023)</w:t>
      </w:r>
    </w:p>
    <w:p w14:paraId="78BDAF3F" w14:textId="77777777" w:rsidR="00193740" w:rsidRPr="008667A6" w:rsidRDefault="00193740" w:rsidP="00193740">
      <w:pPr>
        <w:rPr>
          <w:sz w:val="24"/>
          <w:szCs w:val="24"/>
        </w:rPr>
      </w:pPr>
    </w:p>
    <w:p w14:paraId="1FF90CB5" w14:textId="77777777" w:rsidR="00193740" w:rsidRPr="008667A6" w:rsidRDefault="00193740" w:rsidP="00193740">
      <w:pPr>
        <w:rPr>
          <w:sz w:val="24"/>
          <w:szCs w:val="24"/>
        </w:rPr>
      </w:pPr>
      <w:r w:rsidRPr="008667A6">
        <w:rPr>
          <w:sz w:val="24"/>
          <w:szCs w:val="24"/>
        </w:rPr>
        <w:t>Hollar, D. &amp; Swain, D. (2003) “Measuring Progress: Community Indicators and the Quality of Life”, International Journal of Public Administration, Vol. 26, No 7, pp. 322- 325.</w:t>
      </w:r>
    </w:p>
    <w:p w14:paraId="3069494E" w14:textId="77777777" w:rsidR="00193740" w:rsidRPr="008667A6" w:rsidRDefault="00193740" w:rsidP="00193740">
      <w:pPr>
        <w:rPr>
          <w:sz w:val="24"/>
          <w:szCs w:val="24"/>
        </w:rPr>
      </w:pPr>
    </w:p>
    <w:p w14:paraId="522E0F19" w14:textId="77777777" w:rsidR="00193740" w:rsidRPr="008667A6" w:rsidRDefault="00193740" w:rsidP="00193740">
      <w:pPr>
        <w:rPr>
          <w:sz w:val="24"/>
          <w:szCs w:val="24"/>
        </w:rPr>
      </w:pPr>
      <w:r w:rsidRPr="008667A6">
        <w:rPr>
          <w:sz w:val="24"/>
          <w:szCs w:val="24"/>
        </w:rPr>
        <w:t xml:space="preserve">MacGregor, C &amp; King, D. (2000) “Using social indicators to Measure Community Vulnerability to Natural Hazards”, Australian Journal of Emergency Management, pp. 52-57 </w:t>
      </w:r>
    </w:p>
    <w:p w14:paraId="4C062326" w14:textId="77777777" w:rsidR="00193740" w:rsidRPr="008667A6" w:rsidRDefault="00193740" w:rsidP="00193740">
      <w:pPr>
        <w:rPr>
          <w:sz w:val="24"/>
          <w:szCs w:val="24"/>
        </w:rPr>
      </w:pPr>
    </w:p>
    <w:p w14:paraId="227F4651" w14:textId="77777777" w:rsidR="00193740" w:rsidRPr="008667A6" w:rsidRDefault="00193740" w:rsidP="00193740">
      <w:pPr>
        <w:rPr>
          <w:sz w:val="24"/>
          <w:szCs w:val="24"/>
        </w:rPr>
      </w:pPr>
      <w:r w:rsidRPr="008667A6">
        <w:rPr>
          <w:sz w:val="24"/>
          <w:szCs w:val="24"/>
        </w:rPr>
        <w:t xml:space="preserve">Manderson, L. (2005) “The social context of well-being”, Griffith Press, </w:t>
      </w:r>
      <w:proofErr w:type="spellStart"/>
      <w:r w:rsidRPr="008667A6">
        <w:rPr>
          <w:sz w:val="24"/>
          <w:szCs w:val="24"/>
        </w:rPr>
        <w:t>Netley</w:t>
      </w:r>
      <w:proofErr w:type="spellEnd"/>
      <w:r w:rsidRPr="008667A6">
        <w:rPr>
          <w:sz w:val="24"/>
          <w:szCs w:val="24"/>
        </w:rPr>
        <w:t xml:space="preserve">, pp. 5-27 </w:t>
      </w:r>
    </w:p>
    <w:p w14:paraId="07B95F48" w14:textId="77777777" w:rsidR="00193740" w:rsidRPr="008667A6" w:rsidRDefault="00193740" w:rsidP="00193740">
      <w:pPr>
        <w:rPr>
          <w:sz w:val="24"/>
          <w:szCs w:val="24"/>
        </w:rPr>
      </w:pPr>
    </w:p>
    <w:p w14:paraId="6D88F611" w14:textId="77777777" w:rsidR="00193740" w:rsidRPr="008667A6" w:rsidRDefault="00193740" w:rsidP="00193740">
      <w:pPr>
        <w:rPr>
          <w:sz w:val="24"/>
          <w:szCs w:val="24"/>
        </w:rPr>
      </w:pPr>
      <w:r w:rsidRPr="008667A6">
        <w:rPr>
          <w:sz w:val="24"/>
          <w:szCs w:val="24"/>
        </w:rPr>
        <w:t xml:space="preserve">Midgley, J. (1995) “Social Development: The Development Perspective in Social Welfare”, Sage Publications, London </w:t>
      </w:r>
    </w:p>
    <w:p w14:paraId="3A54CAC2" w14:textId="77777777" w:rsidR="00193740" w:rsidRPr="008667A6" w:rsidRDefault="00193740" w:rsidP="00193740">
      <w:pPr>
        <w:rPr>
          <w:sz w:val="24"/>
          <w:szCs w:val="24"/>
        </w:rPr>
      </w:pPr>
    </w:p>
    <w:p w14:paraId="61F3538F" w14:textId="77777777" w:rsidR="00193740" w:rsidRPr="008667A6" w:rsidRDefault="00193740" w:rsidP="00193740">
      <w:pPr>
        <w:rPr>
          <w:sz w:val="24"/>
          <w:szCs w:val="24"/>
        </w:rPr>
      </w:pPr>
      <w:r w:rsidRPr="008667A6">
        <w:rPr>
          <w:sz w:val="24"/>
          <w:szCs w:val="24"/>
        </w:rPr>
        <w:t>Pawar, M. (2014) “Social and Community Development Practice”, Sage Publications, New Delhi, pp. 5-11</w:t>
      </w:r>
    </w:p>
    <w:p w14:paraId="4ED9820B" w14:textId="77777777" w:rsidR="00193740" w:rsidRPr="008667A6" w:rsidRDefault="00193740" w:rsidP="00193740">
      <w:pPr>
        <w:rPr>
          <w:sz w:val="24"/>
          <w:szCs w:val="24"/>
        </w:rPr>
      </w:pPr>
    </w:p>
    <w:p w14:paraId="095ECBD2" w14:textId="77777777" w:rsidR="00193740" w:rsidRPr="008667A6" w:rsidRDefault="00193740" w:rsidP="00193740">
      <w:pPr>
        <w:rPr>
          <w:sz w:val="24"/>
          <w:szCs w:val="24"/>
        </w:rPr>
      </w:pPr>
      <w:proofErr w:type="spellStart"/>
      <w:r w:rsidRPr="008667A6">
        <w:rPr>
          <w:sz w:val="24"/>
          <w:szCs w:val="24"/>
        </w:rPr>
        <w:t>Sirgy</w:t>
      </w:r>
      <w:proofErr w:type="spellEnd"/>
      <w:r w:rsidRPr="008667A6">
        <w:rPr>
          <w:sz w:val="24"/>
          <w:szCs w:val="24"/>
        </w:rPr>
        <w:t>, M et al. (2006) “The-Quality-of-Life (QOL)”, Research Movement: Past, Present, and the Future, Vol. 76, No 3, pp. 342-352</w:t>
      </w:r>
    </w:p>
    <w:p w14:paraId="5C2B0214" w14:textId="77777777" w:rsidR="00CC5479" w:rsidRPr="008667A6" w:rsidRDefault="00CC5479" w:rsidP="00BC213F">
      <w:pPr>
        <w:pStyle w:val="ListParagraph"/>
        <w:jc w:val="both"/>
        <w:rPr>
          <w:sz w:val="24"/>
          <w:szCs w:val="24"/>
        </w:rPr>
      </w:pPr>
    </w:p>
    <w:sectPr w:rsidR="00CC5479" w:rsidRPr="008667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271DB"/>
    <w:multiLevelType w:val="hybridMultilevel"/>
    <w:tmpl w:val="EA043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1127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211"/>
    <w:rsid w:val="00013211"/>
    <w:rsid w:val="00021033"/>
    <w:rsid w:val="00193740"/>
    <w:rsid w:val="001F79E6"/>
    <w:rsid w:val="001F7AE2"/>
    <w:rsid w:val="00225DC0"/>
    <w:rsid w:val="0028347C"/>
    <w:rsid w:val="002F7704"/>
    <w:rsid w:val="003B3202"/>
    <w:rsid w:val="00431AAF"/>
    <w:rsid w:val="00465C25"/>
    <w:rsid w:val="004F351B"/>
    <w:rsid w:val="00525CD4"/>
    <w:rsid w:val="00561F6E"/>
    <w:rsid w:val="005C0858"/>
    <w:rsid w:val="00673E74"/>
    <w:rsid w:val="006B022F"/>
    <w:rsid w:val="00715F9C"/>
    <w:rsid w:val="00794260"/>
    <w:rsid w:val="008667A6"/>
    <w:rsid w:val="0088641F"/>
    <w:rsid w:val="008920E4"/>
    <w:rsid w:val="008D6B29"/>
    <w:rsid w:val="00922FFE"/>
    <w:rsid w:val="00941BB1"/>
    <w:rsid w:val="009F2D89"/>
    <w:rsid w:val="00A45D36"/>
    <w:rsid w:val="00A524B8"/>
    <w:rsid w:val="00A602CC"/>
    <w:rsid w:val="00B810B5"/>
    <w:rsid w:val="00BC213F"/>
    <w:rsid w:val="00BE784D"/>
    <w:rsid w:val="00BF2C3F"/>
    <w:rsid w:val="00C7195F"/>
    <w:rsid w:val="00CC5479"/>
    <w:rsid w:val="00CF12AD"/>
    <w:rsid w:val="00D30F38"/>
    <w:rsid w:val="00DD3298"/>
    <w:rsid w:val="00DF5636"/>
    <w:rsid w:val="00FE7CF3"/>
    <w:rsid w:val="00FF7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FBE88"/>
  <w15:chartTrackingRefBased/>
  <w15:docId w15:val="{D45F9277-F4A3-4CE6-9C1B-EC17935C7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1AAF"/>
    <w:pPr>
      <w:ind w:left="720"/>
      <w:contextualSpacing/>
    </w:pPr>
  </w:style>
  <w:style w:type="character" w:styleId="Hyperlink">
    <w:name w:val="Hyperlink"/>
    <w:basedOn w:val="DefaultParagraphFont"/>
    <w:uiPriority w:val="99"/>
    <w:unhideWhenUsed/>
    <w:rsid w:val="00193740"/>
    <w:rPr>
      <w:color w:val="0000FF"/>
      <w:u w:val="single"/>
    </w:rPr>
  </w:style>
  <w:style w:type="character" w:styleId="UnresolvedMention">
    <w:name w:val="Unresolved Mention"/>
    <w:basedOn w:val="DefaultParagraphFont"/>
    <w:uiPriority w:val="99"/>
    <w:semiHidden/>
    <w:unhideWhenUsed/>
    <w:rsid w:val="00FF77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detail.action?docID=273709&amp;pq-origsite=primo" TargetMode="External"/><Relationship Id="rId3" Type="http://schemas.openxmlformats.org/officeDocument/2006/relationships/settings" Target="settings.xml"/><Relationship Id="rId7" Type="http://schemas.openxmlformats.org/officeDocument/2006/relationships/hyperlink" Target="https://www.thersa.org/reports/citizen-power-peterborough-a-scoping-stud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rsa.org/globalassets/citizen-power-peterborough-impact-and-learning-report.pdf"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stor-org.ezproxy.uwtsd.ac.uk/stable/j.ctt9qgrj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7</Pages>
  <Words>2283</Words>
  <Characters>13014</Characters>
  <Application>Microsoft Office Word</Application>
  <DocSecurity>0</DocSecurity>
  <Lines>108</Lines>
  <Paragraphs>30</Paragraphs>
  <ScaleCrop>false</ScaleCrop>
  <Company/>
  <LinksUpToDate>false</LinksUpToDate>
  <CharactersWithSpaces>15267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39</cp:revision>
  <dcterms:created xsi:type="dcterms:W3CDTF">2023-09-01T16:56:00Z</dcterms:created>
  <dcterms:modified xsi:type="dcterms:W3CDTF">2023-09-01T18:24:00Z</dcterms:modified>
</cp:coreProperties>
</file>