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4B1" w:rsidRPr="00E93370" w:rsidRDefault="00DA51A6" w:rsidP="00DA51A6">
      <w:pPr>
        <w:jc w:val="center"/>
        <w:rPr>
          <w:rFonts w:cs="Times New Roman"/>
        </w:rPr>
      </w:pPr>
      <w:r>
        <w:rPr>
          <w:noProof/>
          <w:lang w:val="en-US"/>
        </w:rPr>
        <w:drawing>
          <wp:inline distT="0" distB="0" distL="0" distR="0" wp14:anchorId="63709645" wp14:editId="7141CD40">
            <wp:extent cx="2291379" cy="1145929"/>
            <wp:effectExtent l="0" t="0" r="0" b="0"/>
            <wp:docPr id="3" name="Picture 3"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1661" cy="1146070"/>
                    </a:xfrm>
                    <a:prstGeom prst="rect">
                      <a:avLst/>
                    </a:prstGeom>
                    <a:noFill/>
                    <a:ln>
                      <a:noFill/>
                    </a:ln>
                  </pic:spPr>
                </pic:pic>
              </a:graphicData>
            </a:graphic>
          </wp:inline>
        </w:drawing>
      </w:r>
    </w:p>
    <w:p w:rsidR="00D8246C" w:rsidRPr="00E93370" w:rsidRDefault="00D8246C">
      <w:pPr>
        <w:rPr>
          <w:rFonts w:cs="Times New Roman"/>
        </w:rPr>
      </w:pPr>
    </w:p>
    <w:p w:rsidR="00D8246C" w:rsidRPr="00E93370" w:rsidRDefault="00D8246C" w:rsidP="00D8246C">
      <w:pPr>
        <w:jc w:val="center"/>
        <w:rPr>
          <w:rFonts w:cs="Times New Roman"/>
        </w:rPr>
      </w:pPr>
    </w:p>
    <w:p w:rsidR="00D8246C" w:rsidRPr="00E93370" w:rsidRDefault="00D8246C" w:rsidP="007978FB">
      <w:pPr>
        <w:rPr>
          <w:rFonts w:cs="Times New Roman"/>
        </w:rPr>
      </w:pPr>
    </w:p>
    <w:p w:rsidR="00B06A1A" w:rsidRPr="00B03315" w:rsidRDefault="006E726B" w:rsidP="00B03315">
      <w:pPr>
        <w:jc w:val="center"/>
        <w:rPr>
          <w:rFonts w:eastAsia="Times New Roman" w:cs="Times New Roman"/>
          <w:b/>
          <w:noProof/>
          <w:color w:val="000000"/>
          <w:sz w:val="32"/>
        </w:rPr>
      </w:pPr>
      <w:r w:rsidRPr="00B03315">
        <w:rPr>
          <w:rFonts w:eastAsia="Times New Roman" w:cs="Times New Roman"/>
          <w:b/>
          <w:noProof/>
          <w:color w:val="000000"/>
          <w:sz w:val="32"/>
        </w:rPr>
        <w:t xml:space="preserve">Research </w:t>
      </w:r>
      <w:r w:rsidR="007978FB" w:rsidRPr="00B03315">
        <w:rPr>
          <w:rFonts w:eastAsia="Times New Roman" w:cs="Times New Roman"/>
          <w:b/>
          <w:noProof/>
          <w:color w:val="000000"/>
          <w:sz w:val="32"/>
        </w:rPr>
        <w:t xml:space="preserve">Title: </w:t>
      </w:r>
      <w:r w:rsidRPr="00B03315">
        <w:rPr>
          <w:rFonts w:eastAsia="Times New Roman" w:cs="Times New Roman"/>
          <w:b/>
          <w:noProof/>
          <w:color w:val="000000"/>
          <w:sz w:val="32"/>
        </w:rPr>
        <w:t>The Role of Open Banking in Consumer Money Management: A Case Study of Monzo in the UK</w:t>
      </w:r>
    </w:p>
    <w:p w:rsidR="00DA51A6" w:rsidRPr="00DA51A6" w:rsidRDefault="00DA51A6" w:rsidP="00DA51A6">
      <w:pPr>
        <w:spacing w:after="160" w:line="259" w:lineRule="auto"/>
        <w:jc w:val="center"/>
        <w:rPr>
          <w:rFonts w:cs="Times New Roman"/>
          <w:b/>
          <w:sz w:val="28"/>
        </w:rPr>
      </w:pPr>
      <w:r w:rsidRPr="00DA51A6">
        <w:rPr>
          <w:rFonts w:cs="Times New Roman"/>
          <w:b/>
          <w:sz w:val="28"/>
        </w:rPr>
        <w:t>Student name: Mahedi Hasan</w:t>
      </w:r>
    </w:p>
    <w:p w:rsidR="00B03315" w:rsidRPr="00B03315" w:rsidRDefault="00DA51A6" w:rsidP="00DA51A6">
      <w:pPr>
        <w:spacing w:after="160" w:line="259" w:lineRule="auto"/>
        <w:jc w:val="center"/>
        <w:rPr>
          <w:rFonts w:cs="Times New Roman"/>
          <w:b/>
        </w:rPr>
      </w:pPr>
      <w:r w:rsidRPr="00DA51A6">
        <w:rPr>
          <w:rFonts w:cs="Times New Roman"/>
          <w:b/>
          <w:sz w:val="28"/>
        </w:rPr>
        <w:t>Student ID number: 2506430</w:t>
      </w:r>
    </w:p>
    <w:p w:rsidR="00D540D9" w:rsidRDefault="00D540D9" w:rsidP="00DA51A6">
      <w:pPr>
        <w:spacing w:after="160" w:line="259" w:lineRule="auto"/>
        <w:jc w:val="center"/>
        <w:rPr>
          <w:rFonts w:cs="Times New Roman"/>
          <w:b/>
        </w:rPr>
      </w:pPr>
    </w:p>
    <w:p w:rsidR="00D540D9" w:rsidRDefault="00D540D9" w:rsidP="00DA51A6">
      <w:pPr>
        <w:spacing w:after="160" w:line="259" w:lineRule="auto"/>
        <w:jc w:val="center"/>
        <w:rPr>
          <w:rFonts w:cs="Times New Roman"/>
          <w:b/>
        </w:rPr>
      </w:pPr>
    </w:p>
    <w:p w:rsidR="00D540D9" w:rsidRDefault="00D540D9" w:rsidP="00DA51A6">
      <w:pPr>
        <w:spacing w:after="160" w:line="259" w:lineRule="auto"/>
        <w:jc w:val="center"/>
        <w:rPr>
          <w:rFonts w:cs="Times New Roman"/>
          <w:b/>
        </w:rPr>
      </w:pPr>
    </w:p>
    <w:p w:rsidR="00B03315" w:rsidRPr="00D540D9" w:rsidRDefault="00B03315" w:rsidP="00DA51A6">
      <w:pPr>
        <w:spacing w:after="160" w:line="259" w:lineRule="auto"/>
        <w:jc w:val="center"/>
        <w:rPr>
          <w:rFonts w:cs="Times New Roman"/>
          <w:b/>
          <w:sz w:val="28"/>
        </w:rPr>
      </w:pPr>
      <w:r w:rsidRPr="00D540D9">
        <w:rPr>
          <w:rFonts w:cs="Times New Roman"/>
          <w:b/>
          <w:sz w:val="28"/>
        </w:rPr>
        <w:t>Module name: Business Research</w:t>
      </w:r>
    </w:p>
    <w:p w:rsidR="00B03315" w:rsidRPr="00D540D9" w:rsidRDefault="00B03315" w:rsidP="00DA51A6">
      <w:pPr>
        <w:spacing w:after="160" w:line="259" w:lineRule="auto"/>
        <w:jc w:val="center"/>
        <w:rPr>
          <w:rFonts w:cs="Times New Roman"/>
          <w:b/>
          <w:sz w:val="28"/>
        </w:rPr>
      </w:pPr>
      <w:r w:rsidRPr="00D540D9">
        <w:rPr>
          <w:rFonts w:cs="Times New Roman"/>
          <w:b/>
          <w:sz w:val="28"/>
        </w:rPr>
        <w:t>Module code: BMMB7028</w:t>
      </w:r>
    </w:p>
    <w:p w:rsidR="00E012E2" w:rsidRDefault="00B03315" w:rsidP="00DA51A6">
      <w:pPr>
        <w:spacing w:after="160" w:line="259" w:lineRule="auto"/>
        <w:jc w:val="center"/>
        <w:rPr>
          <w:rFonts w:cs="Times New Roman"/>
          <w:b/>
        </w:rPr>
      </w:pPr>
      <w:r w:rsidRPr="00D540D9">
        <w:rPr>
          <w:rFonts w:cs="Times New Roman"/>
          <w:b/>
          <w:sz w:val="28"/>
        </w:rPr>
        <w:t>Lecturer name: Maggie Zhang</w:t>
      </w:r>
      <w:r w:rsidR="00E012E2">
        <w:rPr>
          <w:rFonts w:cs="Times New Roman"/>
          <w:b/>
        </w:rPr>
        <w:br w:type="page"/>
      </w:r>
    </w:p>
    <w:p w:rsidR="00E012E2" w:rsidRDefault="00E254B5" w:rsidP="00E012E2">
      <w:pPr>
        <w:pStyle w:val="Heading1"/>
      </w:pPr>
      <w:bookmarkStart w:id="0" w:name="_Toc225775698"/>
      <w:r>
        <w:lastRenderedPageBreak/>
        <w:t>Abstract</w:t>
      </w:r>
      <w:bookmarkEnd w:id="0"/>
    </w:p>
    <w:p w:rsidR="00A26142" w:rsidRPr="00A26142" w:rsidRDefault="00A26142" w:rsidP="00024537">
      <w:pPr>
        <w:spacing w:line="360" w:lineRule="auto"/>
      </w:pPr>
      <w:r w:rsidRPr="00A26142">
        <w:t>The open banking concept has transformed the financial service sector in the UK, yet the gap between the accessibility of technology and its use by the consumers persists considerably. Trust of consumers, computer literacy, and fair access have not been sufficiently understood as varying elements of broadly adopted tools even with the rapid acquisition, particularly of device-specific tools that are offered by digital challenger banks such as Monzo. The given work is therefore aimed at addressing the issue of the purpose of open banking to enhance consumer money management, with a particular case of Monzo in the UK.</w:t>
      </w:r>
    </w:p>
    <w:p w:rsidR="00024537" w:rsidRDefault="00A26142" w:rsidP="00024537">
      <w:pPr>
        <w:spacing w:line="360" w:lineRule="auto"/>
      </w:pPr>
      <w:r w:rsidRPr="00A26142">
        <w:t>Although the literature available was relatively extensive, the existing models of adaptation (such as TAM and UTAUT) are largely applied outside of the UK context and focus on the intentions regarding adoption rather than the actual experience of the consumer. The current research would fill this particular gap directly due to the lack of granular, feature-based, consumer-focused empirical research in the UK open banking ecosystem. As a way of filling the gap, a pragmatic and simultaneous mixed-method approach is to be utilised, which involves the online survey of 150 active users of Monzo, the semi-structured interviews with 10-15 of the purposely selected respondents, and the analysis of secondary data as per the regulatory and industry sources. The triangulation of the three strands will be done in such a way that sound and contextual findings are arrived at. The research will be conducted in 7 months of the year 2026, lasting between the months of April and October, using resources of data available on the Internet that are free of charge and will not require external funds. It is expected that the findings will contribute new empirical data to a developing field and generate practically useful knowledge for policymakers, regulators, and product sellers of digital banking taking place in the UK open banking space.</w:t>
      </w:r>
    </w:p>
    <w:p w:rsidR="00D8246C" w:rsidRPr="00E93370" w:rsidRDefault="00024537" w:rsidP="00024537">
      <w:pPr>
        <w:spacing w:after="160" w:line="259" w:lineRule="auto"/>
        <w:jc w:val="left"/>
      </w:pPr>
      <w:r>
        <w:br w:type="page"/>
      </w:r>
    </w:p>
    <w:sdt>
      <w:sdtPr>
        <w:rPr>
          <w:rFonts w:ascii="Times New Roman" w:eastAsiaTheme="minorHAnsi" w:hAnsi="Times New Roman" w:cs="Times New Roman"/>
          <w:color w:val="auto"/>
          <w:sz w:val="24"/>
          <w:szCs w:val="22"/>
          <w:lang w:val="en-GB"/>
        </w:rPr>
        <w:id w:val="-1364591234"/>
        <w:docPartObj>
          <w:docPartGallery w:val="Table of Contents"/>
          <w:docPartUnique/>
        </w:docPartObj>
      </w:sdtPr>
      <w:sdtEndPr>
        <w:rPr>
          <w:b/>
          <w:bCs/>
          <w:noProof/>
        </w:rPr>
      </w:sdtEndPr>
      <w:sdtContent>
        <w:p w:rsidR="00D8246C" w:rsidRPr="00E93370" w:rsidRDefault="00D8246C">
          <w:pPr>
            <w:pStyle w:val="TOCHeading"/>
            <w:rPr>
              <w:rFonts w:ascii="Times New Roman" w:hAnsi="Times New Roman" w:cs="Times New Roman"/>
              <w:lang w:val="en-GB"/>
            </w:rPr>
          </w:pPr>
          <w:r w:rsidRPr="00E93370">
            <w:rPr>
              <w:rFonts w:ascii="Times New Roman" w:hAnsi="Times New Roman" w:cs="Times New Roman"/>
              <w:lang w:val="en-GB"/>
            </w:rPr>
            <w:t>Table of Contents</w:t>
          </w:r>
        </w:p>
        <w:p w:rsidR="00AE5E83" w:rsidRDefault="00D8246C">
          <w:pPr>
            <w:pStyle w:val="TOC1"/>
            <w:tabs>
              <w:tab w:val="right" w:leader="dot" w:pos="9350"/>
            </w:tabs>
            <w:rPr>
              <w:rFonts w:asciiTheme="minorHAnsi" w:eastAsiaTheme="minorEastAsia" w:hAnsiTheme="minorHAnsi"/>
              <w:noProof/>
              <w:sz w:val="22"/>
              <w:lang w:val="en-US"/>
            </w:rPr>
          </w:pPr>
          <w:r w:rsidRPr="00E93370">
            <w:rPr>
              <w:rFonts w:cs="Times New Roman"/>
              <w:b/>
              <w:bCs/>
              <w:noProof/>
            </w:rPr>
            <w:fldChar w:fldCharType="begin"/>
          </w:r>
          <w:r w:rsidRPr="00E93370">
            <w:rPr>
              <w:rFonts w:cs="Times New Roman"/>
              <w:b/>
              <w:bCs/>
              <w:noProof/>
            </w:rPr>
            <w:instrText xml:space="preserve"> TOC \o "1-3" \h \z \u </w:instrText>
          </w:r>
          <w:r w:rsidRPr="00E93370">
            <w:rPr>
              <w:rFonts w:cs="Times New Roman"/>
              <w:b/>
              <w:bCs/>
              <w:noProof/>
            </w:rPr>
            <w:fldChar w:fldCharType="separate"/>
          </w:r>
          <w:hyperlink w:anchor="_Toc225775698" w:history="1">
            <w:r w:rsidR="00AE5E83" w:rsidRPr="00C8665F">
              <w:rPr>
                <w:rStyle w:val="Hyperlink"/>
                <w:noProof/>
              </w:rPr>
              <w:t>Abstract</w:t>
            </w:r>
            <w:r w:rsidR="00AE5E83">
              <w:rPr>
                <w:noProof/>
                <w:webHidden/>
              </w:rPr>
              <w:tab/>
            </w:r>
            <w:r w:rsidR="00AE5E83">
              <w:rPr>
                <w:noProof/>
                <w:webHidden/>
              </w:rPr>
              <w:fldChar w:fldCharType="begin"/>
            </w:r>
            <w:r w:rsidR="00AE5E83">
              <w:rPr>
                <w:noProof/>
                <w:webHidden/>
              </w:rPr>
              <w:instrText xml:space="preserve"> PAGEREF _Toc225775698 \h </w:instrText>
            </w:r>
            <w:r w:rsidR="00AE5E83">
              <w:rPr>
                <w:noProof/>
                <w:webHidden/>
              </w:rPr>
            </w:r>
            <w:r w:rsidR="00AE5E83">
              <w:rPr>
                <w:noProof/>
                <w:webHidden/>
              </w:rPr>
              <w:fldChar w:fldCharType="separate"/>
            </w:r>
            <w:r w:rsidR="00AE5E83">
              <w:rPr>
                <w:noProof/>
                <w:webHidden/>
              </w:rPr>
              <w:t>2</w:t>
            </w:r>
            <w:r w:rsidR="00AE5E83">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699" w:history="1">
            <w:r w:rsidRPr="00C8665F">
              <w:rPr>
                <w:rStyle w:val="Hyperlink"/>
                <w:rFonts w:cs="Times New Roman"/>
                <w:noProof/>
              </w:rPr>
              <w:t>1. Introduction</w:t>
            </w:r>
            <w:r>
              <w:rPr>
                <w:noProof/>
                <w:webHidden/>
              </w:rPr>
              <w:tab/>
            </w:r>
            <w:r>
              <w:rPr>
                <w:noProof/>
                <w:webHidden/>
              </w:rPr>
              <w:fldChar w:fldCharType="begin"/>
            </w:r>
            <w:r>
              <w:rPr>
                <w:noProof/>
                <w:webHidden/>
              </w:rPr>
              <w:instrText xml:space="preserve"> PAGEREF _Toc225775699 \h </w:instrText>
            </w:r>
            <w:r>
              <w:rPr>
                <w:noProof/>
                <w:webHidden/>
              </w:rPr>
            </w:r>
            <w:r>
              <w:rPr>
                <w:noProof/>
                <w:webHidden/>
              </w:rPr>
              <w:fldChar w:fldCharType="separate"/>
            </w:r>
            <w:r>
              <w:rPr>
                <w:noProof/>
                <w:webHidden/>
              </w:rPr>
              <w:t>5</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00" w:history="1">
            <w:r w:rsidRPr="00C8665F">
              <w:rPr>
                <w:rStyle w:val="Hyperlink"/>
                <w:noProof/>
              </w:rPr>
              <w:t>1.1 Background of the Research</w:t>
            </w:r>
            <w:r>
              <w:rPr>
                <w:noProof/>
                <w:webHidden/>
              </w:rPr>
              <w:tab/>
            </w:r>
            <w:r>
              <w:rPr>
                <w:noProof/>
                <w:webHidden/>
              </w:rPr>
              <w:fldChar w:fldCharType="begin"/>
            </w:r>
            <w:r>
              <w:rPr>
                <w:noProof/>
                <w:webHidden/>
              </w:rPr>
              <w:instrText xml:space="preserve"> PAGEREF _Toc225775700 \h </w:instrText>
            </w:r>
            <w:r>
              <w:rPr>
                <w:noProof/>
                <w:webHidden/>
              </w:rPr>
            </w:r>
            <w:r>
              <w:rPr>
                <w:noProof/>
                <w:webHidden/>
              </w:rPr>
              <w:fldChar w:fldCharType="separate"/>
            </w:r>
            <w:r>
              <w:rPr>
                <w:noProof/>
                <w:webHidden/>
              </w:rPr>
              <w:t>5</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01" w:history="1">
            <w:r w:rsidRPr="00C8665F">
              <w:rPr>
                <w:rStyle w:val="Hyperlink"/>
                <w:noProof/>
              </w:rPr>
              <w:t>1.2 Research Problem</w:t>
            </w:r>
            <w:r>
              <w:rPr>
                <w:noProof/>
                <w:webHidden/>
              </w:rPr>
              <w:tab/>
            </w:r>
            <w:r>
              <w:rPr>
                <w:noProof/>
                <w:webHidden/>
              </w:rPr>
              <w:fldChar w:fldCharType="begin"/>
            </w:r>
            <w:r>
              <w:rPr>
                <w:noProof/>
                <w:webHidden/>
              </w:rPr>
              <w:instrText xml:space="preserve"> PAGEREF _Toc225775701 \h </w:instrText>
            </w:r>
            <w:r>
              <w:rPr>
                <w:noProof/>
                <w:webHidden/>
              </w:rPr>
            </w:r>
            <w:r>
              <w:rPr>
                <w:noProof/>
                <w:webHidden/>
              </w:rPr>
              <w:fldChar w:fldCharType="separate"/>
            </w:r>
            <w:r>
              <w:rPr>
                <w:noProof/>
                <w:webHidden/>
              </w:rPr>
              <w:t>6</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02" w:history="1">
            <w:r w:rsidRPr="00C8665F">
              <w:rPr>
                <w:rStyle w:val="Hyperlink"/>
                <w:noProof/>
              </w:rPr>
              <w:t>1.2.1 Aim</w:t>
            </w:r>
            <w:r>
              <w:rPr>
                <w:noProof/>
                <w:webHidden/>
              </w:rPr>
              <w:tab/>
            </w:r>
            <w:r>
              <w:rPr>
                <w:noProof/>
                <w:webHidden/>
              </w:rPr>
              <w:fldChar w:fldCharType="begin"/>
            </w:r>
            <w:r>
              <w:rPr>
                <w:noProof/>
                <w:webHidden/>
              </w:rPr>
              <w:instrText xml:space="preserve"> PAGEREF _Toc225775702 \h </w:instrText>
            </w:r>
            <w:r>
              <w:rPr>
                <w:noProof/>
                <w:webHidden/>
              </w:rPr>
            </w:r>
            <w:r>
              <w:rPr>
                <w:noProof/>
                <w:webHidden/>
              </w:rPr>
              <w:fldChar w:fldCharType="separate"/>
            </w:r>
            <w:r>
              <w:rPr>
                <w:noProof/>
                <w:webHidden/>
              </w:rPr>
              <w:t>6</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03" w:history="1">
            <w:r w:rsidRPr="00C8665F">
              <w:rPr>
                <w:rStyle w:val="Hyperlink"/>
                <w:noProof/>
              </w:rPr>
              <w:t>1.2.2 Objectives</w:t>
            </w:r>
            <w:r>
              <w:rPr>
                <w:noProof/>
                <w:webHidden/>
              </w:rPr>
              <w:tab/>
            </w:r>
            <w:r>
              <w:rPr>
                <w:noProof/>
                <w:webHidden/>
              </w:rPr>
              <w:fldChar w:fldCharType="begin"/>
            </w:r>
            <w:r>
              <w:rPr>
                <w:noProof/>
                <w:webHidden/>
              </w:rPr>
              <w:instrText xml:space="preserve"> PAGEREF _Toc225775703 \h </w:instrText>
            </w:r>
            <w:r>
              <w:rPr>
                <w:noProof/>
                <w:webHidden/>
              </w:rPr>
            </w:r>
            <w:r>
              <w:rPr>
                <w:noProof/>
                <w:webHidden/>
              </w:rPr>
              <w:fldChar w:fldCharType="separate"/>
            </w:r>
            <w:r>
              <w:rPr>
                <w:noProof/>
                <w:webHidden/>
              </w:rPr>
              <w:t>7</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04" w:history="1">
            <w:r w:rsidRPr="00C8665F">
              <w:rPr>
                <w:rStyle w:val="Hyperlink"/>
                <w:noProof/>
              </w:rPr>
              <w:t>1.2.3 Research Questions</w:t>
            </w:r>
            <w:r>
              <w:rPr>
                <w:noProof/>
                <w:webHidden/>
              </w:rPr>
              <w:tab/>
            </w:r>
            <w:r>
              <w:rPr>
                <w:noProof/>
                <w:webHidden/>
              </w:rPr>
              <w:fldChar w:fldCharType="begin"/>
            </w:r>
            <w:r>
              <w:rPr>
                <w:noProof/>
                <w:webHidden/>
              </w:rPr>
              <w:instrText xml:space="preserve"> PAGEREF _Toc225775704 \h </w:instrText>
            </w:r>
            <w:r>
              <w:rPr>
                <w:noProof/>
                <w:webHidden/>
              </w:rPr>
            </w:r>
            <w:r>
              <w:rPr>
                <w:noProof/>
                <w:webHidden/>
              </w:rPr>
              <w:fldChar w:fldCharType="separate"/>
            </w:r>
            <w:r>
              <w:rPr>
                <w:noProof/>
                <w:webHidden/>
              </w:rPr>
              <w:t>7</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05" w:history="1">
            <w:r w:rsidRPr="00C8665F">
              <w:rPr>
                <w:rStyle w:val="Hyperlink"/>
                <w:noProof/>
              </w:rPr>
              <w:t>1.3 Rationale of the Research</w:t>
            </w:r>
            <w:r>
              <w:rPr>
                <w:noProof/>
                <w:webHidden/>
              </w:rPr>
              <w:tab/>
            </w:r>
            <w:r>
              <w:rPr>
                <w:noProof/>
                <w:webHidden/>
              </w:rPr>
              <w:fldChar w:fldCharType="begin"/>
            </w:r>
            <w:r>
              <w:rPr>
                <w:noProof/>
                <w:webHidden/>
              </w:rPr>
              <w:instrText xml:space="preserve"> PAGEREF _Toc225775705 \h </w:instrText>
            </w:r>
            <w:r>
              <w:rPr>
                <w:noProof/>
                <w:webHidden/>
              </w:rPr>
            </w:r>
            <w:r>
              <w:rPr>
                <w:noProof/>
                <w:webHidden/>
              </w:rPr>
              <w:fldChar w:fldCharType="separate"/>
            </w:r>
            <w:r>
              <w:rPr>
                <w:noProof/>
                <w:webHidden/>
              </w:rPr>
              <w:t>8</w:t>
            </w:r>
            <w:r>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706" w:history="1">
            <w:r w:rsidRPr="00C8665F">
              <w:rPr>
                <w:rStyle w:val="Hyperlink"/>
                <w:noProof/>
              </w:rPr>
              <w:t>2. Literature Review</w:t>
            </w:r>
            <w:r>
              <w:rPr>
                <w:noProof/>
                <w:webHidden/>
              </w:rPr>
              <w:tab/>
            </w:r>
            <w:r>
              <w:rPr>
                <w:noProof/>
                <w:webHidden/>
              </w:rPr>
              <w:fldChar w:fldCharType="begin"/>
            </w:r>
            <w:r>
              <w:rPr>
                <w:noProof/>
                <w:webHidden/>
              </w:rPr>
              <w:instrText xml:space="preserve"> PAGEREF _Toc225775706 \h </w:instrText>
            </w:r>
            <w:r>
              <w:rPr>
                <w:noProof/>
                <w:webHidden/>
              </w:rPr>
            </w:r>
            <w:r>
              <w:rPr>
                <w:noProof/>
                <w:webHidden/>
              </w:rPr>
              <w:fldChar w:fldCharType="separate"/>
            </w:r>
            <w:r>
              <w:rPr>
                <w:noProof/>
                <w:webHidden/>
              </w:rPr>
              <w:t>9</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07" w:history="1">
            <w:r w:rsidRPr="00C8665F">
              <w:rPr>
                <w:rStyle w:val="Hyperlink"/>
                <w:noProof/>
              </w:rPr>
              <w:t>2.1 Theoretical Framework</w:t>
            </w:r>
            <w:r>
              <w:rPr>
                <w:noProof/>
                <w:webHidden/>
              </w:rPr>
              <w:tab/>
            </w:r>
            <w:r>
              <w:rPr>
                <w:noProof/>
                <w:webHidden/>
              </w:rPr>
              <w:fldChar w:fldCharType="begin"/>
            </w:r>
            <w:r>
              <w:rPr>
                <w:noProof/>
                <w:webHidden/>
              </w:rPr>
              <w:instrText xml:space="preserve"> PAGEREF _Toc225775707 \h </w:instrText>
            </w:r>
            <w:r>
              <w:rPr>
                <w:noProof/>
                <w:webHidden/>
              </w:rPr>
            </w:r>
            <w:r>
              <w:rPr>
                <w:noProof/>
                <w:webHidden/>
              </w:rPr>
              <w:fldChar w:fldCharType="separate"/>
            </w:r>
            <w:r>
              <w:rPr>
                <w:noProof/>
                <w:webHidden/>
              </w:rPr>
              <w:t>9</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08" w:history="1">
            <w:r w:rsidRPr="00C8665F">
              <w:rPr>
                <w:rStyle w:val="Hyperlink"/>
                <w:noProof/>
              </w:rPr>
              <w:t>2.1.1 Technology Acceptance Model (TAM)</w:t>
            </w:r>
            <w:r>
              <w:rPr>
                <w:noProof/>
                <w:webHidden/>
              </w:rPr>
              <w:tab/>
            </w:r>
            <w:r>
              <w:rPr>
                <w:noProof/>
                <w:webHidden/>
              </w:rPr>
              <w:fldChar w:fldCharType="begin"/>
            </w:r>
            <w:r>
              <w:rPr>
                <w:noProof/>
                <w:webHidden/>
              </w:rPr>
              <w:instrText xml:space="preserve"> PAGEREF _Toc225775708 \h </w:instrText>
            </w:r>
            <w:r>
              <w:rPr>
                <w:noProof/>
                <w:webHidden/>
              </w:rPr>
            </w:r>
            <w:r>
              <w:rPr>
                <w:noProof/>
                <w:webHidden/>
              </w:rPr>
              <w:fldChar w:fldCharType="separate"/>
            </w:r>
            <w:r>
              <w:rPr>
                <w:noProof/>
                <w:webHidden/>
              </w:rPr>
              <w:t>9</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09" w:history="1">
            <w:r w:rsidRPr="00C8665F">
              <w:rPr>
                <w:rStyle w:val="Hyperlink"/>
                <w:noProof/>
              </w:rPr>
              <w:t>2.1.2 Unified Theory of Acceptance and Use of Technology (UTAUT)</w:t>
            </w:r>
            <w:r>
              <w:rPr>
                <w:noProof/>
                <w:webHidden/>
              </w:rPr>
              <w:tab/>
            </w:r>
            <w:r>
              <w:rPr>
                <w:noProof/>
                <w:webHidden/>
              </w:rPr>
              <w:fldChar w:fldCharType="begin"/>
            </w:r>
            <w:r>
              <w:rPr>
                <w:noProof/>
                <w:webHidden/>
              </w:rPr>
              <w:instrText xml:space="preserve"> PAGEREF _Toc225775709 \h </w:instrText>
            </w:r>
            <w:r>
              <w:rPr>
                <w:noProof/>
                <w:webHidden/>
              </w:rPr>
            </w:r>
            <w:r>
              <w:rPr>
                <w:noProof/>
                <w:webHidden/>
              </w:rPr>
              <w:fldChar w:fldCharType="separate"/>
            </w:r>
            <w:r>
              <w:rPr>
                <w:noProof/>
                <w:webHidden/>
              </w:rPr>
              <w:t>9</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0" w:history="1">
            <w:r w:rsidRPr="00C8665F">
              <w:rPr>
                <w:rStyle w:val="Hyperlink"/>
                <w:noProof/>
              </w:rPr>
              <w:t>2.2 Open Banking in the UK: Evolution, Regulation and Policy Context</w:t>
            </w:r>
            <w:r>
              <w:rPr>
                <w:noProof/>
                <w:webHidden/>
              </w:rPr>
              <w:tab/>
            </w:r>
            <w:r>
              <w:rPr>
                <w:noProof/>
                <w:webHidden/>
              </w:rPr>
              <w:fldChar w:fldCharType="begin"/>
            </w:r>
            <w:r>
              <w:rPr>
                <w:noProof/>
                <w:webHidden/>
              </w:rPr>
              <w:instrText xml:space="preserve"> PAGEREF _Toc225775710 \h </w:instrText>
            </w:r>
            <w:r>
              <w:rPr>
                <w:noProof/>
                <w:webHidden/>
              </w:rPr>
            </w:r>
            <w:r>
              <w:rPr>
                <w:noProof/>
                <w:webHidden/>
              </w:rPr>
              <w:fldChar w:fldCharType="separate"/>
            </w:r>
            <w:r>
              <w:rPr>
                <w:noProof/>
                <w:webHidden/>
              </w:rPr>
              <w:t>10</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1" w:history="1">
            <w:r w:rsidRPr="00C8665F">
              <w:rPr>
                <w:rStyle w:val="Hyperlink"/>
                <w:noProof/>
              </w:rPr>
              <w:t>2.3 Open Banking and Consumer Money Management</w:t>
            </w:r>
            <w:r>
              <w:rPr>
                <w:noProof/>
                <w:webHidden/>
              </w:rPr>
              <w:tab/>
            </w:r>
            <w:r>
              <w:rPr>
                <w:noProof/>
                <w:webHidden/>
              </w:rPr>
              <w:fldChar w:fldCharType="begin"/>
            </w:r>
            <w:r>
              <w:rPr>
                <w:noProof/>
                <w:webHidden/>
              </w:rPr>
              <w:instrText xml:space="preserve"> PAGEREF _Toc225775711 \h </w:instrText>
            </w:r>
            <w:r>
              <w:rPr>
                <w:noProof/>
                <w:webHidden/>
              </w:rPr>
            </w:r>
            <w:r>
              <w:rPr>
                <w:noProof/>
                <w:webHidden/>
              </w:rPr>
              <w:fldChar w:fldCharType="separate"/>
            </w:r>
            <w:r>
              <w:rPr>
                <w:noProof/>
                <w:webHidden/>
              </w:rPr>
              <w:t>11</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2" w:history="1">
            <w:r w:rsidRPr="00C8665F">
              <w:rPr>
                <w:rStyle w:val="Hyperlink"/>
                <w:noProof/>
              </w:rPr>
              <w:t>2.4 Consumer Trust and Adoption of Open Banking Services</w:t>
            </w:r>
            <w:r>
              <w:rPr>
                <w:noProof/>
                <w:webHidden/>
              </w:rPr>
              <w:tab/>
            </w:r>
            <w:r>
              <w:rPr>
                <w:noProof/>
                <w:webHidden/>
              </w:rPr>
              <w:fldChar w:fldCharType="begin"/>
            </w:r>
            <w:r>
              <w:rPr>
                <w:noProof/>
                <w:webHidden/>
              </w:rPr>
              <w:instrText xml:space="preserve"> PAGEREF _Toc225775712 \h </w:instrText>
            </w:r>
            <w:r>
              <w:rPr>
                <w:noProof/>
                <w:webHidden/>
              </w:rPr>
            </w:r>
            <w:r>
              <w:rPr>
                <w:noProof/>
                <w:webHidden/>
              </w:rPr>
              <w:fldChar w:fldCharType="separate"/>
            </w:r>
            <w:r>
              <w:rPr>
                <w:noProof/>
                <w:webHidden/>
              </w:rPr>
              <w:t>12</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3" w:history="1">
            <w:r w:rsidRPr="00C8665F">
              <w:rPr>
                <w:rStyle w:val="Hyperlink"/>
                <w:noProof/>
              </w:rPr>
              <w:t>2.5 Challenges, Risks and Barriers in Open Banking</w:t>
            </w:r>
            <w:r>
              <w:rPr>
                <w:noProof/>
                <w:webHidden/>
              </w:rPr>
              <w:tab/>
            </w:r>
            <w:r>
              <w:rPr>
                <w:noProof/>
                <w:webHidden/>
              </w:rPr>
              <w:fldChar w:fldCharType="begin"/>
            </w:r>
            <w:r>
              <w:rPr>
                <w:noProof/>
                <w:webHidden/>
              </w:rPr>
              <w:instrText xml:space="preserve"> PAGEREF _Toc225775713 \h </w:instrText>
            </w:r>
            <w:r>
              <w:rPr>
                <w:noProof/>
                <w:webHidden/>
              </w:rPr>
            </w:r>
            <w:r>
              <w:rPr>
                <w:noProof/>
                <w:webHidden/>
              </w:rPr>
              <w:fldChar w:fldCharType="separate"/>
            </w:r>
            <w:r>
              <w:rPr>
                <w:noProof/>
                <w:webHidden/>
              </w:rPr>
              <w:t>13</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4" w:history="1">
            <w:r w:rsidRPr="00C8665F">
              <w:rPr>
                <w:rStyle w:val="Hyperlink"/>
                <w:noProof/>
              </w:rPr>
              <w:t>2.6 Literature Gap</w:t>
            </w:r>
            <w:r>
              <w:rPr>
                <w:noProof/>
                <w:webHidden/>
              </w:rPr>
              <w:tab/>
            </w:r>
            <w:r>
              <w:rPr>
                <w:noProof/>
                <w:webHidden/>
              </w:rPr>
              <w:fldChar w:fldCharType="begin"/>
            </w:r>
            <w:r>
              <w:rPr>
                <w:noProof/>
                <w:webHidden/>
              </w:rPr>
              <w:instrText xml:space="preserve"> PAGEREF _Toc225775714 \h </w:instrText>
            </w:r>
            <w:r>
              <w:rPr>
                <w:noProof/>
                <w:webHidden/>
              </w:rPr>
            </w:r>
            <w:r>
              <w:rPr>
                <w:noProof/>
                <w:webHidden/>
              </w:rPr>
              <w:fldChar w:fldCharType="separate"/>
            </w:r>
            <w:r>
              <w:rPr>
                <w:noProof/>
                <w:webHidden/>
              </w:rPr>
              <w:t>15</w:t>
            </w:r>
            <w:r>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715" w:history="1">
            <w:r w:rsidRPr="00C8665F">
              <w:rPr>
                <w:rStyle w:val="Hyperlink"/>
                <w:noProof/>
              </w:rPr>
              <w:t>3. Methodology</w:t>
            </w:r>
            <w:r>
              <w:rPr>
                <w:noProof/>
                <w:webHidden/>
              </w:rPr>
              <w:tab/>
            </w:r>
            <w:r>
              <w:rPr>
                <w:noProof/>
                <w:webHidden/>
              </w:rPr>
              <w:fldChar w:fldCharType="begin"/>
            </w:r>
            <w:r>
              <w:rPr>
                <w:noProof/>
                <w:webHidden/>
              </w:rPr>
              <w:instrText xml:space="preserve"> PAGEREF _Toc225775715 \h </w:instrText>
            </w:r>
            <w:r>
              <w:rPr>
                <w:noProof/>
                <w:webHidden/>
              </w:rPr>
            </w:r>
            <w:r>
              <w:rPr>
                <w:noProof/>
                <w:webHidden/>
              </w:rPr>
              <w:fldChar w:fldCharType="separate"/>
            </w:r>
            <w:r>
              <w:rPr>
                <w:noProof/>
                <w:webHidden/>
              </w:rPr>
              <w:t>16</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6" w:history="1">
            <w:r w:rsidRPr="00C8665F">
              <w:rPr>
                <w:rStyle w:val="Hyperlink"/>
                <w:noProof/>
              </w:rPr>
              <w:t>3.1 Research Philosophy</w:t>
            </w:r>
            <w:r>
              <w:rPr>
                <w:noProof/>
                <w:webHidden/>
              </w:rPr>
              <w:tab/>
            </w:r>
            <w:r>
              <w:rPr>
                <w:noProof/>
                <w:webHidden/>
              </w:rPr>
              <w:fldChar w:fldCharType="begin"/>
            </w:r>
            <w:r>
              <w:rPr>
                <w:noProof/>
                <w:webHidden/>
              </w:rPr>
              <w:instrText xml:space="preserve"> PAGEREF _Toc225775716 \h </w:instrText>
            </w:r>
            <w:r>
              <w:rPr>
                <w:noProof/>
                <w:webHidden/>
              </w:rPr>
            </w:r>
            <w:r>
              <w:rPr>
                <w:noProof/>
                <w:webHidden/>
              </w:rPr>
              <w:fldChar w:fldCharType="separate"/>
            </w:r>
            <w:r>
              <w:rPr>
                <w:noProof/>
                <w:webHidden/>
              </w:rPr>
              <w:t>16</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7" w:history="1">
            <w:r w:rsidRPr="00C8665F">
              <w:rPr>
                <w:rStyle w:val="Hyperlink"/>
                <w:noProof/>
              </w:rPr>
              <w:t>3.2 Research Approach</w:t>
            </w:r>
            <w:r>
              <w:rPr>
                <w:noProof/>
                <w:webHidden/>
              </w:rPr>
              <w:tab/>
            </w:r>
            <w:r>
              <w:rPr>
                <w:noProof/>
                <w:webHidden/>
              </w:rPr>
              <w:fldChar w:fldCharType="begin"/>
            </w:r>
            <w:r>
              <w:rPr>
                <w:noProof/>
                <w:webHidden/>
              </w:rPr>
              <w:instrText xml:space="preserve"> PAGEREF _Toc225775717 \h </w:instrText>
            </w:r>
            <w:r>
              <w:rPr>
                <w:noProof/>
                <w:webHidden/>
              </w:rPr>
            </w:r>
            <w:r>
              <w:rPr>
                <w:noProof/>
                <w:webHidden/>
              </w:rPr>
              <w:fldChar w:fldCharType="separate"/>
            </w:r>
            <w:r>
              <w:rPr>
                <w:noProof/>
                <w:webHidden/>
              </w:rPr>
              <w:t>17</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8" w:history="1">
            <w:r w:rsidRPr="00C8665F">
              <w:rPr>
                <w:rStyle w:val="Hyperlink"/>
                <w:noProof/>
              </w:rPr>
              <w:t>3.3 Research Strategy</w:t>
            </w:r>
            <w:r>
              <w:rPr>
                <w:noProof/>
                <w:webHidden/>
              </w:rPr>
              <w:tab/>
            </w:r>
            <w:r>
              <w:rPr>
                <w:noProof/>
                <w:webHidden/>
              </w:rPr>
              <w:fldChar w:fldCharType="begin"/>
            </w:r>
            <w:r>
              <w:rPr>
                <w:noProof/>
                <w:webHidden/>
              </w:rPr>
              <w:instrText xml:space="preserve"> PAGEREF _Toc225775718 \h </w:instrText>
            </w:r>
            <w:r>
              <w:rPr>
                <w:noProof/>
                <w:webHidden/>
              </w:rPr>
            </w:r>
            <w:r>
              <w:rPr>
                <w:noProof/>
                <w:webHidden/>
              </w:rPr>
              <w:fldChar w:fldCharType="separate"/>
            </w:r>
            <w:r>
              <w:rPr>
                <w:noProof/>
                <w:webHidden/>
              </w:rPr>
              <w:t>18</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19" w:history="1">
            <w:r w:rsidRPr="00C8665F">
              <w:rPr>
                <w:rStyle w:val="Hyperlink"/>
                <w:noProof/>
              </w:rPr>
              <w:t>3.4 Research Choice</w:t>
            </w:r>
            <w:r>
              <w:rPr>
                <w:noProof/>
                <w:webHidden/>
              </w:rPr>
              <w:tab/>
            </w:r>
            <w:r>
              <w:rPr>
                <w:noProof/>
                <w:webHidden/>
              </w:rPr>
              <w:fldChar w:fldCharType="begin"/>
            </w:r>
            <w:r>
              <w:rPr>
                <w:noProof/>
                <w:webHidden/>
              </w:rPr>
              <w:instrText xml:space="preserve"> PAGEREF _Toc225775719 \h </w:instrText>
            </w:r>
            <w:r>
              <w:rPr>
                <w:noProof/>
                <w:webHidden/>
              </w:rPr>
            </w:r>
            <w:r>
              <w:rPr>
                <w:noProof/>
                <w:webHidden/>
              </w:rPr>
              <w:fldChar w:fldCharType="separate"/>
            </w:r>
            <w:r>
              <w:rPr>
                <w:noProof/>
                <w:webHidden/>
              </w:rPr>
              <w:t>18</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0" w:history="1">
            <w:r w:rsidRPr="00C8665F">
              <w:rPr>
                <w:rStyle w:val="Hyperlink"/>
                <w:noProof/>
              </w:rPr>
              <w:t>3.5 Time Horizon</w:t>
            </w:r>
            <w:r>
              <w:rPr>
                <w:noProof/>
                <w:webHidden/>
              </w:rPr>
              <w:tab/>
            </w:r>
            <w:r>
              <w:rPr>
                <w:noProof/>
                <w:webHidden/>
              </w:rPr>
              <w:fldChar w:fldCharType="begin"/>
            </w:r>
            <w:r>
              <w:rPr>
                <w:noProof/>
                <w:webHidden/>
              </w:rPr>
              <w:instrText xml:space="preserve"> PAGEREF _Toc225775720 \h </w:instrText>
            </w:r>
            <w:r>
              <w:rPr>
                <w:noProof/>
                <w:webHidden/>
              </w:rPr>
            </w:r>
            <w:r>
              <w:rPr>
                <w:noProof/>
                <w:webHidden/>
              </w:rPr>
              <w:fldChar w:fldCharType="separate"/>
            </w:r>
            <w:r>
              <w:rPr>
                <w:noProof/>
                <w:webHidden/>
              </w:rPr>
              <w:t>19</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1" w:history="1">
            <w:r w:rsidRPr="00C8665F">
              <w:rPr>
                <w:rStyle w:val="Hyperlink"/>
                <w:noProof/>
              </w:rPr>
              <w:t>3.6 Data Collection</w:t>
            </w:r>
            <w:r>
              <w:rPr>
                <w:noProof/>
                <w:webHidden/>
              </w:rPr>
              <w:tab/>
            </w:r>
            <w:r>
              <w:rPr>
                <w:noProof/>
                <w:webHidden/>
              </w:rPr>
              <w:fldChar w:fldCharType="begin"/>
            </w:r>
            <w:r>
              <w:rPr>
                <w:noProof/>
                <w:webHidden/>
              </w:rPr>
              <w:instrText xml:space="preserve"> PAGEREF _Toc225775721 \h </w:instrText>
            </w:r>
            <w:r>
              <w:rPr>
                <w:noProof/>
                <w:webHidden/>
              </w:rPr>
            </w:r>
            <w:r>
              <w:rPr>
                <w:noProof/>
                <w:webHidden/>
              </w:rPr>
              <w:fldChar w:fldCharType="separate"/>
            </w:r>
            <w:r>
              <w:rPr>
                <w:noProof/>
                <w:webHidden/>
              </w:rPr>
              <w:t>20</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22" w:history="1">
            <w:r w:rsidRPr="00C8665F">
              <w:rPr>
                <w:rStyle w:val="Hyperlink"/>
                <w:noProof/>
              </w:rPr>
              <w:t>3.6.1 Quantitative: Online Survey Questionnaire</w:t>
            </w:r>
            <w:r>
              <w:rPr>
                <w:noProof/>
                <w:webHidden/>
              </w:rPr>
              <w:tab/>
            </w:r>
            <w:r>
              <w:rPr>
                <w:noProof/>
                <w:webHidden/>
              </w:rPr>
              <w:fldChar w:fldCharType="begin"/>
            </w:r>
            <w:r>
              <w:rPr>
                <w:noProof/>
                <w:webHidden/>
              </w:rPr>
              <w:instrText xml:space="preserve"> PAGEREF _Toc225775722 \h </w:instrText>
            </w:r>
            <w:r>
              <w:rPr>
                <w:noProof/>
                <w:webHidden/>
              </w:rPr>
            </w:r>
            <w:r>
              <w:rPr>
                <w:noProof/>
                <w:webHidden/>
              </w:rPr>
              <w:fldChar w:fldCharType="separate"/>
            </w:r>
            <w:r>
              <w:rPr>
                <w:noProof/>
                <w:webHidden/>
              </w:rPr>
              <w:t>20</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23" w:history="1">
            <w:r w:rsidRPr="00C8665F">
              <w:rPr>
                <w:rStyle w:val="Hyperlink"/>
                <w:noProof/>
              </w:rPr>
              <w:t>3.6.2 Qualitative: Semi-Structured Interviews</w:t>
            </w:r>
            <w:r>
              <w:rPr>
                <w:noProof/>
                <w:webHidden/>
              </w:rPr>
              <w:tab/>
            </w:r>
            <w:r>
              <w:rPr>
                <w:noProof/>
                <w:webHidden/>
              </w:rPr>
              <w:fldChar w:fldCharType="begin"/>
            </w:r>
            <w:r>
              <w:rPr>
                <w:noProof/>
                <w:webHidden/>
              </w:rPr>
              <w:instrText xml:space="preserve"> PAGEREF _Toc225775723 \h </w:instrText>
            </w:r>
            <w:r>
              <w:rPr>
                <w:noProof/>
                <w:webHidden/>
              </w:rPr>
            </w:r>
            <w:r>
              <w:rPr>
                <w:noProof/>
                <w:webHidden/>
              </w:rPr>
              <w:fldChar w:fldCharType="separate"/>
            </w:r>
            <w:r>
              <w:rPr>
                <w:noProof/>
                <w:webHidden/>
              </w:rPr>
              <w:t>20</w:t>
            </w:r>
            <w:r>
              <w:rPr>
                <w:noProof/>
                <w:webHidden/>
              </w:rPr>
              <w:fldChar w:fldCharType="end"/>
            </w:r>
          </w:hyperlink>
        </w:p>
        <w:p w:rsidR="00AE5E83" w:rsidRDefault="00AE5E83">
          <w:pPr>
            <w:pStyle w:val="TOC3"/>
            <w:tabs>
              <w:tab w:val="right" w:leader="dot" w:pos="9350"/>
            </w:tabs>
            <w:rPr>
              <w:rFonts w:asciiTheme="minorHAnsi" w:eastAsiaTheme="minorEastAsia" w:hAnsiTheme="minorHAnsi"/>
              <w:noProof/>
              <w:sz w:val="22"/>
              <w:lang w:val="en-US"/>
            </w:rPr>
          </w:pPr>
          <w:hyperlink w:anchor="_Toc225775724" w:history="1">
            <w:r w:rsidRPr="00C8665F">
              <w:rPr>
                <w:rStyle w:val="Hyperlink"/>
                <w:noProof/>
              </w:rPr>
              <w:t>3.6.3 Secondary Data</w:t>
            </w:r>
            <w:r>
              <w:rPr>
                <w:noProof/>
                <w:webHidden/>
              </w:rPr>
              <w:tab/>
            </w:r>
            <w:r>
              <w:rPr>
                <w:noProof/>
                <w:webHidden/>
              </w:rPr>
              <w:fldChar w:fldCharType="begin"/>
            </w:r>
            <w:r>
              <w:rPr>
                <w:noProof/>
                <w:webHidden/>
              </w:rPr>
              <w:instrText xml:space="preserve"> PAGEREF _Toc225775724 \h </w:instrText>
            </w:r>
            <w:r>
              <w:rPr>
                <w:noProof/>
                <w:webHidden/>
              </w:rPr>
            </w:r>
            <w:r>
              <w:rPr>
                <w:noProof/>
                <w:webHidden/>
              </w:rPr>
              <w:fldChar w:fldCharType="separate"/>
            </w:r>
            <w:r>
              <w:rPr>
                <w:noProof/>
                <w:webHidden/>
              </w:rPr>
              <w:t>21</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5" w:history="1">
            <w:r w:rsidRPr="00C8665F">
              <w:rPr>
                <w:rStyle w:val="Hyperlink"/>
                <w:noProof/>
              </w:rPr>
              <w:t>3.7 Data Analysis</w:t>
            </w:r>
            <w:r>
              <w:rPr>
                <w:noProof/>
                <w:webHidden/>
              </w:rPr>
              <w:tab/>
            </w:r>
            <w:r>
              <w:rPr>
                <w:noProof/>
                <w:webHidden/>
              </w:rPr>
              <w:fldChar w:fldCharType="begin"/>
            </w:r>
            <w:r>
              <w:rPr>
                <w:noProof/>
                <w:webHidden/>
              </w:rPr>
              <w:instrText xml:space="preserve"> PAGEREF _Toc225775725 \h </w:instrText>
            </w:r>
            <w:r>
              <w:rPr>
                <w:noProof/>
                <w:webHidden/>
              </w:rPr>
            </w:r>
            <w:r>
              <w:rPr>
                <w:noProof/>
                <w:webHidden/>
              </w:rPr>
              <w:fldChar w:fldCharType="separate"/>
            </w:r>
            <w:r>
              <w:rPr>
                <w:noProof/>
                <w:webHidden/>
              </w:rPr>
              <w:t>21</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6" w:history="1">
            <w:r w:rsidRPr="00C8665F">
              <w:rPr>
                <w:rStyle w:val="Hyperlink"/>
                <w:noProof/>
              </w:rPr>
              <w:t>3.8 Ethical Considerations</w:t>
            </w:r>
            <w:r>
              <w:rPr>
                <w:noProof/>
                <w:webHidden/>
              </w:rPr>
              <w:tab/>
            </w:r>
            <w:r>
              <w:rPr>
                <w:noProof/>
                <w:webHidden/>
              </w:rPr>
              <w:fldChar w:fldCharType="begin"/>
            </w:r>
            <w:r>
              <w:rPr>
                <w:noProof/>
                <w:webHidden/>
              </w:rPr>
              <w:instrText xml:space="preserve"> PAGEREF _Toc225775726 \h </w:instrText>
            </w:r>
            <w:r>
              <w:rPr>
                <w:noProof/>
                <w:webHidden/>
              </w:rPr>
            </w:r>
            <w:r>
              <w:rPr>
                <w:noProof/>
                <w:webHidden/>
              </w:rPr>
              <w:fldChar w:fldCharType="separate"/>
            </w:r>
            <w:r>
              <w:rPr>
                <w:noProof/>
                <w:webHidden/>
              </w:rPr>
              <w:t>22</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7" w:history="1">
            <w:r w:rsidRPr="00C8665F">
              <w:rPr>
                <w:rStyle w:val="Hyperlink"/>
                <w:noProof/>
              </w:rPr>
              <w:t>3.9 Scope and Delimitations</w:t>
            </w:r>
            <w:r>
              <w:rPr>
                <w:noProof/>
                <w:webHidden/>
              </w:rPr>
              <w:tab/>
            </w:r>
            <w:r>
              <w:rPr>
                <w:noProof/>
                <w:webHidden/>
              </w:rPr>
              <w:fldChar w:fldCharType="begin"/>
            </w:r>
            <w:r>
              <w:rPr>
                <w:noProof/>
                <w:webHidden/>
              </w:rPr>
              <w:instrText xml:space="preserve"> PAGEREF _Toc225775727 \h </w:instrText>
            </w:r>
            <w:r>
              <w:rPr>
                <w:noProof/>
                <w:webHidden/>
              </w:rPr>
            </w:r>
            <w:r>
              <w:rPr>
                <w:noProof/>
                <w:webHidden/>
              </w:rPr>
              <w:fldChar w:fldCharType="separate"/>
            </w:r>
            <w:r>
              <w:rPr>
                <w:noProof/>
                <w:webHidden/>
              </w:rPr>
              <w:t>22</w:t>
            </w:r>
            <w:r>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728" w:history="1">
            <w:r w:rsidRPr="00C8665F">
              <w:rPr>
                <w:rStyle w:val="Hyperlink"/>
                <w:noProof/>
              </w:rPr>
              <w:t>4. Resource Implication and Time Plan.</w:t>
            </w:r>
            <w:r>
              <w:rPr>
                <w:noProof/>
                <w:webHidden/>
              </w:rPr>
              <w:tab/>
            </w:r>
            <w:r>
              <w:rPr>
                <w:noProof/>
                <w:webHidden/>
              </w:rPr>
              <w:fldChar w:fldCharType="begin"/>
            </w:r>
            <w:r>
              <w:rPr>
                <w:noProof/>
                <w:webHidden/>
              </w:rPr>
              <w:instrText xml:space="preserve"> PAGEREF _Toc225775728 \h </w:instrText>
            </w:r>
            <w:r>
              <w:rPr>
                <w:noProof/>
                <w:webHidden/>
              </w:rPr>
            </w:r>
            <w:r>
              <w:rPr>
                <w:noProof/>
                <w:webHidden/>
              </w:rPr>
              <w:fldChar w:fldCharType="separate"/>
            </w:r>
            <w:r>
              <w:rPr>
                <w:noProof/>
                <w:webHidden/>
              </w:rPr>
              <w:t>24</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29" w:history="1">
            <w:r w:rsidRPr="00C8665F">
              <w:rPr>
                <w:rStyle w:val="Hyperlink"/>
                <w:noProof/>
              </w:rPr>
              <w:t>4.1 Resource Implications</w:t>
            </w:r>
            <w:r>
              <w:rPr>
                <w:noProof/>
                <w:webHidden/>
              </w:rPr>
              <w:tab/>
            </w:r>
            <w:r>
              <w:rPr>
                <w:noProof/>
                <w:webHidden/>
              </w:rPr>
              <w:fldChar w:fldCharType="begin"/>
            </w:r>
            <w:r>
              <w:rPr>
                <w:noProof/>
                <w:webHidden/>
              </w:rPr>
              <w:instrText xml:space="preserve"> PAGEREF _Toc225775729 \h </w:instrText>
            </w:r>
            <w:r>
              <w:rPr>
                <w:noProof/>
                <w:webHidden/>
              </w:rPr>
            </w:r>
            <w:r>
              <w:rPr>
                <w:noProof/>
                <w:webHidden/>
              </w:rPr>
              <w:fldChar w:fldCharType="separate"/>
            </w:r>
            <w:r>
              <w:rPr>
                <w:noProof/>
                <w:webHidden/>
              </w:rPr>
              <w:t>24</w:t>
            </w:r>
            <w:r>
              <w:rPr>
                <w:noProof/>
                <w:webHidden/>
              </w:rPr>
              <w:fldChar w:fldCharType="end"/>
            </w:r>
          </w:hyperlink>
        </w:p>
        <w:p w:rsidR="00AE5E83" w:rsidRDefault="00AE5E83">
          <w:pPr>
            <w:pStyle w:val="TOC2"/>
            <w:tabs>
              <w:tab w:val="right" w:leader="dot" w:pos="9350"/>
            </w:tabs>
            <w:rPr>
              <w:rFonts w:asciiTheme="minorHAnsi" w:eastAsiaTheme="minorEastAsia" w:hAnsiTheme="minorHAnsi"/>
              <w:noProof/>
              <w:sz w:val="22"/>
              <w:lang w:val="en-US"/>
            </w:rPr>
          </w:pPr>
          <w:hyperlink w:anchor="_Toc225775730" w:history="1">
            <w:r w:rsidRPr="00C8665F">
              <w:rPr>
                <w:rStyle w:val="Hyperlink"/>
                <w:noProof/>
              </w:rPr>
              <w:t>4.2 Time Plan</w:t>
            </w:r>
            <w:r>
              <w:rPr>
                <w:noProof/>
                <w:webHidden/>
              </w:rPr>
              <w:tab/>
            </w:r>
            <w:r>
              <w:rPr>
                <w:noProof/>
                <w:webHidden/>
              </w:rPr>
              <w:fldChar w:fldCharType="begin"/>
            </w:r>
            <w:r>
              <w:rPr>
                <w:noProof/>
                <w:webHidden/>
              </w:rPr>
              <w:instrText xml:space="preserve"> PAGEREF _Toc225775730 \h </w:instrText>
            </w:r>
            <w:r>
              <w:rPr>
                <w:noProof/>
                <w:webHidden/>
              </w:rPr>
            </w:r>
            <w:r>
              <w:rPr>
                <w:noProof/>
                <w:webHidden/>
              </w:rPr>
              <w:fldChar w:fldCharType="separate"/>
            </w:r>
            <w:r>
              <w:rPr>
                <w:noProof/>
                <w:webHidden/>
              </w:rPr>
              <w:t>25</w:t>
            </w:r>
            <w:r>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731" w:history="1">
            <w:r w:rsidRPr="00C8665F">
              <w:rPr>
                <w:rStyle w:val="Hyperlink"/>
                <w:noProof/>
              </w:rPr>
              <w:t>5. Expected Research Outcomes</w:t>
            </w:r>
            <w:r>
              <w:rPr>
                <w:noProof/>
                <w:webHidden/>
              </w:rPr>
              <w:tab/>
            </w:r>
            <w:r>
              <w:rPr>
                <w:noProof/>
                <w:webHidden/>
              </w:rPr>
              <w:fldChar w:fldCharType="begin"/>
            </w:r>
            <w:r>
              <w:rPr>
                <w:noProof/>
                <w:webHidden/>
              </w:rPr>
              <w:instrText xml:space="preserve"> PAGEREF _Toc225775731 \h </w:instrText>
            </w:r>
            <w:r>
              <w:rPr>
                <w:noProof/>
                <w:webHidden/>
              </w:rPr>
            </w:r>
            <w:r>
              <w:rPr>
                <w:noProof/>
                <w:webHidden/>
              </w:rPr>
              <w:fldChar w:fldCharType="separate"/>
            </w:r>
            <w:r>
              <w:rPr>
                <w:noProof/>
                <w:webHidden/>
              </w:rPr>
              <w:t>26</w:t>
            </w:r>
            <w:r>
              <w:rPr>
                <w:noProof/>
                <w:webHidden/>
              </w:rPr>
              <w:fldChar w:fldCharType="end"/>
            </w:r>
          </w:hyperlink>
        </w:p>
        <w:p w:rsidR="00AE5E83" w:rsidRDefault="00AE5E83">
          <w:pPr>
            <w:pStyle w:val="TOC1"/>
            <w:tabs>
              <w:tab w:val="right" w:leader="dot" w:pos="9350"/>
            </w:tabs>
            <w:rPr>
              <w:rFonts w:asciiTheme="minorHAnsi" w:eastAsiaTheme="minorEastAsia" w:hAnsiTheme="minorHAnsi"/>
              <w:noProof/>
              <w:sz w:val="22"/>
              <w:lang w:val="en-US"/>
            </w:rPr>
          </w:pPr>
          <w:hyperlink w:anchor="_Toc225775732" w:history="1">
            <w:r w:rsidRPr="00C8665F">
              <w:rPr>
                <w:rStyle w:val="Hyperlink"/>
                <w:rFonts w:cs="Times New Roman"/>
                <w:noProof/>
              </w:rPr>
              <w:t>References</w:t>
            </w:r>
            <w:r>
              <w:rPr>
                <w:noProof/>
                <w:webHidden/>
              </w:rPr>
              <w:tab/>
            </w:r>
            <w:r>
              <w:rPr>
                <w:noProof/>
                <w:webHidden/>
              </w:rPr>
              <w:fldChar w:fldCharType="begin"/>
            </w:r>
            <w:r>
              <w:rPr>
                <w:noProof/>
                <w:webHidden/>
              </w:rPr>
              <w:instrText xml:space="preserve"> PAGEREF _Toc225775732 \h </w:instrText>
            </w:r>
            <w:r>
              <w:rPr>
                <w:noProof/>
                <w:webHidden/>
              </w:rPr>
            </w:r>
            <w:r>
              <w:rPr>
                <w:noProof/>
                <w:webHidden/>
              </w:rPr>
              <w:fldChar w:fldCharType="separate"/>
            </w:r>
            <w:r>
              <w:rPr>
                <w:noProof/>
                <w:webHidden/>
              </w:rPr>
              <w:t>27</w:t>
            </w:r>
            <w:r>
              <w:rPr>
                <w:noProof/>
                <w:webHidden/>
              </w:rPr>
              <w:fldChar w:fldCharType="end"/>
            </w:r>
          </w:hyperlink>
        </w:p>
        <w:p w:rsidR="00D8246C" w:rsidRPr="00E93370" w:rsidRDefault="00D8246C">
          <w:pPr>
            <w:rPr>
              <w:rFonts w:cs="Times New Roman"/>
            </w:rPr>
          </w:pPr>
          <w:r w:rsidRPr="00E93370">
            <w:rPr>
              <w:rFonts w:cs="Times New Roman"/>
              <w:b/>
              <w:bCs/>
              <w:noProof/>
            </w:rPr>
            <w:fldChar w:fldCharType="end"/>
          </w:r>
        </w:p>
      </w:sdtContent>
    </w:sdt>
    <w:p w:rsidR="00D8246C" w:rsidRPr="00E93370" w:rsidRDefault="00D8246C" w:rsidP="00D8246C">
      <w:pPr>
        <w:jc w:val="left"/>
        <w:rPr>
          <w:rFonts w:cs="Times New Roman"/>
        </w:rPr>
      </w:pPr>
      <w:r w:rsidRPr="00E93370">
        <w:rPr>
          <w:rFonts w:cs="Times New Roman"/>
        </w:rPr>
        <w:br w:type="page"/>
      </w:r>
    </w:p>
    <w:p w:rsidR="00D8246C" w:rsidRPr="00E93370" w:rsidRDefault="00E012E2" w:rsidP="00D8246C">
      <w:pPr>
        <w:pStyle w:val="Heading1"/>
        <w:rPr>
          <w:rFonts w:cs="Times New Roman"/>
        </w:rPr>
      </w:pPr>
      <w:bookmarkStart w:id="1" w:name="_Toc225775699"/>
      <w:r>
        <w:rPr>
          <w:rFonts w:cs="Times New Roman"/>
        </w:rPr>
        <w:lastRenderedPageBreak/>
        <w:t xml:space="preserve">1. </w:t>
      </w:r>
      <w:r w:rsidR="00D8246C" w:rsidRPr="00E93370">
        <w:rPr>
          <w:rFonts w:cs="Times New Roman"/>
        </w:rPr>
        <w:t>Introduction</w:t>
      </w:r>
      <w:bookmarkEnd w:id="1"/>
    </w:p>
    <w:p w:rsidR="00475558" w:rsidRPr="00475558" w:rsidRDefault="00475558" w:rsidP="00E012E2">
      <w:pPr>
        <w:pStyle w:val="Heading2"/>
      </w:pPr>
      <w:bookmarkStart w:id="2" w:name="_Toc225775700"/>
      <w:r w:rsidRPr="00475558">
        <w:t>1.1 Background of the Research</w:t>
      </w:r>
      <w:bookmarkEnd w:id="2"/>
    </w:p>
    <w:p w:rsidR="00475558" w:rsidRPr="00475558" w:rsidRDefault="00475558" w:rsidP="00475558">
      <w:r w:rsidRPr="00475558">
        <w:t>The financial services market in the UK has experienced a paradigm shift in the last ten years, which has largely been led by the advent of open banking. Open banking was required by the Competition and Markets Authority in 2016 after it was discovered that the established banks were not competing sufficiently to attract consumers, thus restricting consumer choice and financial empowerment (Competi</w:t>
      </w:r>
      <w:r w:rsidR="00CB5365">
        <w:t>tion and Markets Authority, 2024</w:t>
      </w:r>
      <w:r w:rsidRPr="00475558">
        <w:t>). This regulatory intervention made the nine largest banks in the UK share customer data with third-party providers that were approved. This led to the technical feasibility of the new generation of consumer-facing financial management tools.</w:t>
      </w:r>
    </w:p>
    <w:p w:rsidR="00475558" w:rsidRPr="00475558" w:rsidRDefault="00475558" w:rsidP="00475558">
      <w:r w:rsidRPr="00475558">
        <w:t>Adoption has been of significant magnitude. Open banking had 16.5 million user connections in the UK by the year 2025, and this is an upward growth of 36 per cent per year on year (Open Banking Limited, 2026). The proportion of consumers in the UK using the technology on a regular basis has increased to a fifth of all consumers, or only one in every seventeen in 2021 (Open Banking Limited, 2025). In this ecosystem, Monzo has become a digital-native bank that is one of the leading ones. It currently serves 12.2 million customers and brings in more than £1 billion every year and has a Net Promoter Score of 70, which is many times higher than the industry average (Monzo, 2025). More than 6.1 million customers have used open banking features at Monzo, and this allows them to keep track of their money by using Salary Sorter, Spending Budgets and Bills Pots, among other tools, all accessible through one interface (</w:t>
      </w:r>
      <w:hyperlink r:id="rId9" w:tgtFrame="_blank" w:history="1">
        <w:r w:rsidRPr="00475558">
          <w:rPr>
            <w:rStyle w:val="Hyperlink"/>
          </w:rPr>
          <w:t>Tech.eu</w:t>
        </w:r>
      </w:hyperlink>
      <w:r w:rsidR="00EA437E">
        <w:t>, 2025</w:t>
      </w:r>
      <w:r w:rsidRPr="00475558">
        <w:t xml:space="preserve">). These applications are an important pragmatic chance to manage daily money usage of consumers. Nonetheless, a question that is open and relevant is whether they are being well adopted, trusted and utilised to the fullest potential they possess. This study will then explore the influence of open </w:t>
      </w:r>
      <w:r w:rsidRPr="00475558">
        <w:lastRenderedPageBreak/>
        <w:t>banking capabilities at Monzo on consumer behaviour of money management and why consumers do not trust and adopt it equally throughout the UK.</w:t>
      </w:r>
    </w:p>
    <w:p w:rsidR="00475558" w:rsidRPr="00475558" w:rsidRDefault="00475558" w:rsidP="00E012E2">
      <w:pPr>
        <w:pStyle w:val="Heading2"/>
      </w:pPr>
      <w:bookmarkStart w:id="3" w:name="_Toc225775701"/>
      <w:r w:rsidRPr="00475558">
        <w:t xml:space="preserve">1.2 </w:t>
      </w:r>
      <w:r w:rsidR="00D3212A">
        <w:t>Research Problem</w:t>
      </w:r>
      <w:bookmarkEnd w:id="3"/>
    </w:p>
    <w:p w:rsidR="006D0C0D" w:rsidRPr="007D3896" w:rsidRDefault="00475558" w:rsidP="007D3896">
      <w:r w:rsidRPr="00475558">
        <w:t xml:space="preserve">Regardless of its expansion, open banking in the UK is characterised by unresolved issues that are the direct driving force behind this study. A major obstacle is consumer confidence. The slightly less digitally literate citizens are more hesitant to share the financial data, and the knowledge of the available tools is limited among the essential segments of the population (Financial Conduct Authority, 2025a). This is especially worrying due to the extent of financial vulnerability in the UK. In 2024, 14.6 million adults in the UK said that they struggled with the cost of living, but only 9% were using a regulated financial adviser (Financial Conduct Authority, 2024). </w:t>
      </w:r>
      <w:r w:rsidR="00FA20BE" w:rsidRPr="00FA20BE">
        <w:t>The lack of connection between the existence of technology on one hand and the ways in which that technology can be applied in the real world on the other is an untenable issue that provokes the inevitable question of whether open banking tools such as those offered by Monzo are literally reaching the people</w:t>
      </w:r>
      <w:r w:rsidR="00FA20BE">
        <w:t xml:space="preserve"> who are in need</w:t>
      </w:r>
      <w:r w:rsidR="00FA20BE" w:rsidRPr="00FA20BE">
        <w:t>. Moreover, the consumer knowledge, online literacy and confidence of data sharing are the physical barriers to interaction.</w:t>
      </w:r>
      <w:r w:rsidR="00FA20BE">
        <w:t xml:space="preserve"> </w:t>
      </w:r>
      <w:r w:rsidR="00A26142" w:rsidRPr="00A26142">
        <w:t>The purpose of this research, in its turn, is to learn about the attitudes of Monzo users to open banking tools, their trust level, how Monzo can be applied to better be in control of money, and what barriers to adoption can inhibit a more substantial and diverse adoption.</w:t>
      </w:r>
      <w:r w:rsidR="006E7990">
        <w:t xml:space="preserve"> To solve these problems the research has following aim, objectives, and questions:</w:t>
      </w:r>
    </w:p>
    <w:p w:rsidR="005758F2" w:rsidRPr="007D3896" w:rsidRDefault="007D3896" w:rsidP="007D3896">
      <w:pPr>
        <w:pStyle w:val="Heading3"/>
      </w:pPr>
      <w:bookmarkStart w:id="4" w:name="_Toc225775702"/>
      <w:r>
        <w:t>1.2.1</w:t>
      </w:r>
      <w:r w:rsidR="00475558" w:rsidRPr="00475558">
        <w:t xml:space="preserve"> </w:t>
      </w:r>
      <w:r w:rsidR="005758F2" w:rsidRPr="005758F2">
        <w:t>Aim</w:t>
      </w:r>
      <w:bookmarkEnd w:id="4"/>
    </w:p>
    <w:p w:rsidR="00475558" w:rsidRPr="00475558" w:rsidRDefault="00475558" w:rsidP="00475558">
      <w:r w:rsidRPr="00475558">
        <w:t>The aim of this research is to examine the role of open banking in enhancing consumer money management, with a focused case study on Monzo in the UK.</w:t>
      </w:r>
    </w:p>
    <w:p w:rsidR="00475558" w:rsidRPr="005758F2" w:rsidRDefault="007D3896" w:rsidP="007D3896">
      <w:pPr>
        <w:pStyle w:val="Heading3"/>
      </w:pPr>
      <w:bookmarkStart w:id="5" w:name="_Toc225775703"/>
      <w:r>
        <w:lastRenderedPageBreak/>
        <w:t xml:space="preserve">1.2.2 </w:t>
      </w:r>
      <w:r w:rsidR="005758F2" w:rsidRPr="005758F2">
        <w:t>Objectives</w:t>
      </w:r>
      <w:bookmarkEnd w:id="5"/>
    </w:p>
    <w:p w:rsidR="00475558" w:rsidRPr="00475558" w:rsidRDefault="00475558" w:rsidP="00475558">
      <w:pPr>
        <w:numPr>
          <w:ilvl w:val="0"/>
          <w:numId w:val="3"/>
        </w:numPr>
      </w:pPr>
      <w:r w:rsidRPr="00475558">
        <w:t>To analyse the specific open banking features offered by Monzo and their impact on users' everyday money management behaviours.</w:t>
      </w:r>
    </w:p>
    <w:p w:rsidR="00475558" w:rsidRPr="00475558" w:rsidRDefault="00475558" w:rsidP="00475558">
      <w:pPr>
        <w:numPr>
          <w:ilvl w:val="0"/>
          <w:numId w:val="3"/>
        </w:numPr>
      </w:pPr>
      <w:r w:rsidRPr="00475558">
        <w:t>To evaluate the levels of consumer trust and adoption of open banking services among Monzo users in the UK.</w:t>
      </w:r>
    </w:p>
    <w:p w:rsidR="00475558" w:rsidRPr="00475558" w:rsidRDefault="00475558" w:rsidP="00475558">
      <w:pPr>
        <w:numPr>
          <w:ilvl w:val="0"/>
          <w:numId w:val="3"/>
        </w:numPr>
      </w:pPr>
      <w:r w:rsidRPr="00475558">
        <w:t>To analyse the challenges and opportunities associated with using Monzo's open banking tools for personal financial management.</w:t>
      </w:r>
    </w:p>
    <w:p w:rsidR="00475558" w:rsidRPr="005758F2" w:rsidRDefault="007D3896" w:rsidP="007D3896">
      <w:pPr>
        <w:pStyle w:val="Heading3"/>
      </w:pPr>
      <w:bookmarkStart w:id="6" w:name="_Toc225775704"/>
      <w:r>
        <w:t xml:space="preserve">1.2.3 </w:t>
      </w:r>
      <w:r w:rsidR="005758F2" w:rsidRPr="005758F2">
        <w:t xml:space="preserve">Research </w:t>
      </w:r>
      <w:r w:rsidR="00475558" w:rsidRPr="005758F2">
        <w:t>Questions</w:t>
      </w:r>
      <w:bookmarkEnd w:id="6"/>
    </w:p>
    <w:p w:rsidR="00475558" w:rsidRPr="00475558" w:rsidRDefault="00475558" w:rsidP="00475558">
      <w:pPr>
        <w:numPr>
          <w:ilvl w:val="0"/>
          <w:numId w:val="4"/>
        </w:numPr>
      </w:pPr>
      <w:r w:rsidRPr="00475558">
        <w:t>What specific open banking features does Monzo offer, and how do these impact users' everyday money management behaviours?</w:t>
      </w:r>
    </w:p>
    <w:p w:rsidR="00475558" w:rsidRPr="00475558" w:rsidRDefault="00475558" w:rsidP="00475558">
      <w:pPr>
        <w:numPr>
          <w:ilvl w:val="0"/>
          <w:numId w:val="4"/>
        </w:numPr>
      </w:pPr>
      <w:r w:rsidRPr="00475558">
        <w:t>What are the levels of consumer trust and adoption of open banking services among Monzo users in the UK?</w:t>
      </w:r>
    </w:p>
    <w:p w:rsidR="00475558" w:rsidRPr="00475558" w:rsidRDefault="00475558" w:rsidP="00475558">
      <w:pPr>
        <w:numPr>
          <w:ilvl w:val="0"/>
          <w:numId w:val="4"/>
        </w:numPr>
      </w:pPr>
      <w:r w:rsidRPr="00475558">
        <w:t>What are the key challenges and opportunities associated with using Monzo's open banking tools for personal financial management?</w:t>
      </w:r>
    </w:p>
    <w:p w:rsidR="006D0C0D" w:rsidRDefault="006D0C0D">
      <w:pPr>
        <w:spacing w:after="160" w:line="259" w:lineRule="auto"/>
        <w:jc w:val="left"/>
        <w:rPr>
          <w:rFonts w:eastAsiaTheme="majorEastAsia" w:cstheme="majorBidi"/>
          <w:b/>
          <w:sz w:val="28"/>
          <w:szCs w:val="26"/>
        </w:rPr>
      </w:pPr>
      <w:r>
        <w:br w:type="page"/>
      </w:r>
    </w:p>
    <w:p w:rsidR="00475558" w:rsidRPr="00475558" w:rsidRDefault="006E7990" w:rsidP="00E012E2">
      <w:pPr>
        <w:pStyle w:val="Heading2"/>
      </w:pPr>
      <w:bookmarkStart w:id="7" w:name="_Toc225775705"/>
      <w:r>
        <w:lastRenderedPageBreak/>
        <w:t>1.3</w:t>
      </w:r>
      <w:r w:rsidR="00475558" w:rsidRPr="00475558">
        <w:t xml:space="preserve"> Rationale of the Research</w:t>
      </w:r>
      <w:bookmarkEnd w:id="7"/>
    </w:p>
    <w:p w:rsidR="00475558" w:rsidRPr="00475558" w:rsidRDefault="00475558" w:rsidP="00475558">
      <w:r w:rsidRPr="00475558">
        <w:t>There are practical as well as academic justifications of this research. In practice, the National Payments Vision of the UK government acknowledges that the potential of open banking in everyday consumer payment is largely untapped and, therefore, consumer-level evidence is opportune and policy-relevant (HM Treasury, 2024). On an academic level, the FCA has singled out consumer trust and digital literacy as core, but not fully explored, aspects of open banking uptake, with a very noticeable knowledge gap regarding the data-sharing behavioural patterns and consent registration (Financial Conduct Authority, 2025b). This study will add original, empirically-based information to the body of literature where the scholarship, when compared to the industry and regulatory changes, is still lagging.</w:t>
      </w:r>
    </w:p>
    <w:p w:rsidR="00E012E2" w:rsidRDefault="00E012E2">
      <w:pPr>
        <w:spacing w:after="160" w:line="259" w:lineRule="auto"/>
        <w:jc w:val="left"/>
      </w:pPr>
      <w:r>
        <w:br w:type="page"/>
      </w:r>
    </w:p>
    <w:p w:rsidR="00475558" w:rsidRPr="00475558" w:rsidRDefault="00475558" w:rsidP="00E012E2">
      <w:pPr>
        <w:pStyle w:val="Heading1"/>
      </w:pPr>
      <w:bookmarkStart w:id="8" w:name="_Toc225775706"/>
      <w:r w:rsidRPr="00475558">
        <w:lastRenderedPageBreak/>
        <w:t>2. Literature Review</w:t>
      </w:r>
      <w:bookmarkEnd w:id="8"/>
    </w:p>
    <w:p w:rsidR="00475558" w:rsidRPr="00475558" w:rsidRDefault="00475558" w:rsidP="00E012E2">
      <w:pPr>
        <w:pStyle w:val="Heading2"/>
      </w:pPr>
      <w:bookmarkStart w:id="9" w:name="_Toc225775707"/>
      <w:r w:rsidRPr="00475558">
        <w:t>2.1 Theoretical Framework</w:t>
      </w:r>
      <w:bookmarkEnd w:id="9"/>
    </w:p>
    <w:p w:rsidR="00475558" w:rsidRPr="00475558" w:rsidRDefault="00475558" w:rsidP="00E012E2">
      <w:pPr>
        <w:pStyle w:val="Heading3"/>
      </w:pPr>
      <w:bookmarkStart w:id="10" w:name="_Toc225775708"/>
      <w:r w:rsidRPr="00475558">
        <w:t>2.1.1 Technology Acceptance Model (TAM)</w:t>
      </w:r>
      <w:bookmarkEnd w:id="10"/>
    </w:p>
    <w:p w:rsidR="00475558" w:rsidRPr="00475558" w:rsidRDefault="00475558" w:rsidP="00475558">
      <w:r w:rsidRPr="00475558">
        <w:t>The Technology Acceptance Model was put forward by Davis (1989), who stated that the two most important factors that defined the intention of a person to use new technologies were perceived usefulness and perceived ease of use. TAM offers a conceptual framework that facilitates the understanding of the reasons behind the consumers who prefer using the digital money-managing tools, including Monzo. Its advantage is its parsimony and empirical strength in a variety of technological settings, which allows it to be applied widely to financial services adoption (Stewart and Jürjens, 2018). Nevertheless, TAM has faced the criticism of missing trust and perceived risk as determinants of adoption, which is especially significant in the context of financial data-sharing (Desiraju, Mishra and Sengupta, 2024). TAM will be used in this study in designing data collection tools and analysing interpretations of consumer reactions to perceived usefulness and ease of use about Monzo.</w:t>
      </w:r>
    </w:p>
    <w:p w:rsidR="00475558" w:rsidRPr="00475558" w:rsidRDefault="00475558" w:rsidP="00E012E2">
      <w:pPr>
        <w:pStyle w:val="Heading3"/>
      </w:pPr>
      <w:bookmarkStart w:id="11" w:name="_Toc225775709"/>
      <w:r w:rsidRPr="00475558">
        <w:t>2.1.2 Unified Theory of Acceptance and Use of Technology (UTAUT)</w:t>
      </w:r>
      <w:bookmarkEnd w:id="11"/>
    </w:p>
    <w:p w:rsidR="00475558" w:rsidRPr="00475558" w:rsidRDefault="00475558" w:rsidP="00475558">
      <w:r w:rsidRPr="00475558">
        <w:t>Venkatesh et al. (2003) created UTAUT through synthesising the eight competing models of adoption and determined that performance expectancy, effort expectancy, and social influence, as well as facilitating conditions, were central predictors of technology use intention. UTAUT is a better explanatory model in comparison to TAM because it includes social and contextual variables of open banking adoption among various consumer segments (Chan et al., 2022). However, it is also estimated that UTAUT performs poorly in situations where the issue of trust and privacy is paramount, which is supported by meta-analytic data on 127 mobile banking studie</w:t>
      </w:r>
      <w:r w:rsidR="00E31C2B">
        <w:t xml:space="preserve">s (Jadil, Rana </w:t>
      </w:r>
      <w:r w:rsidR="00E31C2B">
        <w:lastRenderedPageBreak/>
        <w:t>and Dwivedi, 2025</w:t>
      </w:r>
      <w:r w:rsidRPr="00475558">
        <w:t>). UTAUT will be used to supplement TAM in the design and analysis of the instruments in this study, which will present a more extensive analytical framework in the process of interpretation of social and contextual factors of adoption behaviour and money management performance among Monzo users.</w:t>
      </w:r>
    </w:p>
    <w:p w:rsidR="00475558" w:rsidRPr="00475558" w:rsidRDefault="00475558" w:rsidP="00E012E2">
      <w:pPr>
        <w:pStyle w:val="Heading2"/>
      </w:pPr>
      <w:bookmarkStart w:id="12" w:name="_Toc225775710"/>
      <w:r w:rsidRPr="00475558">
        <w:t>2.2 Open Banking in the UK: Evolution, Regulation and Policy Context</w:t>
      </w:r>
      <w:bookmarkEnd w:id="12"/>
    </w:p>
    <w:p w:rsidR="00475558" w:rsidRPr="00475558" w:rsidRDefault="00475558" w:rsidP="00475558">
      <w:r w:rsidRPr="00475558">
        <w:t>The concept of open banking can be argued as a data-sharing model in which consumers can share their financial information with authorised third-party providers with the aid of standardised application programming interfaces, which facilitates new financial products and services (Briones de Araluze and Cassinello Plaza, 2022). It has a history in the UK in a structural competition issue that a Competition and Markets Authority study (2016) found revealed established banks did not compete sufficiently against consumers. By January 2018, the nine largest banks in the UK were then ordered by the CMA Order 2017 to implement open APIs and, in the process, created the Open Banking Implementation Entity to develop technical standards on which the ecosystem would be based (Competition and Markets Authority, 2017). This transition was initially theoretically justified by Zachariadis and Ozcan (2017), who stated that open APIs are fundamentally redefining the structure of financial services because they allow third parties to access consumer data in silos before.</w:t>
      </w:r>
    </w:p>
    <w:p w:rsidR="00475558" w:rsidRPr="00475558" w:rsidRDefault="00475558" w:rsidP="00475558">
      <w:r w:rsidRPr="00475558">
        <w:t xml:space="preserve">The UK ecosystem has grown significantly, although not without structural tensions, since its launch. In Open Banking Limited (2021), the authors reported an almost hundred per cent increase in API calls in 2018-2020, whereas Dincsol, Ozcan and Zachariadis (2023) critically showed that interoperability is not a natural outcome of standardisation, as actors implement standardisation in a divergent way, which leads to architectural bottlenecks. The designation of the FCA as the sole regulator by the National Payments Vision is an indicator of a more mature policy environment </w:t>
      </w:r>
      <w:r w:rsidRPr="00475558">
        <w:lastRenderedPageBreak/>
        <w:t>(HM Treasury, 2024), and Variable Recurring Payments are now operationalised under a 31-firm commercial scheme (Financial Conduct Authority, 2025b). However, the shift between the regulatory requirement and the truly consumer-focused results is still not achieved, which gives the research a valuable background of the context.</w:t>
      </w:r>
    </w:p>
    <w:p w:rsidR="00475558" w:rsidRPr="00475558" w:rsidRDefault="00475558" w:rsidP="00E012E2">
      <w:pPr>
        <w:pStyle w:val="Heading2"/>
      </w:pPr>
      <w:bookmarkStart w:id="13" w:name="_Toc225775711"/>
      <w:r w:rsidRPr="00475558">
        <w:t>2.3 Open Banking and Consumer Money Management</w:t>
      </w:r>
      <w:bookmarkEnd w:id="13"/>
    </w:p>
    <w:p w:rsidR="00475558" w:rsidRPr="00475558" w:rsidRDefault="00475558" w:rsidP="00475558">
      <w:r w:rsidRPr="00475558">
        <w:t>The most evident consumer advantage of open banking is the ability to revolutionise daily money management. Zachariadis and Ozcan (2017) developed that open APIs facilitate aggregation of accounts and data-driven applications that permit consumers to manage finances provided by various providers through a single interface. Ozili (2018) also revealed the results of multiple cross-country analyses that digital financial tools enhance financial inclusion and assist in better management of money, especially when it comes to underserved populations. The major drawback of these previous studies, however, is that they have been analysing the concept of digital finance in general and not the concept of open banking directly, which makes it unclear how their findings would be applicable to the requirements of platform-specific solutions like the ones provided by Monzo.</w:t>
      </w:r>
    </w:p>
    <w:p w:rsidR="00475558" w:rsidRPr="00475558" w:rsidRDefault="00475558" w:rsidP="00475558">
      <w:r w:rsidRPr="00475558">
        <w:t>The more recent evidence reinforces the argument of open banking possible money management. Niankara et al. (2025) gave econometric evidence on an extensive scale on 139 countries that showed very positive relationships between open banking and formal saving behaviours. In the same way, Babina et al. (2025) employed UK microdata specifically to demonstrate that open banking leads to a decrease in adverse selection in credit markets and access to financial advice. However, Gozman, Hedman and Olsen (2018) warned that the quality of the consumer money management results is significantly different based on the location of a provider in the architecture of the open banking platform, with platform-level variations likely to be a major matter of concern.</w:t>
      </w:r>
    </w:p>
    <w:p w:rsidR="00475558" w:rsidRPr="00475558" w:rsidRDefault="00475558" w:rsidP="00475558">
      <w:r w:rsidRPr="00475558">
        <w:lastRenderedPageBreak/>
        <w:t>Further complexity is added by the fintech innovation literature. In their study, Gozman, Liebenau and Mangan (2018) discovered that challenger banks trust them to generate the value of money management by providing tools that were not accessible in conventional banking. Desiraju, Mishra and Sengupta (2024), however, dulled this enthusiasm with a real user review analysis, which revealed that there is still widespread consumer dissatisfaction regarding the data protection and inadequate feature integration despite the recognition of the value of personalised insights. This is the point at which divergence between the intended functionality and the lived experience of users lies: where macro-level benefits of open banking in money management are being recorded in greater detail, there is little evidence of how specific platform functionalities are actually being lived in reality, specifically within the UK scenario.</w:t>
      </w:r>
    </w:p>
    <w:p w:rsidR="00475558" w:rsidRPr="00475558" w:rsidRDefault="00475558" w:rsidP="00E012E2">
      <w:pPr>
        <w:pStyle w:val="Heading2"/>
      </w:pPr>
      <w:bookmarkStart w:id="14" w:name="_Toc225775712"/>
      <w:r w:rsidRPr="00475558">
        <w:t>2.4 Consumer Trust and Adoption of Open Banking Services</w:t>
      </w:r>
      <w:bookmarkEnd w:id="14"/>
    </w:p>
    <w:p w:rsidR="00475558" w:rsidRPr="00475558" w:rsidRDefault="00475558" w:rsidP="00475558">
      <w:r w:rsidRPr="00475558">
        <w:t>Trust is always determined as the most important factor in open banking adoption. Chan et al. (2022) discovered that all of performance expectancy, perceived risk, and social influence influence the adoption intention, and the counterintuitive result of financial literacy is that financial literacy reduces initial trust, implying that financially mindful consumers are more sceptical of data sharing. This was also confirmed by Briones de Araluze and Cassinello Plaza (2023) in an empirical study conducted in Europe, who discovered that initial trust and social influence are the most predictive predictors of open banking use intention, and reluctance to share data is an important negative predictor. Collectively, these studies demonstrate that trust is a multidimensional construct that is determined by financial awareness, social context, and perceived control over data.</w:t>
      </w:r>
    </w:p>
    <w:p w:rsidR="00475558" w:rsidRPr="00475558" w:rsidRDefault="00475558" w:rsidP="00475558">
      <w:r w:rsidRPr="00475558">
        <w:t xml:space="preserve">The evidence of cross-cultural differences exacerbates the trust picture too. Merhi, Hone and Tarhini (2019) established that perceived security and privacy were significant predictors of </w:t>
      </w:r>
      <w:r w:rsidRPr="00475558">
        <w:lastRenderedPageBreak/>
        <w:t>mobile banking adoption among British consumers in particular, with the model accounting for 83% of the variability in the intention to use the service. Alalwan, Dwivedi and Rana (2017) also established that inclusion of trust into UTAUT2 significantly enhances the model fit in the case of financial services. More importantly, though, both articles have analysed mobile banking and not the open banking specifically, which implies a more delicate data sharing with third parties outside the business bank, thus restricting the scope of application.</w:t>
      </w:r>
    </w:p>
    <w:p w:rsidR="00475558" w:rsidRPr="00475558" w:rsidRDefault="00475558" w:rsidP="00475558">
      <w:r w:rsidRPr="00475558">
        <w:t>The difference between the availability and actual use of technology has not been eliminated. Stewart and Jürjens (2018) found that the percentage of people having used a device of any kind in their lives was almost universal, but less than 1 per cent of the surveyed had been using FinTech services, showing how lack of trust makes advanced technology virtually invisible. This was supported by Polasik and Kotkowski (2022) in 5,500 European consumers and showed that adoption was favourable in younger, digitally active consumers that showed no substantial evidence of benefit to the financially underserved. Mutambik (2023) also contributed that perceived risk is a detriment to loyalty even among current open banking users, which indicates that issues of trust can continue long after the original open banking adoption choice and even during the consumer journey in which the customer continues to use the service.</w:t>
      </w:r>
    </w:p>
    <w:p w:rsidR="00475558" w:rsidRPr="00475558" w:rsidRDefault="00475558" w:rsidP="00E012E2">
      <w:pPr>
        <w:pStyle w:val="Heading2"/>
      </w:pPr>
      <w:bookmarkStart w:id="15" w:name="_Toc225775713"/>
      <w:r w:rsidRPr="00475558">
        <w:t>2.5 Challenges, Risks and Barriers in Open Banking</w:t>
      </w:r>
      <w:bookmarkEnd w:id="15"/>
    </w:p>
    <w:p w:rsidR="00475558" w:rsidRPr="00475558" w:rsidRDefault="00475558" w:rsidP="00475558">
      <w:r w:rsidRPr="00475558">
        <w:t>Regulatory compliance and security are some of the structural issues of open banking. As Mansfield-Devine (2016) opined in early years, APIs represent a broader target of cybercriminals, and the provisions of the PSD2 were not specific enough to ensure the protection of consumers. Mor</w:t>
      </w:r>
      <w:r w:rsidR="00C9374C">
        <w:t>e recently, Gounari et al. (2025</w:t>
      </w:r>
      <w:r w:rsidRPr="00475558">
        <w:t xml:space="preserve">) found ongoing gaps between the requirements of PSD2 operations and the requirements of the EU cybersecurity certification. Placing these problems in a wider business model context, Ramdani, Rothwell and Boukrami (2020) discovered that </w:t>
      </w:r>
      <w:r w:rsidRPr="00475558">
        <w:lastRenderedPageBreak/>
        <w:t>incumbent banks of the United Kingdom were experiencing massive structural impediments such as the presence of old systems and lack of willingness to share data to deliver the full benefit to consumers through the system. Such institutional strains between regulatory purpose and institutional capacity form a theme or motif that is revisited and not resolved throughout the literature.</w:t>
      </w:r>
    </w:p>
    <w:p w:rsidR="00475558" w:rsidRPr="00475558" w:rsidRDefault="00475558" w:rsidP="00475558">
      <w:r w:rsidRPr="00475558">
        <w:t xml:space="preserve">Consumer-level barriers exist parallel to institutional-level barriers and, in many cases, are mutually reinforcing. A study conducted by Rosati et al. (2022) revealed that functional benefits did not affect the adoption of PSD2-enabling services in six European countries with perceived risk acting as a barrier to </w:t>
      </w:r>
      <w:r w:rsidR="00EA437E">
        <w:t>adoption. Torre and Ebardo (2025</w:t>
      </w:r>
      <w:r w:rsidRPr="00475558">
        <w:t>) summarised 47 studies worldwide that all attested that the lack of consumer awareness, reluctance to share data, and regulatory uncertainty are perpetual deterring factors. Sivathanu (2019) also discovered that consumers who were less technologically ready were highly resistant to data sharing even by their third parties, implying that digital literacy is a gatekeeping variable that defines whether consumers can access the benefits of open banking in a manner that is meaningful, which is especially useful when it comes to explaining why unequal adoption patterns are uneven among consumers in the UK.</w:t>
      </w:r>
    </w:p>
    <w:p w:rsidR="00475558" w:rsidRPr="00475558" w:rsidRDefault="00475558" w:rsidP="00475558">
      <w:r w:rsidRPr="00475558">
        <w:t>Privacy governance and behavioural aspects represent an additional unexploited aspect of the challenge. Wang et al. (2020) cited consent mechanisms as structurally inadequate by claiming that cognitive overload causes consumers to form uninformed choices when sharing data irrespective of regulatory protection. Borgogno and Colangelo (2020) noted the consumer inertia, which has not been addressed in the literature, and proved that UK consumers are specifically hesitant to provide financial information to banks other than the main one. Fur</w:t>
      </w:r>
      <w:r w:rsidR="004D6217">
        <w:t>ther indicated by Iornenge (2025</w:t>
      </w:r>
      <w:r w:rsidRPr="00475558">
        <w:t xml:space="preserve">), poor enforcement of regulations contributes to privacy hazards even in the presence of frameworks. All these studies combined demonstrate that the obstacles to open </w:t>
      </w:r>
      <w:r w:rsidRPr="00475558">
        <w:lastRenderedPageBreak/>
        <w:t>banking lie deep in the psychology and behavioural tendencies of consumers that cannot be entirely measured in quantitative surveys of adoption only.</w:t>
      </w:r>
    </w:p>
    <w:p w:rsidR="00475558" w:rsidRPr="00475558" w:rsidRDefault="00475558" w:rsidP="00E012E2">
      <w:pPr>
        <w:pStyle w:val="Heading2"/>
      </w:pPr>
      <w:bookmarkStart w:id="16" w:name="_Toc225775714"/>
      <w:r w:rsidRPr="00475558">
        <w:t>2.6 Literature Gap</w:t>
      </w:r>
      <w:bookmarkEnd w:id="16"/>
    </w:p>
    <w:p w:rsidR="00475558" w:rsidRPr="00475558" w:rsidRDefault="00475558" w:rsidP="00475558">
      <w:r w:rsidRPr="00475558">
        <w:t>The analysed literature provides a solid foundation of knowledge on the adoption of open banking, trust, and consumer outcomes. Nevertheless, there always remain critical gaps. First, most adoption studies implement TAM and UTAUT in non-UK settings, which restricts the ability to directly apply the findings in the specific regulatory and cultural context that Monzo is operating. Second, although macro-level data demonstrates positive but broadly open banking effects, there is significant lack of feature-level research on the role of particular platform tools in defining practices of everyday money management among real users. Third, the trust literature has mainly studied adoption intention but not the continued consumer experience, and therefore, the dynamics of the post-adoption process are under-represented. The proposed study will fill these gaps directly by creating empirical evidence at the level of consumers in a context that has not yet been produced by the existing research.</w:t>
      </w:r>
    </w:p>
    <w:p w:rsidR="00E012E2" w:rsidRDefault="00E012E2">
      <w:pPr>
        <w:spacing w:after="160" w:line="259" w:lineRule="auto"/>
        <w:jc w:val="left"/>
      </w:pPr>
      <w:r>
        <w:br w:type="page"/>
      </w:r>
    </w:p>
    <w:p w:rsidR="00475558" w:rsidRPr="00475558" w:rsidRDefault="00475558" w:rsidP="00E012E2">
      <w:pPr>
        <w:pStyle w:val="Heading1"/>
      </w:pPr>
      <w:bookmarkStart w:id="17" w:name="_Toc225775715"/>
      <w:r w:rsidRPr="00475558">
        <w:lastRenderedPageBreak/>
        <w:t>3. Methodology</w:t>
      </w:r>
      <w:bookmarkEnd w:id="17"/>
    </w:p>
    <w:p w:rsidR="00475558" w:rsidRDefault="00475558" w:rsidP="00475558">
      <w:r w:rsidRPr="00475558">
        <w:t xml:space="preserve">The study follows the methodology of Saunders, Lewis and Thornhill (2019), The Research Onion. </w:t>
      </w:r>
      <w:r w:rsidR="007D3896" w:rsidRPr="007D3896">
        <w:t>The onion entails a structured, layered method of making and just</w:t>
      </w:r>
      <w:r w:rsidR="00393C3E">
        <w:t>ifying research design choices.</w:t>
      </w:r>
    </w:p>
    <w:p w:rsidR="00E012E2" w:rsidRDefault="00E012E2" w:rsidP="00E012E2">
      <w:pPr>
        <w:keepNext/>
        <w:jc w:val="center"/>
      </w:pPr>
      <w:bookmarkStart w:id="18" w:name="_GoBack"/>
      <w:r>
        <w:rPr>
          <w:noProof/>
          <w:lang w:val="en-US"/>
        </w:rPr>
        <w:drawing>
          <wp:inline distT="0" distB="0" distL="0" distR="0" wp14:anchorId="109F2B2C" wp14:editId="4547FF24">
            <wp:extent cx="5225415" cy="3771900"/>
            <wp:effectExtent l="0" t="0" r="0" b="0"/>
            <wp:docPr id="2" name="Picture 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8394" cy="3788487"/>
                    </a:xfrm>
                    <a:prstGeom prst="rect">
                      <a:avLst/>
                    </a:prstGeom>
                    <a:noFill/>
                    <a:ln>
                      <a:noFill/>
                    </a:ln>
                  </pic:spPr>
                </pic:pic>
              </a:graphicData>
            </a:graphic>
          </wp:inline>
        </w:drawing>
      </w:r>
      <w:bookmarkEnd w:id="18"/>
    </w:p>
    <w:p w:rsidR="00E012E2" w:rsidRPr="00E012E2" w:rsidRDefault="00E012E2" w:rsidP="00E012E2">
      <w:pPr>
        <w:pStyle w:val="Caption"/>
        <w:jc w:val="center"/>
      </w:pPr>
      <w:r>
        <w:t xml:space="preserve">Figure </w:t>
      </w:r>
      <w:r>
        <w:fldChar w:fldCharType="begin"/>
      </w:r>
      <w:r>
        <w:instrText xml:space="preserve"> SEQ Figure \* ARABIC </w:instrText>
      </w:r>
      <w:r>
        <w:fldChar w:fldCharType="separate"/>
      </w:r>
      <w:r w:rsidR="003347DF">
        <w:rPr>
          <w:noProof/>
        </w:rPr>
        <w:t>1</w:t>
      </w:r>
      <w:r>
        <w:fldChar w:fldCharType="end"/>
      </w:r>
      <w:r>
        <w:t>: Research Onion, Source: (</w:t>
      </w:r>
      <w:r w:rsidRPr="00E012E2">
        <w:t>Saunders, Lewis and Thornhill, 2019).</w:t>
      </w:r>
    </w:p>
    <w:p w:rsidR="00475558" w:rsidRPr="00475558" w:rsidRDefault="00475558" w:rsidP="00E012E2">
      <w:pPr>
        <w:pStyle w:val="Heading2"/>
      </w:pPr>
      <w:bookmarkStart w:id="19" w:name="_Toc225775716"/>
      <w:r w:rsidRPr="00475558">
        <w:t>3.1 Research Philosophy</w:t>
      </w:r>
      <w:bookmarkEnd w:id="19"/>
    </w:p>
    <w:p w:rsidR="00475558" w:rsidRPr="00475558" w:rsidRDefault="00475558" w:rsidP="00475558">
      <w:r w:rsidRPr="00475558">
        <w:t xml:space="preserve">Research philosophy is the base layer of the research onion, and it reflects what assumptions the researcher has made about what knowledge is and what constitutes reality (Saunders, Lewis and Thornhill, 2019). The philosophy of this research will be pragmatic, since pragmatism presupposes that research enquiries and not abstract philosophical devotions should dictate the most fitting methodology (Saunders, Lewis and Thornhill, 2019). It is applicable in this situation, especially since the study aims to quantify adoption trends and at the same time gain insights into the lived </w:t>
      </w:r>
      <w:r w:rsidRPr="00475558">
        <w:lastRenderedPageBreak/>
        <w:t>experiences and perception of trust by Monzo users in a qualitative manner. A completely positivist approach would narrowly reduce complex consumer behaviours to numerical contributions, whereas a completely interpretivist one would fail to offer the breadth of statistics to make generalisable conclusions. The trend of pragmatism is becoming increasingly suitable in those management studies that necessitate adaptable and pluralistic inquiry of complexity that faces reality (Easterby-Smith, Jackson and Thorpe, 2012). It has the main advantage of not locking the researcher to philosophical considerations but focusing on what best addresses the research question. Nevertheless, it has been argued that pragmatism does not possess a single identity of epistemology, which has the effect of rendering methodological choices seem opportunistic and instantiated by the principles (Saunders, Lewis and Thornhill, 2019).</w:t>
      </w:r>
    </w:p>
    <w:p w:rsidR="00475558" w:rsidRPr="00475558" w:rsidRDefault="00475558" w:rsidP="00E012E2">
      <w:pPr>
        <w:pStyle w:val="Heading2"/>
      </w:pPr>
      <w:bookmarkStart w:id="20" w:name="_Toc225775717"/>
      <w:r w:rsidRPr="00475558">
        <w:t>3.2 Research Approach</w:t>
      </w:r>
      <w:bookmarkEnd w:id="20"/>
    </w:p>
    <w:p w:rsidR="00475558" w:rsidRPr="00475558" w:rsidRDefault="00475558" w:rsidP="00475558">
      <w:r w:rsidRPr="00475558">
        <w:t>In line with pragmatism, this study will be based on abductive reasoning, which shifts between theory and data in an iterative manner and thus is suitable in a study where a pre-existing theoretical framework is needed to be empirically refined in a particular scenario (Saunders, Lewis and Thornhill, 2019). TAM and UTAUT will be the starting point of the theoretical base, yet the qualitative stand will enable the findings situated in the context to appear and enhance the latter frameworks. This is more appropriate than a purely deductive method, which would rigidly put theory to the test, or a purely inductive method, which would ignore the vast existing adoption literature. Abductive methods are quite appropriate in mixed-methods research when it is necessary to provide both theoretical context and richness of the context (Bryman, 2016). Its strength is that theory and evidence feed each other in a cyclic manner during the process of research. Nonetheless, the movement between theory and data could be continuous, which makes the process of the analysis more challenging to handle (Bryman, 2016).</w:t>
      </w:r>
    </w:p>
    <w:p w:rsidR="00475558" w:rsidRPr="00475558" w:rsidRDefault="00475558" w:rsidP="00E012E2">
      <w:pPr>
        <w:pStyle w:val="Heading2"/>
      </w:pPr>
      <w:bookmarkStart w:id="21" w:name="_Toc225775718"/>
      <w:r w:rsidRPr="00475558">
        <w:lastRenderedPageBreak/>
        <w:t>3.3 Research Strategy</w:t>
      </w:r>
      <w:bookmarkEnd w:id="21"/>
    </w:p>
    <w:p w:rsidR="00475558" w:rsidRPr="00475558" w:rsidRDefault="00475558" w:rsidP="00475558">
      <w:r w:rsidRPr="00475558">
        <w:t>This study will utilise a case study approach whereby it will conduct a study with Monzo as a major UK digital bank in the open banking ecosystem. A case study approach suits the research designs where researchers are interested in finding the in-depth understanding of a real-life phenomenon in the context of its organisational and regulatory placement (Flyvbjerg, 2006). Monzo is an especially information-demanding example containing such characteristics as a large and diverse user base, a full range of open banking functionality, and a unique niche in the UK regulatory environment. In this case study, the mixed-method approach is to be used, in that a survey, semi-structured interview, and secondary data analysis cannot cover the scope and complexity of the questions (Saunders, Lewis and Thornhill, 2019). The methodology of triangulation between several data sources contributes to the validity and reliability of the case study results significantly (Bryman and Cramer, 2011). One of the main strengths of a case study approach is its ability to facilitate a clear understanding about what is going on in the world (Flyvbjerg, 2006). Nevertheless, the results based on one organisational case can be considered less generalisable to other digital banking providers (Saunders, Lewis and Thornhill, 2019).</w:t>
      </w:r>
    </w:p>
    <w:p w:rsidR="00475558" w:rsidRPr="00475558" w:rsidRDefault="00475558" w:rsidP="00E012E2">
      <w:pPr>
        <w:pStyle w:val="Heading2"/>
      </w:pPr>
      <w:bookmarkStart w:id="22" w:name="_Toc225775719"/>
      <w:r w:rsidRPr="00475558">
        <w:t>3.4 Research Choice</w:t>
      </w:r>
      <w:bookmarkEnd w:id="22"/>
    </w:p>
    <w:p w:rsidR="00475558" w:rsidRPr="00475558" w:rsidRDefault="00475558" w:rsidP="00475558">
      <w:r w:rsidRPr="00475558">
        <w:t xml:space="preserve">The research study will involve a concurrent mixed-methods approach, that is, quantitative and qualitative data will be collected simultaneously and analysed together in such a way that results of the one strand will serve to enrich and confirm the results of the other in the context of the wider case study (Lowing and Hartas, 2011). Quantitative approaches can be employed to identify trends and measure variables when the sample size is large (Waters, 2011), whereas qualitative methods allow exploring the richness and specifics of human experience unavailable to surveys (Leavy, 2020). A case study approach is one that the concurrent design fits well because it allows various </w:t>
      </w:r>
      <w:r w:rsidRPr="00475558">
        <w:lastRenderedPageBreak/>
        <w:t>pieces of evidence to be collected concerning the same phenomenon at the same time, which creates a more comprehensive and in-depth image of consumer behaviour in the Monzo case. The fact that both types of data are collected simultaneously is also a significant time saving over sequential designs, which is a valuable practical benefit in a time-challenged research project. Nonetheless, the synthesis of the results of two methodologically different strands during the stage of analysis presupposes a high level of interpretive skills and processing (Saunders, Lewis and Thornhill, 2019).</w:t>
      </w:r>
    </w:p>
    <w:p w:rsidR="00475558" w:rsidRPr="00475558" w:rsidRDefault="00475558" w:rsidP="00E012E2">
      <w:pPr>
        <w:pStyle w:val="Heading2"/>
      </w:pPr>
      <w:bookmarkStart w:id="23" w:name="_Toc225775720"/>
      <w:r w:rsidRPr="00475558">
        <w:t>3.5 Time Horizon</w:t>
      </w:r>
      <w:bookmarkEnd w:id="23"/>
    </w:p>
    <w:p w:rsidR="00475558" w:rsidRPr="00475558" w:rsidRDefault="00475558" w:rsidP="00475558">
      <w:r w:rsidRPr="00475558">
        <w:t>The study will be cross-sectional in time, implying that every piece of data obtained will be gathered at one point in time, as it is suitable when the target is to capture a picture of attitudes, behaviours, and perceptions of consumers at a specific point in a given population (Saunders, Lewis and Thornhill, 2019). Given the limitations in time and resources of the research project, a longitudinal design cannot be used since this type of research design will require an extended time and numerous resources. The simultaneous gathering of primary and secondary data will provide some compensation by allowing an ability to draw on the existing industry reports and policy documents to support temporal and regulatory context. Cross-sectional designs are effective and convenient when conducting a study that has fixed time limits (Saunders, Lewis and Thornhill, 2019). Nevertheless, they are not able to replicate how consumer perception of open banking tools can change within a duration, which is also one of the identified limitations of the selected design option (Bryman, 2016).</w:t>
      </w:r>
    </w:p>
    <w:p w:rsidR="00475558" w:rsidRPr="00475558" w:rsidRDefault="00475558" w:rsidP="00E012E2">
      <w:pPr>
        <w:pStyle w:val="Heading2"/>
      </w:pPr>
      <w:bookmarkStart w:id="24" w:name="_Toc225775721"/>
      <w:r w:rsidRPr="00475558">
        <w:lastRenderedPageBreak/>
        <w:t>3.6 Data Collection</w:t>
      </w:r>
      <w:bookmarkEnd w:id="24"/>
    </w:p>
    <w:p w:rsidR="00475558" w:rsidRPr="00475558" w:rsidRDefault="00475558" w:rsidP="00E012E2">
      <w:pPr>
        <w:pStyle w:val="Heading3"/>
      </w:pPr>
      <w:bookmarkStart w:id="25" w:name="_Toc225775722"/>
      <w:r w:rsidRPr="00475558">
        <w:t>3.6.1 Quantitative: Online Survey Questionnaire</w:t>
      </w:r>
      <w:bookmarkEnd w:id="25"/>
    </w:p>
    <w:p w:rsidR="00475558" w:rsidRPr="00475558" w:rsidRDefault="00475558" w:rsidP="00475558">
      <w:r w:rsidRPr="00475558">
        <w:t xml:space="preserve">A </w:t>
      </w:r>
      <w:r w:rsidR="003E57F2">
        <w:t xml:space="preserve">survey </w:t>
      </w:r>
      <w:r w:rsidRPr="00475558">
        <w:t>questionnaire with closed-ended questions will be handed to 150 active UK Monzo users using Google Forms, through purposive convenience sampling to ensure these respondents have firsthand experience with the open banking features of the platfo</w:t>
      </w:r>
      <w:r w:rsidR="003E57F2">
        <w:t xml:space="preserve">rm. </w:t>
      </w:r>
      <w:r w:rsidRPr="00475558">
        <w:t>The questionnaire will be based on a five-point Likert scale; the scales will indicate TAM and UTAUT measures such as the perceived usefulness, ease of use, performance expectancy, social influence, and perceived risk. Distribution will be done by the Monzo-related Reddit communities, social media and direct outreach to the researchers. Cost is also free, as it can be easily used in distributing the survey to geographically spread participants through Google Forms; the information can be easily exported to support statistical analysis (Waters, 2011). Nonetheless, there is a threat of self-selection bias because online community members are probably more digital than the general Monzo users, which may bias the results to be more favourable attitudes toward adoption (Bryman, 2016).</w:t>
      </w:r>
    </w:p>
    <w:p w:rsidR="00475558" w:rsidRPr="00475558" w:rsidRDefault="00475558" w:rsidP="00E012E2">
      <w:pPr>
        <w:pStyle w:val="Heading3"/>
      </w:pPr>
      <w:bookmarkStart w:id="26" w:name="_Toc225775723"/>
      <w:r w:rsidRPr="00475558">
        <w:t>3.6.2 Qualitative: Semi-Structured Interviews</w:t>
      </w:r>
      <w:bookmarkEnd w:id="26"/>
    </w:p>
    <w:p w:rsidR="00475558" w:rsidRPr="00475558" w:rsidRDefault="00475558" w:rsidP="00475558">
      <w:r w:rsidRPr="00475558">
        <w:t xml:space="preserve">The semi-structured interviews will involve 10-15 users of the Monzo service who will be purposely sampled among willing survey participants and varied demographic profiles, usage frequency, and trust level to get a diverse dataset (Bickman and Rog, 2009). The interviews will take between 30 and 45 minutes through a video session as guided by a thematic framework that will utilise a TAM, UTAUT and literature review but will be open enough to accommodate the emergent themes. Such an approach will help to get inspirations and experiential insights behind survey answers unattainable through quantitative information (Leavy, 2020). Being able to probe fields not expected and explore unexpected avenues of inquiry is an evident methodological advantage of this model (Gorman et al., 2005). However, the results are not statistically </w:t>
      </w:r>
      <w:r w:rsidRPr="00475558">
        <w:lastRenderedPageBreak/>
        <w:t>generalisable because of the small purposive sample, which further supports the ability of this strand to complement, rather than substitute, the survey (Morse et al., 2002).</w:t>
      </w:r>
    </w:p>
    <w:p w:rsidR="00475558" w:rsidRPr="00475558" w:rsidRDefault="00475558" w:rsidP="00BF2600">
      <w:pPr>
        <w:pStyle w:val="Heading3"/>
      </w:pPr>
      <w:bookmarkStart w:id="27" w:name="_Toc225775724"/>
      <w:r w:rsidRPr="00475558">
        <w:t>3.6.3 Secondary Data</w:t>
      </w:r>
      <w:bookmarkEnd w:id="27"/>
    </w:p>
    <w:p w:rsidR="00475558" w:rsidRPr="00475558" w:rsidRDefault="00475558" w:rsidP="00475558">
      <w:r w:rsidRPr="00475558">
        <w:t xml:space="preserve">For the analysis of the wider trust issues and opportunities involving the open banking tools at Monzo that cannot be identified solely using primary data, this research will employ the secondary data collection method. </w:t>
      </w:r>
      <w:r w:rsidR="007D3896" w:rsidRPr="007D3896">
        <w:t>The sources will be FCA regulatory publications, annual impact</w:t>
      </w:r>
      <w:r w:rsidR="0002194A">
        <w:t xml:space="preserve"> reports on open banking</w:t>
      </w:r>
      <w:r w:rsidR="007D3896" w:rsidRPr="007D3896">
        <w:t>, financial reports of Monzo, and government policy documents</w:t>
      </w:r>
      <w:r w:rsidR="0002194A">
        <w:t xml:space="preserve">. </w:t>
      </w:r>
      <w:r w:rsidRPr="00475558">
        <w:t>This information will give institutional data on risks of financial crime, regulatory compliance cases, and consumer vulnerability trends and the systemic system of trust in the UK open banking context, which will help in contextualising the primary results and triangulating them. Secondary data provides valid and extensive data but does not require any extra cost of collection (Saunders, Lewis and Thornhill, 2019). However, institutional sources can represent organisational priorities and not consumer-level perspectives, which is a weakness that will be overcome by triangulating it with primary data (Easterby-Smith, Jackson and Thorpe, 2012).</w:t>
      </w:r>
    </w:p>
    <w:p w:rsidR="00475558" w:rsidRPr="00475558" w:rsidRDefault="00475558" w:rsidP="00BF2600">
      <w:pPr>
        <w:pStyle w:val="Heading2"/>
      </w:pPr>
      <w:bookmarkStart w:id="28" w:name="_Toc225775725"/>
      <w:r w:rsidRPr="00475558">
        <w:t>3.7 Data Analysis</w:t>
      </w:r>
      <w:bookmarkEnd w:id="28"/>
    </w:p>
    <w:p w:rsidR="00475558" w:rsidRPr="00475558" w:rsidRDefault="00475558" w:rsidP="00475558">
      <w:r w:rsidRPr="00475558">
        <w:t xml:space="preserve">The analysis of quantitative survey data will be conducted using IBM SPSS based on the descriptive statistics, frequency distributions, mean scores, and correlation analysis to define the tendencies in adoption behaviour and trust levels among 150 users in the sample size (Field, 2013; Bryman and Cramer, 2011). All these statistical outputs will be contrasted with TAM and UTAUT constructs to determine what aspects influence Monzo users to use open banking tools the most. There will be qualitative interview content analysis by hybrid thematic analysis that includes deductive coding based on the utilisation of TAM and UTAUT along with inductive coding to identify the emergent themes using their personal narratives (Fereday and Muir-Cochrane, 2006). </w:t>
      </w:r>
      <w:r w:rsidRPr="00475558">
        <w:lastRenderedPageBreak/>
        <w:t>Member checking and audit trails shall always be employed to find reliability and credibility in the qualitative results (Morse et al., 2002). Lastly, triangulation of primary findings with secondary data will lead to a systematic review and combine regulatory, institutional, and consumer-level findings into a coherent and mutually reinforcing analysis account.</w:t>
      </w:r>
    </w:p>
    <w:p w:rsidR="00475558" w:rsidRPr="00475558" w:rsidRDefault="00475558" w:rsidP="00BF2600">
      <w:pPr>
        <w:pStyle w:val="Heading2"/>
      </w:pPr>
      <w:bookmarkStart w:id="29" w:name="_Toc225775726"/>
      <w:r w:rsidRPr="00475558">
        <w:t>3.8 Ethical Considerations</w:t>
      </w:r>
      <w:bookmarkEnd w:id="29"/>
    </w:p>
    <w:p w:rsidR="00475558" w:rsidRDefault="00475558" w:rsidP="00475558">
      <w:r w:rsidRPr="00475558">
        <w:t>This study will comply with the ethical concerns of the University of Wales Trinity Saint David and applicable professional research standards entirely. The informed written consent will be sent to all participants beforehand, and the opportunity to withdraw will be explicitly explained and will be respected (Saunders, Lewis and Thornhill, 2019). Anonymity and data confidentiality of the participants will be highly observed. The researcher will not keep any personally identifiable information after the direct data collection process, and all the information in electronic format will be kept in safe encrypted files that can only be accessed by the researcher. The tapes of interviews will be destroyed as soon as they are transcribed. The study will not pose any potentially problematic harm to the subjects and will not entail any deception. Reporting will also be truthful and open without falsehood, and this will guarantee the integrity of the research process both at the design phase and also at the stage of dissemination (Bickman and Rog, 2009).</w:t>
      </w:r>
    </w:p>
    <w:p w:rsidR="009E7EA1" w:rsidRPr="009E7EA1" w:rsidRDefault="009E7EA1" w:rsidP="009E7EA1">
      <w:pPr>
        <w:pStyle w:val="Heading2"/>
      </w:pPr>
      <w:bookmarkStart w:id="30" w:name="_Toc225775727"/>
      <w:r w:rsidRPr="009E7EA1">
        <w:t>3.9 Scope and Delimitations</w:t>
      </w:r>
      <w:bookmarkEnd w:id="30"/>
    </w:p>
    <w:p w:rsidR="009E7EA1" w:rsidRPr="009E7EA1" w:rsidRDefault="009E7EA1" w:rsidP="009E7EA1">
      <w:r w:rsidRPr="009E7EA1">
        <w:t xml:space="preserve">The research is purposely limited to current Monzo users in the UK alone, owing to the exclusion of other regional online banks and other markets. The sample will be restricted to people who have actual experience in using the open banking functions of Monzo. The study takes up a cross-sectional period between April and October 2026; that is, behavioural changes over a long period </w:t>
      </w:r>
      <w:r w:rsidRPr="009E7EA1">
        <w:lastRenderedPageBreak/>
        <w:t>cannot be measured. These delimitations make the study viable considering the available resources but are contextually relevant and focused research.</w:t>
      </w:r>
    </w:p>
    <w:p w:rsidR="009E7EA1" w:rsidRPr="009E7EA1" w:rsidRDefault="009E7EA1" w:rsidP="009E7EA1">
      <w:r w:rsidRPr="009E7EA1">
        <w:t> </w:t>
      </w:r>
    </w:p>
    <w:p w:rsidR="009E7EA1" w:rsidRPr="00475558" w:rsidRDefault="009E7EA1" w:rsidP="00475558"/>
    <w:p w:rsidR="00475558" w:rsidRPr="00475558" w:rsidRDefault="00475558" w:rsidP="00475558">
      <w:r w:rsidRPr="00475558">
        <w:t> </w:t>
      </w:r>
    </w:p>
    <w:p w:rsidR="00BF2600" w:rsidRDefault="00BF2600">
      <w:pPr>
        <w:spacing w:after="160" w:line="259" w:lineRule="auto"/>
        <w:jc w:val="left"/>
      </w:pPr>
      <w:r>
        <w:br w:type="page"/>
      </w:r>
    </w:p>
    <w:p w:rsidR="00475558" w:rsidRPr="00475558" w:rsidRDefault="00475558" w:rsidP="00BF2600">
      <w:pPr>
        <w:pStyle w:val="Heading1"/>
      </w:pPr>
      <w:bookmarkStart w:id="31" w:name="_Toc225775728"/>
      <w:r w:rsidRPr="00475558">
        <w:lastRenderedPageBreak/>
        <w:t>4. Resource Implication and Time Plan.</w:t>
      </w:r>
      <w:bookmarkEnd w:id="31"/>
    </w:p>
    <w:p w:rsidR="00475558" w:rsidRPr="00475558" w:rsidRDefault="00475558" w:rsidP="00BF2600">
      <w:pPr>
        <w:pStyle w:val="Heading2"/>
      </w:pPr>
      <w:bookmarkStart w:id="32" w:name="_Toc225775729"/>
      <w:r w:rsidRPr="00475558">
        <w:t>4.1 Resource Implications</w:t>
      </w:r>
      <w:bookmarkEnd w:id="32"/>
    </w:p>
    <w:p w:rsidR="00475558" w:rsidRDefault="00475558" w:rsidP="00475558">
      <w:r w:rsidRPr="00475558">
        <w:t>This study must look at the needs of resources in terms of financial, technological and human aspects with keen interest. The major resource needs are described in the table below:</w:t>
      </w:r>
    </w:p>
    <w:tbl>
      <w:tblPr>
        <w:tblStyle w:val="TableGrid"/>
        <w:tblW w:w="9434" w:type="dxa"/>
        <w:tblLook w:val="04A0" w:firstRow="1" w:lastRow="0" w:firstColumn="1" w:lastColumn="0" w:noHBand="0" w:noVBand="1"/>
      </w:tblPr>
      <w:tblGrid>
        <w:gridCol w:w="2961"/>
        <w:gridCol w:w="4302"/>
        <w:gridCol w:w="2171"/>
      </w:tblGrid>
      <w:tr w:rsidR="00BF2600" w:rsidRPr="00A836E0" w:rsidTr="006D0C0D">
        <w:trPr>
          <w:trHeight w:val="385"/>
        </w:trPr>
        <w:tc>
          <w:tcPr>
            <w:tcW w:w="2961" w:type="dxa"/>
          </w:tcPr>
          <w:p w:rsidR="00BF2600" w:rsidRPr="00A836E0" w:rsidRDefault="00BF2600" w:rsidP="006E726B">
            <w:pPr>
              <w:pStyle w:val="NoSpacing"/>
              <w:jc w:val="center"/>
              <w:rPr>
                <w:b/>
              </w:rPr>
            </w:pPr>
            <w:r w:rsidRPr="00A836E0">
              <w:rPr>
                <w:b/>
              </w:rPr>
              <w:t>Resource Category</w:t>
            </w:r>
          </w:p>
        </w:tc>
        <w:tc>
          <w:tcPr>
            <w:tcW w:w="4302" w:type="dxa"/>
          </w:tcPr>
          <w:p w:rsidR="00BF2600" w:rsidRPr="00A836E0" w:rsidRDefault="00BF2600" w:rsidP="006E726B">
            <w:pPr>
              <w:pStyle w:val="NoSpacing"/>
              <w:jc w:val="center"/>
              <w:rPr>
                <w:b/>
              </w:rPr>
            </w:pPr>
            <w:r w:rsidRPr="00A836E0">
              <w:rPr>
                <w:b/>
              </w:rPr>
              <w:t>Specific Requirement</w:t>
            </w:r>
          </w:p>
        </w:tc>
        <w:tc>
          <w:tcPr>
            <w:tcW w:w="2171" w:type="dxa"/>
          </w:tcPr>
          <w:p w:rsidR="00BF2600" w:rsidRPr="00A836E0" w:rsidRDefault="00BF2600" w:rsidP="006E726B">
            <w:pPr>
              <w:pStyle w:val="NoSpacing"/>
              <w:jc w:val="center"/>
              <w:rPr>
                <w:b/>
              </w:rPr>
            </w:pPr>
            <w:r w:rsidRPr="00A836E0">
              <w:rPr>
                <w:b/>
              </w:rPr>
              <w:t>Estimated Cost</w:t>
            </w:r>
          </w:p>
        </w:tc>
      </w:tr>
      <w:tr w:rsidR="00BF2600" w:rsidRPr="00A836E0" w:rsidTr="006D0C0D">
        <w:trPr>
          <w:trHeight w:val="385"/>
        </w:trPr>
        <w:tc>
          <w:tcPr>
            <w:tcW w:w="2961" w:type="dxa"/>
          </w:tcPr>
          <w:p w:rsidR="00BF2600" w:rsidRPr="00A836E0" w:rsidRDefault="00BF2600" w:rsidP="006E726B">
            <w:pPr>
              <w:pStyle w:val="NoSpacing"/>
            </w:pPr>
            <w:r w:rsidRPr="00A836E0">
              <w:t>Survey Distribution</w:t>
            </w:r>
          </w:p>
        </w:tc>
        <w:tc>
          <w:tcPr>
            <w:tcW w:w="4302" w:type="dxa"/>
          </w:tcPr>
          <w:p w:rsidR="00BF2600" w:rsidRPr="00A836E0" w:rsidRDefault="00BF2600" w:rsidP="006E726B">
            <w:pPr>
              <w:pStyle w:val="NoSpacing"/>
            </w:pPr>
            <w:r w:rsidRPr="00A836E0">
              <w:t>Google Forms (free platform)</w:t>
            </w:r>
          </w:p>
        </w:tc>
        <w:tc>
          <w:tcPr>
            <w:tcW w:w="2171" w:type="dxa"/>
          </w:tcPr>
          <w:p w:rsidR="00BF2600" w:rsidRPr="00A836E0" w:rsidRDefault="00BF2600" w:rsidP="006E726B">
            <w:pPr>
              <w:pStyle w:val="NoSpacing"/>
            </w:pPr>
            <w:r w:rsidRPr="00A836E0">
              <w:t>£0</w:t>
            </w:r>
          </w:p>
        </w:tc>
      </w:tr>
      <w:tr w:rsidR="00BF2600" w:rsidRPr="00A836E0" w:rsidTr="006D0C0D">
        <w:trPr>
          <w:trHeight w:val="370"/>
        </w:trPr>
        <w:tc>
          <w:tcPr>
            <w:tcW w:w="2961" w:type="dxa"/>
          </w:tcPr>
          <w:p w:rsidR="00BF2600" w:rsidRPr="00A836E0" w:rsidRDefault="00BF2600" w:rsidP="006E726B">
            <w:pPr>
              <w:pStyle w:val="NoSpacing"/>
            </w:pPr>
            <w:r w:rsidRPr="00A836E0">
              <w:t>Video Call Software</w:t>
            </w:r>
          </w:p>
        </w:tc>
        <w:tc>
          <w:tcPr>
            <w:tcW w:w="4302" w:type="dxa"/>
          </w:tcPr>
          <w:p w:rsidR="00BF2600" w:rsidRPr="00A836E0" w:rsidRDefault="00BF2600" w:rsidP="006E726B">
            <w:pPr>
              <w:pStyle w:val="NoSpacing"/>
            </w:pPr>
            <w:r w:rsidRPr="00A836E0">
              <w:t>Zoom or Microsoft Teams</w:t>
            </w:r>
          </w:p>
        </w:tc>
        <w:tc>
          <w:tcPr>
            <w:tcW w:w="2171" w:type="dxa"/>
          </w:tcPr>
          <w:p w:rsidR="00BF2600" w:rsidRPr="00A836E0" w:rsidRDefault="00BF2600" w:rsidP="006E726B">
            <w:pPr>
              <w:pStyle w:val="NoSpacing"/>
            </w:pPr>
            <w:r w:rsidRPr="00A836E0">
              <w:t>£0</w:t>
            </w:r>
          </w:p>
        </w:tc>
      </w:tr>
      <w:tr w:rsidR="00BF2600" w:rsidRPr="00A836E0" w:rsidTr="006D0C0D">
        <w:trPr>
          <w:trHeight w:val="385"/>
        </w:trPr>
        <w:tc>
          <w:tcPr>
            <w:tcW w:w="2961" w:type="dxa"/>
          </w:tcPr>
          <w:p w:rsidR="00BF2600" w:rsidRPr="00A836E0" w:rsidRDefault="00BF2600" w:rsidP="006E726B">
            <w:pPr>
              <w:pStyle w:val="NoSpacing"/>
            </w:pPr>
            <w:r w:rsidRPr="00A836E0">
              <w:t>Data Analysis Software</w:t>
            </w:r>
          </w:p>
        </w:tc>
        <w:tc>
          <w:tcPr>
            <w:tcW w:w="4302" w:type="dxa"/>
          </w:tcPr>
          <w:p w:rsidR="00BF2600" w:rsidRPr="00A836E0" w:rsidRDefault="00BF2600" w:rsidP="006E726B">
            <w:pPr>
              <w:pStyle w:val="NoSpacing"/>
            </w:pPr>
            <w:r w:rsidRPr="00A836E0">
              <w:t>IBM SPSS (university licence)</w:t>
            </w:r>
          </w:p>
        </w:tc>
        <w:tc>
          <w:tcPr>
            <w:tcW w:w="2171" w:type="dxa"/>
          </w:tcPr>
          <w:p w:rsidR="00BF2600" w:rsidRPr="00A836E0" w:rsidRDefault="00BF2600" w:rsidP="006E726B">
            <w:pPr>
              <w:pStyle w:val="NoSpacing"/>
            </w:pPr>
            <w:r w:rsidRPr="00A836E0">
              <w:t>£0</w:t>
            </w:r>
          </w:p>
        </w:tc>
      </w:tr>
      <w:tr w:rsidR="00BF2600" w:rsidRPr="00A836E0" w:rsidTr="006D0C0D">
        <w:trPr>
          <w:trHeight w:val="385"/>
        </w:trPr>
        <w:tc>
          <w:tcPr>
            <w:tcW w:w="2961" w:type="dxa"/>
          </w:tcPr>
          <w:p w:rsidR="00BF2600" w:rsidRPr="00A836E0" w:rsidRDefault="00BF2600" w:rsidP="006E726B">
            <w:pPr>
              <w:pStyle w:val="NoSpacing"/>
            </w:pPr>
            <w:r w:rsidRPr="00A836E0">
              <w:t>Academic Literature</w:t>
            </w:r>
          </w:p>
        </w:tc>
        <w:tc>
          <w:tcPr>
            <w:tcW w:w="4302" w:type="dxa"/>
          </w:tcPr>
          <w:p w:rsidR="00BF2600" w:rsidRPr="00A836E0" w:rsidRDefault="00BF2600" w:rsidP="006E726B">
            <w:pPr>
              <w:pStyle w:val="NoSpacing"/>
            </w:pPr>
            <w:r w:rsidRPr="00A836E0">
              <w:t>University library database access</w:t>
            </w:r>
          </w:p>
        </w:tc>
        <w:tc>
          <w:tcPr>
            <w:tcW w:w="2171" w:type="dxa"/>
          </w:tcPr>
          <w:p w:rsidR="00BF2600" w:rsidRPr="00A836E0" w:rsidRDefault="00BF2600" w:rsidP="006E726B">
            <w:pPr>
              <w:pStyle w:val="NoSpacing"/>
            </w:pPr>
            <w:r w:rsidRPr="00A836E0">
              <w:t>£0</w:t>
            </w:r>
          </w:p>
        </w:tc>
      </w:tr>
      <w:tr w:rsidR="00BF2600" w:rsidRPr="00A836E0" w:rsidTr="006D0C0D">
        <w:trPr>
          <w:trHeight w:val="385"/>
        </w:trPr>
        <w:tc>
          <w:tcPr>
            <w:tcW w:w="2961" w:type="dxa"/>
          </w:tcPr>
          <w:p w:rsidR="00BF2600" w:rsidRPr="00A836E0" w:rsidRDefault="00BF2600" w:rsidP="006E726B">
            <w:pPr>
              <w:pStyle w:val="NoSpacing"/>
            </w:pPr>
            <w:r w:rsidRPr="00A836E0">
              <w:t>Interview Transcription</w:t>
            </w:r>
          </w:p>
        </w:tc>
        <w:tc>
          <w:tcPr>
            <w:tcW w:w="4302" w:type="dxa"/>
          </w:tcPr>
          <w:p w:rsidR="00BF2600" w:rsidRPr="00A836E0" w:rsidRDefault="00BF2600" w:rsidP="006E726B">
            <w:pPr>
              <w:pStyle w:val="NoSpacing"/>
            </w:pPr>
            <w:r w:rsidRPr="00A836E0">
              <w:t>Manual transcription by researcher</w:t>
            </w:r>
          </w:p>
        </w:tc>
        <w:tc>
          <w:tcPr>
            <w:tcW w:w="2171" w:type="dxa"/>
          </w:tcPr>
          <w:p w:rsidR="00BF2600" w:rsidRPr="00A836E0" w:rsidRDefault="00BF2600" w:rsidP="006E726B">
            <w:pPr>
              <w:pStyle w:val="NoSpacing"/>
            </w:pPr>
            <w:r w:rsidRPr="00A836E0">
              <w:t>£0</w:t>
            </w:r>
          </w:p>
        </w:tc>
      </w:tr>
      <w:tr w:rsidR="00BF2600" w:rsidRPr="00A836E0" w:rsidTr="006D0C0D">
        <w:trPr>
          <w:trHeight w:val="385"/>
        </w:trPr>
        <w:tc>
          <w:tcPr>
            <w:tcW w:w="2961" w:type="dxa"/>
          </w:tcPr>
          <w:p w:rsidR="00BF2600" w:rsidRPr="00A836E0" w:rsidRDefault="00BF2600" w:rsidP="006E726B">
            <w:pPr>
              <w:pStyle w:val="NoSpacing"/>
            </w:pPr>
            <w:r w:rsidRPr="00A836E0">
              <w:t>Participant Incentives</w:t>
            </w:r>
          </w:p>
        </w:tc>
        <w:tc>
          <w:tcPr>
            <w:tcW w:w="4302" w:type="dxa"/>
          </w:tcPr>
          <w:p w:rsidR="00BF2600" w:rsidRPr="00A836E0" w:rsidRDefault="00BF2600" w:rsidP="006E726B">
            <w:pPr>
              <w:pStyle w:val="NoSpacing"/>
            </w:pPr>
            <w:r w:rsidRPr="00A836E0">
              <w:t>No financial incentives offered</w:t>
            </w:r>
          </w:p>
        </w:tc>
        <w:tc>
          <w:tcPr>
            <w:tcW w:w="2171" w:type="dxa"/>
          </w:tcPr>
          <w:p w:rsidR="00BF2600" w:rsidRPr="00A836E0" w:rsidRDefault="00BF2600" w:rsidP="006E726B">
            <w:pPr>
              <w:pStyle w:val="NoSpacing"/>
            </w:pPr>
            <w:r w:rsidRPr="00A836E0">
              <w:t>£0</w:t>
            </w:r>
          </w:p>
        </w:tc>
      </w:tr>
      <w:tr w:rsidR="00BF2600" w:rsidRPr="00A836E0" w:rsidTr="006D0C0D">
        <w:trPr>
          <w:trHeight w:val="756"/>
        </w:trPr>
        <w:tc>
          <w:tcPr>
            <w:tcW w:w="2961" w:type="dxa"/>
          </w:tcPr>
          <w:p w:rsidR="00BF2600" w:rsidRPr="00A836E0" w:rsidRDefault="00BF2600" w:rsidP="006E726B">
            <w:pPr>
              <w:pStyle w:val="NoSpacing"/>
            </w:pPr>
            <w:r w:rsidRPr="00A836E0">
              <w:t>Secondary Data Sources</w:t>
            </w:r>
          </w:p>
        </w:tc>
        <w:tc>
          <w:tcPr>
            <w:tcW w:w="4302" w:type="dxa"/>
          </w:tcPr>
          <w:p w:rsidR="00BF2600" w:rsidRPr="00A836E0" w:rsidRDefault="00BF2600" w:rsidP="006E726B">
            <w:pPr>
              <w:pStyle w:val="NoSpacing"/>
            </w:pPr>
            <w:r w:rsidRPr="00A836E0">
              <w:t>FCA, OBL, government publications (publicly available)</w:t>
            </w:r>
          </w:p>
        </w:tc>
        <w:tc>
          <w:tcPr>
            <w:tcW w:w="2171" w:type="dxa"/>
          </w:tcPr>
          <w:p w:rsidR="00BF2600" w:rsidRPr="00A836E0" w:rsidRDefault="00BF2600" w:rsidP="006E726B">
            <w:pPr>
              <w:pStyle w:val="NoSpacing"/>
            </w:pPr>
            <w:r w:rsidRPr="00A836E0">
              <w:t>£0</w:t>
            </w:r>
          </w:p>
        </w:tc>
      </w:tr>
      <w:tr w:rsidR="00BF2600" w:rsidRPr="00A836E0" w:rsidTr="006D0C0D">
        <w:trPr>
          <w:trHeight w:val="771"/>
        </w:trPr>
        <w:tc>
          <w:tcPr>
            <w:tcW w:w="2961" w:type="dxa"/>
          </w:tcPr>
          <w:p w:rsidR="00BF2600" w:rsidRPr="00A836E0" w:rsidRDefault="00BF2600" w:rsidP="006E726B">
            <w:pPr>
              <w:pStyle w:val="NoSpacing"/>
            </w:pPr>
            <w:r w:rsidRPr="00A836E0">
              <w:t>Researcher Time</w:t>
            </w:r>
          </w:p>
        </w:tc>
        <w:tc>
          <w:tcPr>
            <w:tcW w:w="4302" w:type="dxa"/>
          </w:tcPr>
          <w:p w:rsidR="00BF2600" w:rsidRPr="00A836E0" w:rsidRDefault="00BF2600" w:rsidP="006E726B">
            <w:pPr>
              <w:pStyle w:val="NoSpacing"/>
            </w:pPr>
            <w:r w:rsidRPr="00A836E0">
              <w:t>Approximately 200 hours across seven months</w:t>
            </w:r>
          </w:p>
        </w:tc>
        <w:tc>
          <w:tcPr>
            <w:tcW w:w="2171" w:type="dxa"/>
          </w:tcPr>
          <w:p w:rsidR="00BF2600" w:rsidRPr="00A836E0" w:rsidRDefault="00BF2600" w:rsidP="003347DF">
            <w:pPr>
              <w:pStyle w:val="NoSpacing"/>
              <w:keepNext/>
            </w:pPr>
            <w:r w:rsidRPr="00A836E0">
              <w:t>Researcher commitment</w:t>
            </w:r>
          </w:p>
        </w:tc>
      </w:tr>
    </w:tbl>
    <w:p w:rsidR="00BF2600" w:rsidRPr="00475558" w:rsidRDefault="003347DF" w:rsidP="003347DF">
      <w:pPr>
        <w:pStyle w:val="Caption"/>
        <w:jc w:val="center"/>
      </w:pPr>
      <w:r>
        <w:t xml:space="preserve">Table </w:t>
      </w:r>
      <w:r>
        <w:fldChar w:fldCharType="begin"/>
      </w:r>
      <w:r>
        <w:instrText xml:space="preserve"> SEQ Table \* ARABIC </w:instrText>
      </w:r>
      <w:r>
        <w:fldChar w:fldCharType="separate"/>
      </w:r>
      <w:r>
        <w:rPr>
          <w:noProof/>
        </w:rPr>
        <w:t>1</w:t>
      </w:r>
      <w:r>
        <w:fldChar w:fldCharType="end"/>
      </w:r>
      <w:r>
        <w:t>: Resources Needed, Source: (Self-Made).</w:t>
      </w:r>
    </w:p>
    <w:p w:rsidR="00475558" w:rsidRPr="00475558" w:rsidRDefault="00475558" w:rsidP="00475558">
      <w:r w:rsidRPr="00475558">
        <w:t>The main resource limitation is the time of researchers instead of monetary cost since all the software and sources of data are either free or provided by the university. External funding is unnecessary, so it is fully self-funded research, which can be done through limited resources of an independent academic undertaking. Early identification and management of resource demands is an element of a good research design, as it guarantees that the methods adopted are realistic and achievable within the available resources (Saunders, Lewis and Thornhill, 2019).</w:t>
      </w:r>
    </w:p>
    <w:p w:rsidR="00A56623" w:rsidRDefault="00A56623">
      <w:pPr>
        <w:spacing w:after="160" w:line="259" w:lineRule="auto"/>
        <w:jc w:val="left"/>
        <w:rPr>
          <w:rFonts w:eastAsiaTheme="majorEastAsia" w:cstheme="majorBidi"/>
          <w:b/>
          <w:sz w:val="28"/>
          <w:szCs w:val="26"/>
        </w:rPr>
      </w:pPr>
      <w:r>
        <w:br w:type="page"/>
      </w:r>
    </w:p>
    <w:p w:rsidR="00475558" w:rsidRPr="00475558" w:rsidRDefault="00475558" w:rsidP="00BF2600">
      <w:pPr>
        <w:pStyle w:val="Heading2"/>
      </w:pPr>
      <w:bookmarkStart w:id="33" w:name="_Toc225775730"/>
      <w:r w:rsidRPr="00475558">
        <w:lastRenderedPageBreak/>
        <w:t>4.2 Time Plan</w:t>
      </w:r>
      <w:bookmarkEnd w:id="33"/>
    </w:p>
    <w:p w:rsidR="00475558" w:rsidRPr="00475558" w:rsidRDefault="00475558" w:rsidP="00475558">
      <w:r w:rsidRPr="00475558">
        <w:t>A properly designed time plan is a vital element of the strict research design, allowing one to follow every step of the research in an orderly manner (Bickman and Rog, 2009). The following Gantt chart represents the expected timeline of the main activities of the research process between April and October 2026.</w:t>
      </w:r>
    </w:p>
    <w:p w:rsidR="003347DF" w:rsidRDefault="00E012E2" w:rsidP="003347DF">
      <w:pPr>
        <w:keepNext/>
      </w:pPr>
      <w:r>
        <w:rPr>
          <w:noProof/>
          <w:lang w:val="en-US"/>
        </w:rPr>
        <w:drawing>
          <wp:inline distT="0" distB="0" distL="0" distR="0" wp14:anchorId="7613DED8" wp14:editId="7358EB58">
            <wp:extent cx="5943600" cy="24561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456180"/>
                    </a:xfrm>
                    <a:prstGeom prst="rect">
                      <a:avLst/>
                    </a:prstGeom>
                  </pic:spPr>
                </pic:pic>
              </a:graphicData>
            </a:graphic>
          </wp:inline>
        </w:drawing>
      </w:r>
    </w:p>
    <w:p w:rsidR="003347DF" w:rsidRDefault="003347DF" w:rsidP="003347DF">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Gantt Chart, Source: (Self-Made).</w:t>
      </w:r>
    </w:p>
    <w:p w:rsidR="00475558" w:rsidRPr="00475558" w:rsidRDefault="00475558" w:rsidP="00475558">
      <w:r w:rsidRPr="00475558">
        <w:t>The study will be done in seven months between April and October 2026. April is the first phase, which involves planning, literature refinement, and ethics approval. The process of data collection is done between May and July and includes research design, data distribution, interviews, and referring to the secondary data. Both quantitative and qualitative data analysis will be conducted throughout July and August, with a findings writing that will follow. The last stage in September and October includes conclusions, proofreading and submission.</w:t>
      </w:r>
    </w:p>
    <w:p w:rsidR="009E7EA1" w:rsidRDefault="009E7EA1">
      <w:pPr>
        <w:spacing w:after="160" w:line="259" w:lineRule="auto"/>
        <w:jc w:val="left"/>
      </w:pPr>
      <w:r>
        <w:br w:type="page"/>
      </w:r>
    </w:p>
    <w:p w:rsidR="009E7EA1" w:rsidRPr="009E7EA1" w:rsidRDefault="009E7EA1" w:rsidP="009E7EA1">
      <w:pPr>
        <w:pStyle w:val="Heading1"/>
      </w:pPr>
      <w:bookmarkStart w:id="34" w:name="_Toc225775731"/>
      <w:r>
        <w:lastRenderedPageBreak/>
        <w:t xml:space="preserve">5. </w:t>
      </w:r>
      <w:r w:rsidRPr="009E7EA1">
        <w:t>Expected Research Outcomes</w:t>
      </w:r>
      <w:bookmarkEnd w:id="34"/>
    </w:p>
    <w:p w:rsidR="009E7EA1" w:rsidRPr="009E7EA1" w:rsidRDefault="009E7EA1" w:rsidP="009E7EA1">
      <w:r w:rsidRPr="009E7EA1">
        <w:t xml:space="preserve">The research is </w:t>
      </w:r>
      <w:r>
        <w:t xml:space="preserve">expected </w:t>
      </w:r>
      <w:r w:rsidRPr="009E7EA1">
        <w:t>to create unique empirical data regarding the use of open banking features by the money management of the UK Monzo users in their everyday lives. It will expect to detect important trust and adoption trends among various categories of consumers and indicate the obstacles that are keeping a wider use constrained. Results are likely to result in practical suggestions to policymakers, regulators and digital banking service providers in the UK open banking environment. The research also seeks to make a meaningful contribution to the available scholarly literature, as it shall attempt to fill the features of gaps such as those of features and post-adoption, especially in the context of different regulatory and consumer realities in the UK.</w:t>
      </w:r>
    </w:p>
    <w:p w:rsidR="007978FB" w:rsidRDefault="007978FB" w:rsidP="00090D3C">
      <w:pPr>
        <w:rPr>
          <w:rFonts w:eastAsiaTheme="majorEastAsia"/>
          <w:sz w:val="32"/>
          <w:szCs w:val="32"/>
        </w:rPr>
      </w:pPr>
      <w:r>
        <w:br w:type="page"/>
      </w:r>
    </w:p>
    <w:p w:rsidR="00D8246C" w:rsidRPr="00E93370" w:rsidRDefault="00D8246C" w:rsidP="00D8246C">
      <w:pPr>
        <w:pStyle w:val="Heading1"/>
        <w:rPr>
          <w:rFonts w:cs="Times New Roman"/>
        </w:rPr>
      </w:pPr>
      <w:bookmarkStart w:id="35" w:name="_Toc225775732"/>
      <w:r w:rsidRPr="00E93370">
        <w:rPr>
          <w:rFonts w:cs="Times New Roman"/>
        </w:rPr>
        <w:lastRenderedPageBreak/>
        <w:t>References</w:t>
      </w:r>
      <w:bookmarkEnd w:id="35"/>
    </w:p>
    <w:p w:rsidR="006E726B" w:rsidRPr="00A56623" w:rsidRDefault="006E726B" w:rsidP="00A56623">
      <w:pPr>
        <w:pStyle w:val="ListParagraph"/>
        <w:numPr>
          <w:ilvl w:val="0"/>
          <w:numId w:val="6"/>
        </w:numPr>
        <w:ind w:left="360"/>
        <w:rPr>
          <w:rFonts w:cs="Times New Roman"/>
        </w:rPr>
      </w:pPr>
      <w:r w:rsidRPr="00A56623">
        <w:rPr>
          <w:rFonts w:cs="Times New Roman"/>
        </w:rPr>
        <w:t xml:space="preserve">Alalwan, A.A., Dwivedi, Y.K. and Rana, N.P. (2017) 'Factors influencing adoption of mobile banking by Jordanian bank customers: extending UTAUT2 with trust', </w:t>
      </w:r>
      <w:r w:rsidRPr="00A56623">
        <w:rPr>
          <w:rFonts w:cs="Times New Roman"/>
          <w:i/>
          <w:iCs/>
        </w:rPr>
        <w:t>International Journal of Information Management</w:t>
      </w:r>
      <w:r w:rsidRPr="00A56623">
        <w:rPr>
          <w:rFonts w:cs="Times New Roman"/>
        </w:rPr>
        <w:t>, 37(3), pp. 99–110.</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Babina, T., Bahaj, S., Buchak, G., De Marco, F., Foulis, A., Gornall, W., Mazzola, F. and Yu, T. (2025) 'Customer data access and fintech entry: early evidence from open banking', </w:t>
      </w:r>
      <w:r w:rsidRPr="00A56623">
        <w:rPr>
          <w:rFonts w:cs="Times New Roman"/>
          <w:i/>
          <w:iCs/>
        </w:rPr>
        <w:t>Journal of Financial Economics</w:t>
      </w:r>
      <w:r w:rsidRPr="00A56623">
        <w:rPr>
          <w:rFonts w:cs="Times New Roman"/>
        </w:rPr>
        <w:t>, 169.</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Bickman, L. and Rog, D.J. (2009) </w:t>
      </w:r>
      <w:r w:rsidRPr="00A56623">
        <w:rPr>
          <w:rFonts w:cs="Times New Roman"/>
          <w:i/>
          <w:iCs/>
        </w:rPr>
        <w:t>The SAGE Handbook of Applied Social Research Methods</w:t>
      </w:r>
      <w:r w:rsidRPr="00A56623">
        <w:rPr>
          <w:rFonts w:cs="Times New Roman"/>
        </w:rPr>
        <w:t>. 2nd edn. London: SAGE.</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Borgogno, O. and Colangelo, G. (2020) 'Consumer inertia and competition-sensitive data governance: the case of open banking', </w:t>
      </w:r>
      <w:r w:rsidRPr="00A56623">
        <w:rPr>
          <w:rFonts w:cs="Times New Roman"/>
          <w:i/>
          <w:iCs/>
        </w:rPr>
        <w:t>SSRN Scholarly Paper</w:t>
      </w:r>
      <w:r w:rsidRPr="00A56623">
        <w:rPr>
          <w:rFonts w:cs="Times New Roman"/>
        </w:rPr>
        <w:t xml:space="preserve"> 3513514. Social Science Research Network.</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Briones de Araluze, G.K. and Cassinello Plaza, N. (2022) 'Open banking: a bibliometric analysis-driven definition', </w:t>
      </w:r>
      <w:r w:rsidRPr="00A56623">
        <w:rPr>
          <w:rFonts w:cs="Times New Roman"/>
          <w:i/>
          <w:iCs/>
        </w:rPr>
        <w:t>PLOS ONE</w:t>
      </w:r>
      <w:r w:rsidRPr="00A56623">
        <w:rPr>
          <w:rFonts w:cs="Times New Roman"/>
        </w:rPr>
        <w:t>, 17(10), e0275496.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Briones de Araluze, G.K. and Cassinello Plaza, N. (2023) 'The relevance of initial trust and social influence in the intention to use open banking-based services: an empirical study', </w:t>
      </w:r>
      <w:r w:rsidRPr="00A56623">
        <w:rPr>
          <w:rFonts w:cs="Times New Roman"/>
          <w:i/>
          <w:iCs/>
        </w:rPr>
        <w:t>SAGE Open</w:t>
      </w:r>
      <w:r w:rsidRPr="00A56623">
        <w:rPr>
          <w:rFonts w:cs="Times New Roman"/>
        </w:rPr>
        <w:t>, 13(3).</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Bryman, A. (2016) </w:t>
      </w:r>
      <w:r w:rsidRPr="00A56623">
        <w:rPr>
          <w:rFonts w:cs="Times New Roman"/>
          <w:i/>
          <w:iCs/>
        </w:rPr>
        <w:t>Social Research Methods</w:t>
      </w:r>
      <w:r w:rsidRPr="00A56623">
        <w:rPr>
          <w:rFonts w:cs="Times New Roman"/>
        </w:rPr>
        <w:t>. 5th edn. Oxford: Oxford University Press.</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Bryman, A. and Cramer, D. (2011) </w:t>
      </w:r>
      <w:r w:rsidRPr="00A56623">
        <w:rPr>
          <w:rFonts w:cs="Times New Roman"/>
          <w:i/>
          <w:iCs/>
        </w:rPr>
        <w:t>Quantitative Data Analysis with IBM SPSS 17, 18 and 19: A Guide for Social Scientists</w:t>
      </w:r>
      <w:r w:rsidRPr="00A56623">
        <w:rPr>
          <w:rFonts w:cs="Times New Roman"/>
        </w:rPr>
        <w:t>. London: Routledge.</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Chan, R., Troshani, I., Rao Hill, S. and Hoffmann, A. (2022) 'Towards an understanding of consumers' FinTech adoption: the case of Open Banking', </w:t>
      </w:r>
      <w:r w:rsidRPr="00A56623">
        <w:rPr>
          <w:rFonts w:cs="Times New Roman"/>
          <w:i/>
          <w:iCs/>
        </w:rPr>
        <w:t>International Journal of Bank Marketing</w:t>
      </w:r>
      <w:r w:rsidRPr="00A56623">
        <w:rPr>
          <w:rFonts w:cs="Times New Roman"/>
        </w:rPr>
        <w:t>, 40(4), pp. 886–917.</w:t>
      </w:r>
    </w:p>
    <w:p w:rsidR="006E726B" w:rsidRPr="00A56623" w:rsidRDefault="006E726B" w:rsidP="00A56623">
      <w:pPr>
        <w:pStyle w:val="ListParagraph"/>
        <w:numPr>
          <w:ilvl w:val="0"/>
          <w:numId w:val="6"/>
        </w:numPr>
        <w:ind w:left="360"/>
        <w:rPr>
          <w:rFonts w:cs="Times New Roman"/>
        </w:rPr>
      </w:pPr>
      <w:r w:rsidRPr="00A56623">
        <w:rPr>
          <w:rFonts w:cs="Times New Roman"/>
        </w:rPr>
        <w:lastRenderedPageBreak/>
        <w:t xml:space="preserve">Competition and Markets Authority (2016) </w:t>
      </w:r>
      <w:r w:rsidRPr="00A56623">
        <w:rPr>
          <w:rFonts w:cs="Times New Roman"/>
          <w:i/>
          <w:iCs/>
        </w:rPr>
        <w:t>Retail Banking Market Investigation: Final Report</w:t>
      </w:r>
      <w:r w:rsidRPr="00A56623">
        <w:rPr>
          <w:rFonts w:cs="Times New Roman"/>
        </w:rPr>
        <w:t xml:space="preserve">. GOV.UK. Available at: </w:t>
      </w:r>
      <w:hyperlink r:id="rId12" w:history="1">
        <w:r w:rsidRPr="00A56623">
          <w:rPr>
            <w:rStyle w:val="Hyperlink"/>
            <w:rFonts w:cs="Times New Roman"/>
          </w:rPr>
          <w:t>https://www.gov.uk/cma-cases/review-of-banking-for-small-and-medium-sized-businesses-smes-in-the-uk</w:t>
        </w:r>
      </w:hyperlink>
      <w:r w:rsidRPr="00A56623">
        <w:rPr>
          <w:rFonts w:cs="Times New Roman"/>
        </w:rPr>
        <w:t xml:space="preserve"> [Accessed 26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Competition and Markets Authority (2017) </w:t>
      </w:r>
      <w:r w:rsidRPr="00A56623">
        <w:rPr>
          <w:rFonts w:cs="Times New Roman"/>
          <w:i/>
          <w:iCs/>
        </w:rPr>
        <w:t>Retail Banking Market Investigation Order 2017</w:t>
      </w:r>
      <w:r w:rsidRPr="00A56623">
        <w:rPr>
          <w:rFonts w:cs="Times New Roman"/>
        </w:rPr>
        <w:t xml:space="preserve">. GOV.UK. Available at: </w:t>
      </w:r>
      <w:hyperlink r:id="rId13" w:history="1">
        <w:r w:rsidRPr="00A56623">
          <w:rPr>
            <w:rStyle w:val="Hyperlink"/>
            <w:rFonts w:cs="Times New Roman"/>
          </w:rPr>
          <w:t>https://www.gov.uk/government/publications/retail-banking-market-investigation-order-2017</w:t>
        </w:r>
      </w:hyperlink>
      <w:r w:rsidRPr="00A56623">
        <w:rPr>
          <w:rFonts w:cs="Times New Roman"/>
        </w:rPr>
        <w:t xml:space="preserve"> [Accessed 26 March 2026].</w:t>
      </w:r>
    </w:p>
    <w:p w:rsidR="006E726B" w:rsidRPr="00A56623" w:rsidRDefault="006E726B" w:rsidP="00A56623">
      <w:pPr>
        <w:pStyle w:val="ListParagraph"/>
        <w:numPr>
          <w:ilvl w:val="0"/>
          <w:numId w:val="6"/>
        </w:numPr>
        <w:ind w:left="360"/>
        <w:rPr>
          <w:rFonts w:cs="Times New Roman"/>
        </w:rPr>
      </w:pPr>
      <w:r w:rsidRPr="00A56623">
        <w:rPr>
          <w:rFonts w:cs="Times New Roman"/>
        </w:rPr>
        <w:t>Competi</w:t>
      </w:r>
      <w:r w:rsidR="00BC6CF0" w:rsidRPr="00A56623">
        <w:rPr>
          <w:rFonts w:cs="Times New Roman"/>
        </w:rPr>
        <w:t>tion and Markets Authority (2025</w:t>
      </w:r>
      <w:r w:rsidRPr="00A56623">
        <w:rPr>
          <w:rFonts w:cs="Times New Roman"/>
        </w:rPr>
        <w:t xml:space="preserve">) </w:t>
      </w:r>
      <w:r w:rsidRPr="00A56623">
        <w:rPr>
          <w:rFonts w:cs="Times New Roman"/>
          <w:i/>
          <w:iCs/>
        </w:rPr>
        <w:t>Retail Banking Market Investigation: CMA Confirms Full Completion of Open Banking Roadmap</w:t>
      </w:r>
      <w:r w:rsidRPr="00A56623">
        <w:rPr>
          <w:rFonts w:cs="Times New Roman"/>
        </w:rPr>
        <w:t xml:space="preserve">. GOV.UK. Available at: </w:t>
      </w:r>
      <w:hyperlink r:id="rId14" w:history="1">
        <w:r w:rsidRPr="00A56623">
          <w:rPr>
            <w:rStyle w:val="Hyperlink"/>
            <w:rFonts w:cs="Times New Roman"/>
          </w:rPr>
          <w:t>https://www.gov.uk/cma-cases/review-of-banking-for-small-and-medium-sized-businesses-smes-in-the-uk</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Davis, F.D. (1989) 'Perceived usefulness, perceived ease of use, and user acceptance of information technology', </w:t>
      </w:r>
      <w:r w:rsidRPr="00A56623">
        <w:rPr>
          <w:rFonts w:cs="Times New Roman"/>
          <w:i/>
          <w:iCs/>
        </w:rPr>
        <w:t>MIS Quarterly</w:t>
      </w:r>
      <w:r w:rsidRPr="00A56623">
        <w:rPr>
          <w:rFonts w:cs="Times New Roman"/>
        </w:rPr>
        <w:t>, 13(3), pp. 319–340.</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Desiraju, K., Mishra, A.N. and Sengupta, P. (2024) 'Customer perceptions on open banking apps: insights using structural topic modelling', </w:t>
      </w:r>
      <w:r w:rsidRPr="00A56623">
        <w:rPr>
          <w:rFonts w:cs="Times New Roman"/>
          <w:i/>
          <w:iCs/>
        </w:rPr>
        <w:t>Journal of Retailing and Consumer Services</w:t>
      </w:r>
      <w:r w:rsidRPr="00A56623">
        <w:rPr>
          <w:rFonts w:cs="Times New Roman"/>
        </w:rPr>
        <w:t>, 81.</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Dinçkol, D., Ozcan, P. and Zachariadis, M. (2023) 'Regulatory standards and consequences for industry architecture: the case of UK open banking', </w:t>
      </w:r>
      <w:r w:rsidRPr="00A56623">
        <w:rPr>
          <w:rFonts w:cs="Times New Roman"/>
          <w:i/>
          <w:iCs/>
        </w:rPr>
        <w:t>Research Policy</w:t>
      </w:r>
      <w:r w:rsidRPr="00A56623">
        <w:rPr>
          <w:rFonts w:cs="Times New Roman"/>
        </w:rPr>
        <w:t>, 52(6), p. 104760.</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Easterby-Smith, M., Jackson, P. and Thorpe, R. (2012) </w:t>
      </w:r>
      <w:r w:rsidRPr="00A56623">
        <w:rPr>
          <w:rFonts w:cs="Times New Roman"/>
          <w:i/>
          <w:iCs/>
        </w:rPr>
        <w:t>Management Research</w:t>
      </w:r>
      <w:r w:rsidRPr="00A56623">
        <w:rPr>
          <w:rFonts w:cs="Times New Roman"/>
        </w:rPr>
        <w:t>. 4th edn. London: SAGE.</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Fereday, J. and Muir-Cochrane, E. (2006) 'Demonstrating rigour using thematic analysis: a hybrid approach of inductive and deductive coding and theme development', </w:t>
      </w:r>
      <w:r w:rsidRPr="00A56623">
        <w:rPr>
          <w:rFonts w:cs="Times New Roman"/>
          <w:i/>
          <w:iCs/>
        </w:rPr>
        <w:t>International Journal of Qualitative Methods</w:t>
      </w:r>
      <w:r w:rsidRPr="00A56623">
        <w:rPr>
          <w:rFonts w:cs="Times New Roman"/>
        </w:rPr>
        <w:t>, 5(1), pp. 80–92.</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Field, A. (2013) </w:t>
      </w:r>
      <w:r w:rsidRPr="00A56623">
        <w:rPr>
          <w:rFonts w:cs="Times New Roman"/>
          <w:i/>
          <w:iCs/>
        </w:rPr>
        <w:t>Discovering Statistics Using IBM SPSS Statistics</w:t>
      </w:r>
      <w:r w:rsidRPr="00A56623">
        <w:rPr>
          <w:rFonts w:cs="Times New Roman"/>
        </w:rPr>
        <w:t>. 4th edn. London: Sage.</w:t>
      </w:r>
    </w:p>
    <w:p w:rsidR="006E726B" w:rsidRPr="00A56623" w:rsidRDefault="006E726B" w:rsidP="00A56623">
      <w:pPr>
        <w:pStyle w:val="ListParagraph"/>
        <w:numPr>
          <w:ilvl w:val="0"/>
          <w:numId w:val="6"/>
        </w:numPr>
        <w:ind w:left="360"/>
        <w:rPr>
          <w:rFonts w:cs="Times New Roman"/>
        </w:rPr>
      </w:pPr>
      <w:r w:rsidRPr="00A56623">
        <w:rPr>
          <w:rFonts w:cs="Times New Roman"/>
        </w:rPr>
        <w:lastRenderedPageBreak/>
        <w:t xml:space="preserve">Financial Conduct Authority (2024) </w:t>
      </w:r>
      <w:r w:rsidRPr="00A56623">
        <w:rPr>
          <w:rFonts w:cs="Times New Roman"/>
          <w:i/>
          <w:iCs/>
        </w:rPr>
        <w:t>Financial Lives 2024: Vulnerability and Financial Resilience</w:t>
      </w:r>
      <w:r w:rsidRPr="00A56623">
        <w:rPr>
          <w:rFonts w:cs="Times New Roman"/>
        </w:rPr>
        <w:t xml:space="preserve">. FCA. Available at: </w:t>
      </w:r>
      <w:hyperlink r:id="rId15" w:history="1">
        <w:r w:rsidRPr="00A56623">
          <w:rPr>
            <w:rStyle w:val="Hyperlink"/>
            <w:rFonts w:cs="Times New Roman"/>
          </w:rPr>
          <w:t>https://www.fca.org.uk/publication/financial-lives/fls-2024-vulnerability-financial-resilience.pdf</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Fi</w:t>
      </w:r>
      <w:r w:rsidR="003347DF" w:rsidRPr="00A56623">
        <w:rPr>
          <w:rFonts w:cs="Times New Roman"/>
        </w:rPr>
        <w:t>nancial Conduct Authority (2025a</w:t>
      </w:r>
      <w:r w:rsidRPr="00A56623">
        <w:rPr>
          <w:rFonts w:cs="Times New Roman"/>
        </w:rPr>
        <w:t xml:space="preserve">) </w:t>
      </w:r>
      <w:r w:rsidRPr="00A56623">
        <w:rPr>
          <w:rFonts w:cs="Times New Roman"/>
          <w:i/>
          <w:iCs/>
        </w:rPr>
        <w:t>Research Note: Open Banking and Open Finance in the UK</w:t>
      </w:r>
      <w:r w:rsidRPr="00A56623">
        <w:rPr>
          <w:rFonts w:cs="Times New Roman"/>
        </w:rPr>
        <w:t xml:space="preserve">. FCA. Available at: </w:t>
      </w:r>
      <w:hyperlink r:id="rId16" w:history="1">
        <w:r w:rsidRPr="00A56623">
          <w:rPr>
            <w:rStyle w:val="Hyperlink"/>
            <w:rFonts w:cs="Times New Roman"/>
          </w:rPr>
          <w:t>https://www.fca.org.uk/publication/research-notes/open-banking-open-finance-uk.pdf</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Fi</w:t>
      </w:r>
      <w:r w:rsidR="003347DF" w:rsidRPr="00A56623">
        <w:rPr>
          <w:rFonts w:cs="Times New Roman"/>
        </w:rPr>
        <w:t>nancial Conduct Authority (2025b</w:t>
      </w:r>
      <w:r w:rsidRPr="00A56623">
        <w:rPr>
          <w:rFonts w:cs="Times New Roman"/>
        </w:rPr>
        <w:t xml:space="preserve">) </w:t>
      </w:r>
      <w:r w:rsidRPr="00A56623">
        <w:rPr>
          <w:rFonts w:cs="Times New Roman"/>
          <w:i/>
          <w:iCs/>
        </w:rPr>
        <w:t>Open Banking: A Year of Progress</w:t>
      </w:r>
      <w:r w:rsidRPr="00A56623">
        <w:rPr>
          <w:rFonts w:cs="Times New Roman"/>
        </w:rPr>
        <w:t xml:space="preserve">. FCA. Available at: </w:t>
      </w:r>
      <w:hyperlink r:id="rId17" w:history="1">
        <w:r w:rsidRPr="00A56623">
          <w:rPr>
            <w:rStyle w:val="Hyperlink"/>
            <w:rFonts w:cs="Times New Roman"/>
          </w:rPr>
          <w:t>https://www.fca.org.uk/news/news-stories/open-banking-2025-progress</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Flyvbjerg, B. (2006) 'Five misunderstandings about case-study research', </w:t>
      </w:r>
      <w:r w:rsidRPr="00A56623">
        <w:rPr>
          <w:rFonts w:cs="Times New Roman"/>
          <w:i/>
          <w:iCs/>
        </w:rPr>
        <w:t>Qualitative Inquiry</w:t>
      </w:r>
      <w:r w:rsidRPr="00A56623">
        <w:rPr>
          <w:rFonts w:cs="Times New Roman"/>
        </w:rPr>
        <w:t>, 12(2), pp. 219–245.</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Gorman, G.E., Clayton, P., Shep, S.J. and Clayton, A. (2005) </w:t>
      </w:r>
      <w:r w:rsidRPr="00A56623">
        <w:rPr>
          <w:rFonts w:cs="Times New Roman"/>
          <w:i/>
          <w:iCs/>
        </w:rPr>
        <w:t>Qualitative Research for the Information Professional: A Practical Handbook</w:t>
      </w:r>
      <w:r w:rsidRPr="00A56623">
        <w:rPr>
          <w:rFonts w:cs="Times New Roman"/>
        </w:rPr>
        <w:t>. 2nd edn. London: Facet.</w:t>
      </w:r>
    </w:p>
    <w:p w:rsidR="006E726B" w:rsidRPr="00A56623" w:rsidRDefault="006E726B" w:rsidP="00A56623">
      <w:pPr>
        <w:pStyle w:val="ListParagraph"/>
        <w:numPr>
          <w:ilvl w:val="0"/>
          <w:numId w:val="6"/>
        </w:numPr>
        <w:ind w:left="360"/>
        <w:rPr>
          <w:rFonts w:cs="Times New Roman"/>
        </w:rPr>
      </w:pPr>
      <w:r w:rsidRPr="00A56623">
        <w:rPr>
          <w:rFonts w:cs="Times New Roman"/>
        </w:rPr>
        <w:t>Gounari, M., Stergiopoulos, G., Pip</w:t>
      </w:r>
      <w:r w:rsidR="00C9374C" w:rsidRPr="00A56623">
        <w:rPr>
          <w:rFonts w:cs="Times New Roman"/>
        </w:rPr>
        <w:t>yros, K. and Gritzalis, D. (2025</w:t>
      </w:r>
      <w:r w:rsidRPr="00A56623">
        <w:rPr>
          <w:rFonts w:cs="Times New Roman"/>
        </w:rPr>
        <w:t xml:space="preserve">) 'Harmonizing open banking in the European Union: an analysis of PSD2 compliance and interrelation with cybersecurity frameworks and standards', </w:t>
      </w:r>
      <w:r w:rsidRPr="00A56623">
        <w:rPr>
          <w:rFonts w:cs="Times New Roman"/>
          <w:i/>
          <w:iCs/>
        </w:rPr>
        <w:t>International Cybersecurity Law Review</w:t>
      </w:r>
      <w:r w:rsidRPr="00A56623">
        <w:rPr>
          <w:rFonts w:cs="Times New Roman"/>
        </w:rPr>
        <w:t>, 5, pp. 1–28.</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Gozman, D., Hedman, J. and Olsen, K.S. (2018) 'Open banking: emergent roles, risks and opportunities', in </w:t>
      </w:r>
      <w:r w:rsidRPr="00A56623">
        <w:rPr>
          <w:rFonts w:cs="Times New Roman"/>
          <w:i/>
          <w:iCs/>
        </w:rPr>
        <w:t>Proceedings of the 26th European Conference on Information Systems (ECIS 2018)</w:t>
      </w:r>
      <w:r w:rsidRPr="00A56623">
        <w:rPr>
          <w:rFonts w:cs="Times New Roman"/>
        </w:rPr>
        <w:t>, Portsmouth, UK, 23–28 June.</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Gozman, D., Liebenau, J. and Mangan, J. (2018) 'The innovation mechanisms of fintech start-ups: insights from SWIFT's Innotribe competition', </w:t>
      </w:r>
      <w:r w:rsidRPr="00A56623">
        <w:rPr>
          <w:rFonts w:cs="Times New Roman"/>
          <w:i/>
          <w:iCs/>
        </w:rPr>
        <w:t>Journal of Management Information Systems</w:t>
      </w:r>
      <w:r w:rsidRPr="00A56623">
        <w:rPr>
          <w:rFonts w:cs="Times New Roman"/>
        </w:rPr>
        <w:t>, 35(1), pp. 145–179.</w:t>
      </w:r>
    </w:p>
    <w:p w:rsidR="006E726B" w:rsidRPr="00A56623" w:rsidRDefault="006E726B" w:rsidP="00A56623">
      <w:pPr>
        <w:pStyle w:val="ListParagraph"/>
        <w:numPr>
          <w:ilvl w:val="0"/>
          <w:numId w:val="6"/>
        </w:numPr>
        <w:ind w:left="360"/>
        <w:rPr>
          <w:rFonts w:cs="Times New Roman"/>
        </w:rPr>
      </w:pPr>
      <w:r w:rsidRPr="00A56623">
        <w:rPr>
          <w:rFonts w:cs="Times New Roman"/>
        </w:rPr>
        <w:lastRenderedPageBreak/>
        <w:t xml:space="preserve">HM Treasury (2024) </w:t>
      </w:r>
      <w:r w:rsidRPr="00A56623">
        <w:rPr>
          <w:rFonts w:cs="Times New Roman"/>
          <w:i/>
          <w:iCs/>
        </w:rPr>
        <w:t>National Payments Vision</w:t>
      </w:r>
      <w:r w:rsidRPr="00A56623">
        <w:rPr>
          <w:rFonts w:cs="Times New Roman"/>
        </w:rPr>
        <w:t xml:space="preserve">. GOV.UK. Available at: </w:t>
      </w:r>
      <w:hyperlink r:id="rId18" w:history="1">
        <w:r w:rsidRPr="00A56623">
          <w:rPr>
            <w:rStyle w:val="Hyperlink"/>
            <w:rFonts w:cs="Times New Roman"/>
          </w:rPr>
          <w:t>https://www.gov.uk/government/publications/national-payments-vision/national-payments-vision</w:t>
        </w:r>
      </w:hyperlink>
      <w:r w:rsidRPr="00A56623">
        <w:rPr>
          <w:rFonts w:cs="Times New Roman"/>
        </w:rPr>
        <w:t xml:space="preserve"> [Accessed 27 March 2026].</w:t>
      </w:r>
    </w:p>
    <w:p w:rsidR="006E726B" w:rsidRPr="00A56623" w:rsidRDefault="004D6217" w:rsidP="00A56623">
      <w:pPr>
        <w:pStyle w:val="ListParagraph"/>
        <w:numPr>
          <w:ilvl w:val="0"/>
          <w:numId w:val="6"/>
        </w:numPr>
        <w:ind w:left="360"/>
        <w:rPr>
          <w:rFonts w:cs="Times New Roman"/>
        </w:rPr>
      </w:pPr>
      <w:r w:rsidRPr="00A56623">
        <w:rPr>
          <w:rFonts w:cs="Times New Roman"/>
        </w:rPr>
        <w:t>Iornenge, J.T. (2025</w:t>
      </w:r>
      <w:r w:rsidR="006E726B" w:rsidRPr="00A56623">
        <w:rPr>
          <w:rFonts w:cs="Times New Roman"/>
        </w:rPr>
        <w:t xml:space="preserve">) 'Investigating the implications of open banking on consumer data privacy and financial services competition in Nigeria', </w:t>
      </w:r>
      <w:r w:rsidR="006E726B" w:rsidRPr="00A56623">
        <w:rPr>
          <w:rFonts w:cs="Times New Roman"/>
          <w:i/>
          <w:iCs/>
        </w:rPr>
        <w:t>IRE Journals</w:t>
      </w:r>
      <w:r w:rsidR="006E726B" w:rsidRPr="00A56623">
        <w:rPr>
          <w:rFonts w:cs="Times New Roman"/>
        </w:rPr>
        <w:t>, 8(3), pp. 229–242.</w:t>
      </w:r>
    </w:p>
    <w:p w:rsidR="006E726B" w:rsidRPr="00A56623" w:rsidRDefault="006E726B" w:rsidP="00A56623">
      <w:pPr>
        <w:pStyle w:val="ListParagraph"/>
        <w:numPr>
          <w:ilvl w:val="0"/>
          <w:numId w:val="6"/>
        </w:numPr>
        <w:ind w:left="360"/>
        <w:rPr>
          <w:rFonts w:cs="Times New Roman"/>
        </w:rPr>
      </w:pPr>
      <w:r w:rsidRPr="00A56623">
        <w:rPr>
          <w:rFonts w:cs="Times New Roman"/>
        </w:rPr>
        <w:t>Jadil, Y., Ra</w:t>
      </w:r>
      <w:r w:rsidR="00E31C2B" w:rsidRPr="00A56623">
        <w:rPr>
          <w:rFonts w:cs="Times New Roman"/>
        </w:rPr>
        <w:t>na, N.P. and Dwivedi, Y.K. (2025</w:t>
      </w:r>
      <w:r w:rsidRPr="00A56623">
        <w:rPr>
          <w:rFonts w:cs="Times New Roman"/>
        </w:rPr>
        <w:t xml:space="preserve">) 'A meta-analysis of the UTAUT model in the mobile banking literature: the moderating role of sample size and culture', </w:t>
      </w:r>
      <w:r w:rsidRPr="00A56623">
        <w:rPr>
          <w:rFonts w:cs="Times New Roman"/>
          <w:i/>
          <w:iCs/>
        </w:rPr>
        <w:t>Journal of Business Research</w:t>
      </w:r>
      <w:r w:rsidRPr="00A56623">
        <w:rPr>
          <w:rFonts w:cs="Times New Roman"/>
        </w:rPr>
        <w:t>, 132, pp. 354–372.</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Leavy, P. (2020) </w:t>
      </w:r>
      <w:r w:rsidRPr="00A56623">
        <w:rPr>
          <w:rFonts w:cs="Times New Roman"/>
          <w:i/>
          <w:iCs/>
        </w:rPr>
        <w:t>The Oxford Handbook of Qualitative Research</w:t>
      </w:r>
      <w:r w:rsidRPr="00A56623">
        <w:rPr>
          <w:rFonts w:cs="Times New Roman"/>
        </w:rPr>
        <w:t>. 2nd edn. Oxford: Oxford University Press.</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Lowing, R. and Hartas, D. (2011) 'Educational research and inquiry: qualitative and quantitative approaches', </w:t>
      </w:r>
      <w:r w:rsidRPr="00A56623">
        <w:rPr>
          <w:rFonts w:cs="Times New Roman"/>
          <w:i/>
          <w:iCs/>
        </w:rPr>
        <w:t>British Journal of Educational Studies</w:t>
      </w:r>
      <w:r w:rsidRPr="00A56623">
        <w:rPr>
          <w:rFonts w:cs="Times New Roman"/>
        </w:rPr>
        <w:t>, 59(3), pp. 350–351.</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Mansfield-Devine, S. (2016) 'Open banking: opportunity and danger', </w:t>
      </w:r>
      <w:r w:rsidRPr="00A56623">
        <w:rPr>
          <w:rFonts w:cs="Times New Roman"/>
          <w:i/>
          <w:iCs/>
        </w:rPr>
        <w:t>Computer Fraud and Security</w:t>
      </w:r>
      <w:r w:rsidRPr="00A56623">
        <w:rPr>
          <w:rFonts w:cs="Times New Roman"/>
        </w:rPr>
        <w:t>, 2016(10), pp. 8–13.</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Merhi, M., Hone, K. and Tarhini, A. (2019) 'A cross-cultural study of the intention to use mobile banking between Lebanese and British consumers: extending UTAUT2 with security, privacy and trust', </w:t>
      </w:r>
      <w:r w:rsidRPr="00A56623">
        <w:rPr>
          <w:rFonts w:cs="Times New Roman"/>
          <w:i/>
          <w:iCs/>
        </w:rPr>
        <w:t>Technology in Society</w:t>
      </w:r>
      <w:r w:rsidRPr="00A56623">
        <w:rPr>
          <w:rFonts w:cs="Times New Roman"/>
        </w:rPr>
        <w:t>, 59, p. 101151.</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Monzo (2025) </w:t>
      </w:r>
      <w:r w:rsidRPr="00A56623">
        <w:rPr>
          <w:rFonts w:cs="Times New Roman"/>
          <w:i/>
          <w:iCs/>
        </w:rPr>
        <w:t>Annual Report 2025</w:t>
      </w:r>
      <w:r w:rsidRPr="00A56623">
        <w:rPr>
          <w:rFonts w:cs="Times New Roman"/>
        </w:rPr>
        <w:t xml:space="preserve">. Monzo Bank Limited. Available at: </w:t>
      </w:r>
      <w:hyperlink r:id="rId19" w:history="1">
        <w:r w:rsidRPr="00A56623">
          <w:rPr>
            <w:rStyle w:val="Hyperlink"/>
            <w:rFonts w:cs="Times New Roman"/>
          </w:rPr>
          <w:t>https://monzo.com/annual-report</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Money to the Masses (2025) </w:t>
      </w:r>
      <w:r w:rsidRPr="00A56623">
        <w:rPr>
          <w:rFonts w:cs="Times New Roman"/>
          <w:i/>
          <w:iCs/>
        </w:rPr>
        <w:t>Monzo Review 2026: Should You Make the Switch?</w:t>
      </w:r>
      <w:r w:rsidRPr="00A56623">
        <w:rPr>
          <w:rFonts w:cs="Times New Roman"/>
        </w:rPr>
        <w:t xml:space="preserve"> Available at: </w:t>
      </w:r>
      <w:hyperlink r:id="rId20" w:history="1">
        <w:r w:rsidRPr="00A56623">
          <w:rPr>
            <w:rStyle w:val="Hyperlink"/>
            <w:rFonts w:cs="Times New Roman"/>
          </w:rPr>
          <w:t>https://moneytothemasses.com/banking/monzo-review-should-you-make-the-switch</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lastRenderedPageBreak/>
        <w:t xml:space="preserve">Morse, J.M., Barrett, M., Mayan, M., Olson, K. and Spiers, J. (2002) 'Verification strategies for establishing reliability and validity in qualitative research', </w:t>
      </w:r>
      <w:r w:rsidRPr="00A56623">
        <w:rPr>
          <w:rFonts w:cs="Times New Roman"/>
          <w:i/>
          <w:iCs/>
        </w:rPr>
        <w:t>International Journal of Qualitative Methods</w:t>
      </w:r>
      <w:r w:rsidRPr="00A56623">
        <w:rPr>
          <w:rFonts w:cs="Times New Roman"/>
        </w:rPr>
        <w:t>, 1(2), pp. 331–339.</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Mutambik, I. (2023) 'Customer experience in open banking and how it affects loyalty intention: a study from Saudi Arabia', </w:t>
      </w:r>
      <w:r w:rsidRPr="00A56623">
        <w:rPr>
          <w:rFonts w:cs="Times New Roman"/>
          <w:i/>
          <w:iCs/>
        </w:rPr>
        <w:t>Sustainability</w:t>
      </w:r>
      <w:r w:rsidRPr="00A56623">
        <w:rPr>
          <w:rFonts w:cs="Times New Roman"/>
        </w:rPr>
        <w:t>, 15(14), p. 10867.</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Niankara, I., Hassan, H.I., Traoret, R.I. and Islam, A.R.M. (2025) 'Consumer savings and digital remittance in open banking: insights from bibliometric and geospatial econometric analysis', </w:t>
      </w:r>
      <w:r w:rsidRPr="00A56623">
        <w:rPr>
          <w:rFonts w:cs="Times New Roman"/>
          <w:i/>
          <w:iCs/>
        </w:rPr>
        <w:t>Human Behavior and Emerging Technologies</w:t>
      </w:r>
      <w:r w:rsidRPr="00A56623">
        <w:rPr>
          <w:rFonts w:cs="Times New Roman"/>
        </w:rPr>
        <w:t>, 2025(1), 9352257.</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Open Banking Limited (2021) </w:t>
      </w:r>
      <w:r w:rsidRPr="00A56623">
        <w:rPr>
          <w:rFonts w:cs="Times New Roman"/>
          <w:i/>
          <w:iCs/>
        </w:rPr>
        <w:t>Three Years Since PSD2 Marked the Start of Open Banking, the UK Has Built a World-Leading Ecosystem</w:t>
      </w:r>
      <w:r w:rsidRPr="00A56623">
        <w:rPr>
          <w:rFonts w:cs="Times New Roman"/>
        </w:rPr>
        <w:t xml:space="preserve">. Available at: </w:t>
      </w:r>
      <w:hyperlink r:id="rId21" w:history="1">
        <w:r w:rsidRPr="00A56623">
          <w:rPr>
            <w:rStyle w:val="Hyperlink"/>
            <w:rFonts w:cs="Times New Roman"/>
          </w:rPr>
          <w:t>https://www.openbanking.org.uk/news/three-years-since-psd2-marked-the-start-of-open-banking-the-uk-has-built-a-world-leading-ecosystem/</w:t>
        </w:r>
      </w:hyperlink>
      <w:r w:rsidRPr="00A56623">
        <w:rPr>
          <w:rFonts w:cs="Times New Roman"/>
        </w:rPr>
        <w:t xml:space="preserve"> [Accessed 26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Open Banking Limited (2025) </w:t>
      </w:r>
      <w:r w:rsidRPr="00A56623">
        <w:rPr>
          <w:rFonts w:cs="Times New Roman"/>
          <w:i/>
          <w:iCs/>
        </w:rPr>
        <w:t>OBL Impact Report 7: Open Banking Delivers Real-World Impact as Adoption Accelerates Year-on-Year</w:t>
      </w:r>
      <w:r w:rsidRPr="00A56623">
        <w:rPr>
          <w:rFonts w:cs="Times New Roman"/>
        </w:rPr>
        <w:t xml:space="preserve">. Available at: </w:t>
      </w:r>
      <w:hyperlink r:id="rId22" w:history="1">
        <w:r w:rsidRPr="00A56623">
          <w:rPr>
            <w:rStyle w:val="Hyperlink"/>
            <w:rFonts w:cs="Times New Roman"/>
          </w:rPr>
          <w:t>https://www.openbanking.org.uk/insights/obl-impact-report-7-open-banking-delivers-real-world-impact-as-adoption-accelerates-year-on-year/</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Open Banking Limited (2026) </w:t>
      </w:r>
      <w:r w:rsidRPr="00A56623">
        <w:rPr>
          <w:rFonts w:cs="Times New Roman"/>
          <w:i/>
          <w:iCs/>
        </w:rPr>
        <w:t>Open Banking in 2025: Now Part of the UK's Everyday Financial Life</w:t>
      </w:r>
      <w:r w:rsidRPr="00A56623">
        <w:rPr>
          <w:rFonts w:cs="Times New Roman"/>
        </w:rPr>
        <w:t xml:space="preserve">. Available at: </w:t>
      </w:r>
      <w:hyperlink r:id="rId23" w:history="1">
        <w:r w:rsidRPr="00A56623">
          <w:rPr>
            <w:rStyle w:val="Hyperlink"/>
            <w:rFonts w:cs="Times New Roman"/>
          </w:rPr>
          <w:t>https://www.openbanking.org.uk/insights/open-banking-in-2025-now-part-of-the-uks-everyday-financial-life/</w:t>
        </w:r>
      </w:hyperlink>
      <w:r w:rsidRPr="00A56623">
        <w:rPr>
          <w:rFonts w:cs="Times New Roman"/>
        </w:rPr>
        <w:t xml:space="preserve"> [Accessed 27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Ozcan, P. and Zachariadis, M. (2021) </w:t>
      </w:r>
      <w:r w:rsidRPr="00A56623">
        <w:rPr>
          <w:rFonts w:cs="Times New Roman"/>
          <w:i/>
          <w:iCs/>
        </w:rPr>
        <w:t>Open Banking as a Catalyst for Industry Transformation: Lessons Learned from Implementing PSD2 in Europe</w:t>
      </w:r>
      <w:r w:rsidRPr="00A56623">
        <w:rPr>
          <w:rFonts w:cs="Times New Roman"/>
        </w:rPr>
        <w:t xml:space="preserve">. SWIFT Institute Working Paper No. 2017-006. Available at: </w:t>
      </w:r>
      <w:hyperlink r:id="rId24" w:history="1">
        <w:r w:rsidRPr="00A56623">
          <w:rPr>
            <w:rStyle w:val="Hyperlink"/>
            <w:rFonts w:cs="Times New Roman"/>
          </w:rPr>
          <w:t>https://ssrn.com/abstract=3984857</w:t>
        </w:r>
      </w:hyperlink>
      <w:r w:rsidRPr="00A56623">
        <w:rPr>
          <w:rFonts w:cs="Times New Roman"/>
        </w:rPr>
        <w:t xml:space="preserve"> [Accessed 26 March 2026].</w:t>
      </w:r>
    </w:p>
    <w:p w:rsidR="006E726B" w:rsidRPr="00A56623" w:rsidRDefault="006E726B" w:rsidP="00A56623">
      <w:pPr>
        <w:pStyle w:val="ListParagraph"/>
        <w:numPr>
          <w:ilvl w:val="0"/>
          <w:numId w:val="6"/>
        </w:numPr>
        <w:ind w:left="360"/>
        <w:rPr>
          <w:rFonts w:cs="Times New Roman"/>
        </w:rPr>
      </w:pPr>
      <w:r w:rsidRPr="00A56623">
        <w:rPr>
          <w:rFonts w:cs="Times New Roman"/>
        </w:rPr>
        <w:lastRenderedPageBreak/>
        <w:t xml:space="preserve">Ozili, P.K. (2018) 'Impact of digital finance on financial inclusion and stability', </w:t>
      </w:r>
      <w:r w:rsidRPr="00A56623">
        <w:rPr>
          <w:rFonts w:cs="Times New Roman"/>
          <w:i/>
          <w:iCs/>
        </w:rPr>
        <w:t>Borsa Istanbul Review</w:t>
      </w:r>
      <w:r w:rsidRPr="00A56623">
        <w:rPr>
          <w:rFonts w:cs="Times New Roman"/>
        </w:rPr>
        <w:t>, 18(4), pp. 329–340.</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Ozili, P.K. (2022) 'Digital financial inclusion', in Sood, K. et al. (eds.) </w:t>
      </w:r>
      <w:r w:rsidRPr="00A56623">
        <w:rPr>
          <w:rFonts w:cs="Times New Roman"/>
          <w:i/>
          <w:iCs/>
        </w:rPr>
        <w:t>Big Data: A Game Changer for Insurance Industry</w:t>
      </w:r>
      <w:r w:rsidRPr="00A56623">
        <w:rPr>
          <w:rFonts w:cs="Times New Roman"/>
        </w:rPr>
        <w:t>. Bingley: Emerald Publishing Limited.</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Polasik, M. and Kotkowski, R. (2022) 'The open banking adoption among consumers in Europe: the role of privacy, trust, and digital financial inclusion', </w:t>
      </w:r>
      <w:r w:rsidRPr="00A56623">
        <w:rPr>
          <w:rFonts w:cs="Times New Roman"/>
          <w:i/>
          <w:iCs/>
        </w:rPr>
        <w:t>SSRN Electronic Journal</w:t>
      </w:r>
      <w:r w:rsidRPr="00A56623">
        <w:rPr>
          <w:rFonts w:cs="Times New Roman"/>
        </w:rPr>
        <w:t xml:space="preserve">. Available at: </w:t>
      </w:r>
      <w:hyperlink r:id="rId25" w:history="1">
        <w:r w:rsidRPr="00A56623">
          <w:rPr>
            <w:rStyle w:val="Hyperlink"/>
            <w:rFonts w:cs="Times New Roman"/>
          </w:rPr>
          <w:t>https://ssrn.com/abstract=4105648</w:t>
        </w:r>
      </w:hyperlink>
      <w:r w:rsidRPr="00A56623">
        <w:rPr>
          <w:rFonts w:cs="Times New Roman"/>
        </w:rPr>
        <w:t xml:space="preserve"> [Accessed 26 March 2026].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Ramdani, B., Rothwell, B. and Boukrami, E. (2020) 'Open banking: the emergence of new digital business models', </w:t>
      </w:r>
      <w:r w:rsidRPr="00A56623">
        <w:rPr>
          <w:rFonts w:cs="Times New Roman"/>
          <w:i/>
          <w:iCs/>
        </w:rPr>
        <w:t>International Journal of Innovation and Technology Management</w:t>
      </w:r>
      <w:r w:rsidRPr="00A56623">
        <w:rPr>
          <w:rFonts w:cs="Times New Roman"/>
        </w:rPr>
        <w:t>, 17(5), 2050033.</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Rosati, P., Fox, G., Cummins, M. and Lynn, T. (2022) 'Perceived risk as a determinant of propensity to adopt account information services under the EU Payment Services Directive 2', </w:t>
      </w:r>
      <w:r w:rsidRPr="00A56623">
        <w:rPr>
          <w:rFonts w:cs="Times New Roman"/>
          <w:i/>
          <w:iCs/>
        </w:rPr>
        <w:t>Journal of Theoretical and Applied Electronic Commerce Research</w:t>
      </w:r>
      <w:r w:rsidRPr="00A56623">
        <w:rPr>
          <w:rFonts w:cs="Times New Roman"/>
        </w:rPr>
        <w:t>, 17(2), pp. 493–506.</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Saunders, M., Lewis, P. and Thornhill, A. (2019) </w:t>
      </w:r>
      <w:r w:rsidRPr="00A56623">
        <w:rPr>
          <w:rFonts w:cs="Times New Roman"/>
          <w:i/>
          <w:iCs/>
        </w:rPr>
        <w:t>Research Methods for Business Students</w:t>
      </w:r>
      <w:r w:rsidRPr="00A56623">
        <w:rPr>
          <w:rFonts w:cs="Times New Roman"/>
        </w:rPr>
        <w:t>. 8th edn. Harlow: Pearson.</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Sivathanu, B. (2019) 'An empirical study on the intention to use open banking in India', </w:t>
      </w:r>
      <w:r w:rsidRPr="00A56623">
        <w:rPr>
          <w:rFonts w:cs="Times New Roman"/>
          <w:i/>
          <w:iCs/>
        </w:rPr>
        <w:t>Information Resources Management Journal</w:t>
      </w:r>
      <w:r w:rsidRPr="00A56623">
        <w:rPr>
          <w:rFonts w:cs="Times New Roman"/>
        </w:rPr>
        <w:t>, 32(3), pp. 27–47.</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Stewart, H. and Jürjens, J. (2018) 'Data security and consumer trust in FinTech innovation in Germany', </w:t>
      </w:r>
      <w:r w:rsidRPr="00A56623">
        <w:rPr>
          <w:rFonts w:cs="Times New Roman"/>
          <w:i/>
          <w:iCs/>
        </w:rPr>
        <w:t>Information and Computer Security</w:t>
      </w:r>
      <w:r w:rsidRPr="00A56623">
        <w:rPr>
          <w:rFonts w:cs="Times New Roman"/>
        </w:rPr>
        <w:t>, 26(1), pp. 109–128.</w:t>
      </w:r>
    </w:p>
    <w:p w:rsidR="006E726B" w:rsidRPr="00A56623" w:rsidRDefault="00EA437E" w:rsidP="00A56623">
      <w:pPr>
        <w:pStyle w:val="ListParagraph"/>
        <w:numPr>
          <w:ilvl w:val="0"/>
          <w:numId w:val="6"/>
        </w:numPr>
        <w:ind w:left="360"/>
        <w:rPr>
          <w:rFonts w:cs="Times New Roman"/>
        </w:rPr>
      </w:pPr>
      <w:r w:rsidRPr="00A56623">
        <w:rPr>
          <w:rFonts w:cs="Times New Roman"/>
        </w:rPr>
        <w:t>Tech.eu (2025</w:t>
      </w:r>
      <w:r w:rsidR="006E726B" w:rsidRPr="00A56623">
        <w:rPr>
          <w:rFonts w:cs="Times New Roman"/>
        </w:rPr>
        <w:t xml:space="preserve">) </w:t>
      </w:r>
      <w:r w:rsidR="006E726B" w:rsidRPr="00A56623">
        <w:rPr>
          <w:rFonts w:cs="Times New Roman"/>
          <w:i/>
          <w:iCs/>
        </w:rPr>
        <w:t>More Than Six Million Monzo Customers Have Used Open Banking Technology</w:t>
      </w:r>
      <w:r w:rsidR="006E726B" w:rsidRPr="00A56623">
        <w:rPr>
          <w:rFonts w:cs="Times New Roman"/>
        </w:rPr>
        <w:t xml:space="preserve">. Available at: </w:t>
      </w:r>
      <w:hyperlink r:id="rId26" w:history="1">
        <w:r w:rsidR="006E726B" w:rsidRPr="00A56623">
          <w:rPr>
            <w:rStyle w:val="Hyperlink"/>
            <w:rFonts w:cs="Times New Roman"/>
          </w:rPr>
          <w:t>https://tech.eu/2024/07/24/more-than-six-million-monzo-customers-have-used-open-banking-technology/</w:t>
        </w:r>
      </w:hyperlink>
      <w:r w:rsidR="006E726B" w:rsidRPr="00A56623">
        <w:rPr>
          <w:rFonts w:cs="Times New Roman"/>
        </w:rPr>
        <w:t xml:space="preserve"> [Accessed 27 March 2026].</w:t>
      </w:r>
    </w:p>
    <w:p w:rsidR="006E726B" w:rsidRPr="00A56623" w:rsidRDefault="00EA437E" w:rsidP="00A56623">
      <w:pPr>
        <w:pStyle w:val="ListParagraph"/>
        <w:numPr>
          <w:ilvl w:val="0"/>
          <w:numId w:val="6"/>
        </w:numPr>
        <w:ind w:left="360"/>
        <w:rPr>
          <w:rFonts w:cs="Times New Roman"/>
        </w:rPr>
      </w:pPr>
      <w:r w:rsidRPr="00A56623">
        <w:rPr>
          <w:rFonts w:cs="Times New Roman"/>
        </w:rPr>
        <w:lastRenderedPageBreak/>
        <w:t>Torre, J.D. and Ebardo, R. (2025</w:t>
      </w:r>
      <w:r w:rsidR="006E726B" w:rsidRPr="00A56623">
        <w:rPr>
          <w:rFonts w:cs="Times New Roman"/>
        </w:rPr>
        <w:t xml:space="preserve">) 'Technology adoption of open banking: drivers and barriers', in Thiruchelvam, V. et al. (eds.), </w:t>
      </w:r>
      <w:r w:rsidR="006E726B" w:rsidRPr="00A56623">
        <w:rPr>
          <w:rFonts w:cs="Times New Roman"/>
          <w:i/>
          <w:iCs/>
        </w:rPr>
        <w:t>Lecture Notes in Electrical Engineering</w:t>
      </w:r>
      <w:r w:rsidR="006E726B" w:rsidRPr="00A56623">
        <w:rPr>
          <w:rFonts w:cs="Times New Roman"/>
        </w:rPr>
        <w:t>. Singapore: Springer.</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Venkatesh, V., Morris, M.G., Davis, G.B. and Davis, F.D. (2003) 'User acceptance of information technology: toward a unified view', </w:t>
      </w:r>
      <w:r w:rsidRPr="00A56623">
        <w:rPr>
          <w:rFonts w:cs="Times New Roman"/>
          <w:i/>
          <w:iCs/>
        </w:rPr>
        <w:t>MIS Quarterly</w:t>
      </w:r>
      <w:r w:rsidRPr="00A56623">
        <w:rPr>
          <w:rFonts w:cs="Times New Roman"/>
        </w:rPr>
        <w:t>, 27(3), pp. 425–478.</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Wang, H., Ma, S., Dai, H.N., Imran, M. and Wang, T. (2020) 'Blockchain-based data privacy management with nudge theory in open banking', </w:t>
      </w:r>
      <w:r w:rsidRPr="00A56623">
        <w:rPr>
          <w:rFonts w:cs="Times New Roman"/>
          <w:i/>
          <w:iCs/>
        </w:rPr>
        <w:t>Future Generation Computer Systems</w:t>
      </w:r>
      <w:r w:rsidRPr="00A56623">
        <w:rPr>
          <w:rFonts w:cs="Times New Roman"/>
        </w:rPr>
        <w:t>, 110, pp. 812–823.</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Waters, D. (2011) </w:t>
      </w:r>
      <w:r w:rsidRPr="00A56623">
        <w:rPr>
          <w:rFonts w:cs="Times New Roman"/>
          <w:i/>
          <w:iCs/>
        </w:rPr>
        <w:t>Quantitative Methods for Business</w:t>
      </w:r>
      <w:r w:rsidRPr="00A56623">
        <w:rPr>
          <w:rFonts w:cs="Times New Roman"/>
        </w:rPr>
        <w:t>. 5th edn. Harlow: Financial Times Prentice Hall.</w:t>
      </w:r>
    </w:p>
    <w:p w:rsidR="006E726B" w:rsidRPr="00A56623" w:rsidRDefault="006E726B" w:rsidP="00A56623">
      <w:pPr>
        <w:pStyle w:val="ListParagraph"/>
        <w:numPr>
          <w:ilvl w:val="0"/>
          <w:numId w:val="6"/>
        </w:numPr>
        <w:ind w:left="360"/>
        <w:rPr>
          <w:rFonts w:cs="Times New Roman"/>
        </w:rPr>
      </w:pPr>
      <w:r w:rsidRPr="00A56623">
        <w:rPr>
          <w:rFonts w:cs="Times New Roman"/>
        </w:rPr>
        <w:t xml:space="preserve">Zachariadis, M. and Ozcan, P. (2017) </w:t>
      </w:r>
      <w:r w:rsidRPr="00A56623">
        <w:rPr>
          <w:rFonts w:cs="Times New Roman"/>
          <w:i/>
          <w:iCs/>
        </w:rPr>
        <w:t>The API Economy and Digital Transformation in Financial Services: The Case of Open Banking</w:t>
      </w:r>
      <w:r w:rsidRPr="00A56623">
        <w:rPr>
          <w:rFonts w:cs="Times New Roman"/>
        </w:rPr>
        <w:t xml:space="preserve">. SWIFT Institute Working Paper No. 2016-001. </w:t>
      </w:r>
    </w:p>
    <w:p w:rsidR="00D8246C" w:rsidRPr="00E93370" w:rsidRDefault="00D8246C" w:rsidP="00A56623">
      <w:pPr>
        <w:rPr>
          <w:rFonts w:cs="Times New Roman"/>
        </w:rPr>
      </w:pPr>
    </w:p>
    <w:sectPr w:rsidR="00D8246C" w:rsidRPr="00E93370">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64C" w:rsidRDefault="0047364C" w:rsidP="00A5230E">
      <w:pPr>
        <w:spacing w:after="0" w:line="240" w:lineRule="auto"/>
      </w:pPr>
      <w:r>
        <w:separator/>
      </w:r>
    </w:p>
  </w:endnote>
  <w:endnote w:type="continuationSeparator" w:id="0">
    <w:p w:rsidR="0047364C" w:rsidRDefault="0047364C"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503756"/>
      <w:docPartObj>
        <w:docPartGallery w:val="Page Numbers (Bottom of Page)"/>
        <w:docPartUnique/>
      </w:docPartObj>
    </w:sdtPr>
    <w:sdtEndPr>
      <w:rPr>
        <w:noProof/>
      </w:rPr>
    </w:sdtEndPr>
    <w:sdtContent>
      <w:p w:rsidR="007D3896" w:rsidRDefault="007D3896">
        <w:pPr>
          <w:pStyle w:val="Footer"/>
          <w:jc w:val="right"/>
        </w:pPr>
        <w:r>
          <w:fldChar w:fldCharType="begin"/>
        </w:r>
        <w:r>
          <w:instrText xml:space="preserve"> PAGE   \* MERGEFORMAT </w:instrText>
        </w:r>
        <w:r>
          <w:fldChar w:fldCharType="separate"/>
        </w:r>
        <w:r w:rsidR="004503D2">
          <w:rPr>
            <w:noProof/>
          </w:rPr>
          <w:t>16</w:t>
        </w:r>
        <w:r>
          <w:rPr>
            <w:noProof/>
          </w:rPr>
          <w:fldChar w:fldCharType="end"/>
        </w:r>
      </w:p>
    </w:sdtContent>
  </w:sdt>
  <w:p w:rsidR="007D3896" w:rsidRDefault="007D38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64C" w:rsidRDefault="0047364C" w:rsidP="00A5230E">
      <w:pPr>
        <w:spacing w:after="0" w:line="240" w:lineRule="auto"/>
      </w:pPr>
      <w:r>
        <w:separator/>
      </w:r>
    </w:p>
  </w:footnote>
  <w:footnote w:type="continuationSeparator" w:id="0">
    <w:p w:rsidR="0047364C" w:rsidRDefault="0047364C"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B360C"/>
    <w:multiLevelType w:val="multilevel"/>
    <w:tmpl w:val="2F56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1D0BC4"/>
    <w:multiLevelType w:val="hybridMultilevel"/>
    <w:tmpl w:val="4344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BE49BA"/>
    <w:multiLevelType w:val="multilevel"/>
    <w:tmpl w:val="409C0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A706E"/>
    <w:multiLevelType w:val="multilevel"/>
    <w:tmpl w:val="1CC6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2D5F4C"/>
    <w:multiLevelType w:val="multilevel"/>
    <w:tmpl w:val="6F1E7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214930"/>
    <w:multiLevelType w:val="hybridMultilevel"/>
    <w:tmpl w:val="CED8E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770"/>
    <w:rsid w:val="0002194A"/>
    <w:rsid w:val="00024537"/>
    <w:rsid w:val="000319E8"/>
    <w:rsid w:val="00055E5B"/>
    <w:rsid w:val="0007562B"/>
    <w:rsid w:val="00090D3C"/>
    <w:rsid w:val="00092EBD"/>
    <w:rsid w:val="000C6491"/>
    <w:rsid w:val="000E2A20"/>
    <w:rsid w:val="00134EE8"/>
    <w:rsid w:val="0018581E"/>
    <w:rsid w:val="001B76EA"/>
    <w:rsid w:val="001E34FB"/>
    <w:rsid w:val="00220140"/>
    <w:rsid w:val="00273B0B"/>
    <w:rsid w:val="002C7F22"/>
    <w:rsid w:val="002D3482"/>
    <w:rsid w:val="003347DF"/>
    <w:rsid w:val="00393C3E"/>
    <w:rsid w:val="003A0BA9"/>
    <w:rsid w:val="003C2933"/>
    <w:rsid w:val="003E57F2"/>
    <w:rsid w:val="00442BFE"/>
    <w:rsid w:val="004503D2"/>
    <w:rsid w:val="00457551"/>
    <w:rsid w:val="0047364C"/>
    <w:rsid w:val="00475558"/>
    <w:rsid w:val="004A45F8"/>
    <w:rsid w:val="004A6039"/>
    <w:rsid w:val="004B7F5B"/>
    <w:rsid w:val="004C3B16"/>
    <w:rsid w:val="004C666A"/>
    <w:rsid w:val="004D6217"/>
    <w:rsid w:val="00511423"/>
    <w:rsid w:val="00526E06"/>
    <w:rsid w:val="005758F2"/>
    <w:rsid w:val="005B4C21"/>
    <w:rsid w:val="005F2BBE"/>
    <w:rsid w:val="00613C4E"/>
    <w:rsid w:val="0062403C"/>
    <w:rsid w:val="00625792"/>
    <w:rsid w:val="00664A56"/>
    <w:rsid w:val="00667434"/>
    <w:rsid w:val="00682096"/>
    <w:rsid w:val="006B7DFD"/>
    <w:rsid w:val="006D0C0D"/>
    <w:rsid w:val="006E726B"/>
    <w:rsid w:val="006E7990"/>
    <w:rsid w:val="00746A1A"/>
    <w:rsid w:val="007978FB"/>
    <w:rsid w:val="007D3896"/>
    <w:rsid w:val="008D2C3E"/>
    <w:rsid w:val="00953559"/>
    <w:rsid w:val="009C75F3"/>
    <w:rsid w:val="009E7770"/>
    <w:rsid w:val="009E7EA1"/>
    <w:rsid w:val="00A014BA"/>
    <w:rsid w:val="00A15A20"/>
    <w:rsid w:val="00A26142"/>
    <w:rsid w:val="00A470DE"/>
    <w:rsid w:val="00A5230E"/>
    <w:rsid w:val="00A56623"/>
    <w:rsid w:val="00AA4CDA"/>
    <w:rsid w:val="00AC7BBE"/>
    <w:rsid w:val="00AE5E83"/>
    <w:rsid w:val="00AF154F"/>
    <w:rsid w:val="00B03315"/>
    <w:rsid w:val="00B06A1A"/>
    <w:rsid w:val="00B22393"/>
    <w:rsid w:val="00B461AC"/>
    <w:rsid w:val="00B972E4"/>
    <w:rsid w:val="00BB6562"/>
    <w:rsid w:val="00BC6CF0"/>
    <w:rsid w:val="00BF2600"/>
    <w:rsid w:val="00C908AB"/>
    <w:rsid w:val="00C931FC"/>
    <w:rsid w:val="00C9374C"/>
    <w:rsid w:val="00CB0D7F"/>
    <w:rsid w:val="00CB5365"/>
    <w:rsid w:val="00CB76EB"/>
    <w:rsid w:val="00D3212A"/>
    <w:rsid w:val="00D41C55"/>
    <w:rsid w:val="00D540D9"/>
    <w:rsid w:val="00D8246C"/>
    <w:rsid w:val="00D97AD7"/>
    <w:rsid w:val="00DA51A6"/>
    <w:rsid w:val="00DD0DB3"/>
    <w:rsid w:val="00E012E2"/>
    <w:rsid w:val="00E11729"/>
    <w:rsid w:val="00E12A64"/>
    <w:rsid w:val="00E254B5"/>
    <w:rsid w:val="00E31C2B"/>
    <w:rsid w:val="00E869B1"/>
    <w:rsid w:val="00E903E0"/>
    <w:rsid w:val="00E93370"/>
    <w:rsid w:val="00EA24B1"/>
    <w:rsid w:val="00EA437E"/>
    <w:rsid w:val="00EF2C8D"/>
    <w:rsid w:val="00EF3289"/>
    <w:rsid w:val="00F36D2E"/>
    <w:rsid w:val="00FA20BE"/>
    <w:rsid w:val="00FA4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623"/>
    <w:pPr>
      <w:spacing w:after="20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rsid w:val="004A45F8"/>
    <w:rPr>
      <w:rFonts w:ascii="Times New Roman" w:eastAsiaTheme="majorEastAsia" w:hAnsi="Times New Roman" w:cstheme="majorBidi"/>
      <w:b/>
      <w:sz w:val="26"/>
      <w:szCs w:val="24"/>
      <w:lang w:val="en-GB"/>
    </w:rPr>
  </w:style>
  <w:style w:type="paragraph" w:styleId="TOC2">
    <w:name w:val="toc 2"/>
    <w:basedOn w:val="Normal"/>
    <w:next w:val="Normal"/>
    <w:autoRedefine/>
    <w:uiPriority w:val="39"/>
    <w:unhideWhenUsed/>
    <w:rsid w:val="00C931FC"/>
    <w:pPr>
      <w:spacing w:after="100"/>
      <w:ind w:left="240"/>
    </w:pPr>
  </w:style>
  <w:style w:type="table" w:styleId="TableGrid">
    <w:name w:val="Table Grid"/>
    <w:basedOn w:val="TableNormal"/>
    <w:uiPriority w:val="39"/>
    <w:rsid w:val="001B7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B76EA"/>
    <w:pPr>
      <w:spacing w:line="240" w:lineRule="auto"/>
    </w:pPr>
    <w:rPr>
      <w:i/>
      <w:iCs/>
      <w:color w:val="44546A" w:themeColor="text2"/>
      <w:sz w:val="18"/>
      <w:szCs w:val="18"/>
    </w:rPr>
  </w:style>
  <w:style w:type="paragraph" w:styleId="NoSpacing">
    <w:name w:val="No Spacing"/>
    <w:uiPriority w:val="1"/>
    <w:qFormat/>
    <w:rsid w:val="00BF2600"/>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3347DF"/>
    <w:pPr>
      <w:ind w:left="720"/>
      <w:contextualSpacing/>
    </w:pPr>
  </w:style>
  <w:style w:type="paragraph" w:styleId="TOC3">
    <w:name w:val="toc 3"/>
    <w:basedOn w:val="Normal"/>
    <w:next w:val="Normal"/>
    <w:autoRedefine/>
    <w:uiPriority w:val="39"/>
    <w:unhideWhenUsed/>
    <w:rsid w:val="006E726B"/>
    <w:pPr>
      <w:spacing w:after="100"/>
      <w:ind w:left="480"/>
    </w:pPr>
  </w:style>
  <w:style w:type="paragraph" w:styleId="NormalWeb">
    <w:name w:val="Normal (Web)"/>
    <w:basedOn w:val="Normal"/>
    <w:uiPriority w:val="99"/>
    <w:semiHidden/>
    <w:unhideWhenUsed/>
    <w:rsid w:val="00FA20BE"/>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106196339">
      <w:bodyDiv w:val="1"/>
      <w:marLeft w:val="0"/>
      <w:marRight w:val="0"/>
      <w:marTop w:val="0"/>
      <w:marBottom w:val="0"/>
      <w:divBdr>
        <w:top w:val="none" w:sz="0" w:space="0" w:color="auto"/>
        <w:left w:val="none" w:sz="0" w:space="0" w:color="auto"/>
        <w:bottom w:val="none" w:sz="0" w:space="0" w:color="auto"/>
        <w:right w:val="none" w:sz="0" w:space="0" w:color="auto"/>
      </w:divBdr>
    </w:div>
    <w:div w:id="311444558">
      <w:bodyDiv w:val="1"/>
      <w:marLeft w:val="0"/>
      <w:marRight w:val="0"/>
      <w:marTop w:val="0"/>
      <w:marBottom w:val="0"/>
      <w:divBdr>
        <w:top w:val="none" w:sz="0" w:space="0" w:color="auto"/>
        <w:left w:val="none" w:sz="0" w:space="0" w:color="auto"/>
        <w:bottom w:val="none" w:sz="0" w:space="0" w:color="auto"/>
        <w:right w:val="none" w:sz="0" w:space="0" w:color="auto"/>
      </w:divBdr>
    </w:div>
    <w:div w:id="337461704">
      <w:bodyDiv w:val="1"/>
      <w:marLeft w:val="0"/>
      <w:marRight w:val="0"/>
      <w:marTop w:val="0"/>
      <w:marBottom w:val="0"/>
      <w:divBdr>
        <w:top w:val="none" w:sz="0" w:space="0" w:color="auto"/>
        <w:left w:val="none" w:sz="0" w:space="0" w:color="auto"/>
        <w:bottom w:val="none" w:sz="0" w:space="0" w:color="auto"/>
        <w:right w:val="none" w:sz="0" w:space="0" w:color="auto"/>
      </w:divBdr>
    </w:div>
    <w:div w:id="500238977">
      <w:bodyDiv w:val="1"/>
      <w:marLeft w:val="0"/>
      <w:marRight w:val="0"/>
      <w:marTop w:val="0"/>
      <w:marBottom w:val="0"/>
      <w:divBdr>
        <w:top w:val="none" w:sz="0" w:space="0" w:color="auto"/>
        <w:left w:val="none" w:sz="0" w:space="0" w:color="auto"/>
        <w:bottom w:val="none" w:sz="0" w:space="0" w:color="auto"/>
        <w:right w:val="none" w:sz="0" w:space="0" w:color="auto"/>
      </w:divBdr>
    </w:div>
    <w:div w:id="1323848794">
      <w:bodyDiv w:val="1"/>
      <w:marLeft w:val="0"/>
      <w:marRight w:val="0"/>
      <w:marTop w:val="0"/>
      <w:marBottom w:val="0"/>
      <w:divBdr>
        <w:top w:val="none" w:sz="0" w:space="0" w:color="auto"/>
        <w:left w:val="none" w:sz="0" w:space="0" w:color="auto"/>
        <w:bottom w:val="none" w:sz="0" w:space="0" w:color="auto"/>
        <w:right w:val="none" w:sz="0" w:space="0" w:color="auto"/>
      </w:divBdr>
    </w:div>
    <w:div w:id="1623993294">
      <w:bodyDiv w:val="1"/>
      <w:marLeft w:val="0"/>
      <w:marRight w:val="0"/>
      <w:marTop w:val="0"/>
      <w:marBottom w:val="0"/>
      <w:divBdr>
        <w:top w:val="none" w:sz="0" w:space="0" w:color="auto"/>
        <w:left w:val="none" w:sz="0" w:space="0" w:color="auto"/>
        <w:bottom w:val="none" w:sz="0" w:space="0" w:color="auto"/>
        <w:right w:val="none" w:sz="0" w:space="0" w:color="auto"/>
      </w:divBdr>
    </w:div>
    <w:div w:id="1738892418">
      <w:bodyDiv w:val="1"/>
      <w:marLeft w:val="0"/>
      <w:marRight w:val="0"/>
      <w:marTop w:val="0"/>
      <w:marBottom w:val="0"/>
      <w:divBdr>
        <w:top w:val="none" w:sz="0" w:space="0" w:color="auto"/>
        <w:left w:val="none" w:sz="0" w:space="0" w:color="auto"/>
        <w:bottom w:val="none" w:sz="0" w:space="0" w:color="auto"/>
        <w:right w:val="none" w:sz="0" w:space="0" w:color="auto"/>
      </w:divBdr>
    </w:div>
    <w:div w:id="2002737900">
      <w:bodyDiv w:val="1"/>
      <w:marLeft w:val="0"/>
      <w:marRight w:val="0"/>
      <w:marTop w:val="0"/>
      <w:marBottom w:val="0"/>
      <w:divBdr>
        <w:top w:val="none" w:sz="0" w:space="0" w:color="auto"/>
        <w:left w:val="none" w:sz="0" w:space="0" w:color="auto"/>
        <w:bottom w:val="none" w:sz="0" w:space="0" w:color="auto"/>
        <w:right w:val="none" w:sz="0" w:space="0" w:color="auto"/>
      </w:divBdr>
    </w:div>
    <w:div w:id="205338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retail-banking-market-investigation-order-2017" TargetMode="External"/><Relationship Id="rId18" Type="http://schemas.openxmlformats.org/officeDocument/2006/relationships/hyperlink" Target="https://www.gov.uk/government/publications/national-payments-vision/national-payments-vision" TargetMode="External"/><Relationship Id="rId26" Type="http://schemas.openxmlformats.org/officeDocument/2006/relationships/hyperlink" Target="https://tech.eu/2024/07/24/more-than-six-million-monzo-customers-have-used-open-banking-technology/" TargetMode="External"/><Relationship Id="rId3" Type="http://schemas.openxmlformats.org/officeDocument/2006/relationships/styles" Target="styles.xml"/><Relationship Id="rId21" Type="http://schemas.openxmlformats.org/officeDocument/2006/relationships/hyperlink" Target="https://www.openbanking.org.uk/news/three-years-since-psd2-marked-the-start-of-open-banking-the-uk-has-built-a-world-leading-ecosystem/" TargetMode="External"/><Relationship Id="rId7" Type="http://schemas.openxmlformats.org/officeDocument/2006/relationships/endnotes" Target="endnotes.xml"/><Relationship Id="rId12" Type="http://schemas.openxmlformats.org/officeDocument/2006/relationships/hyperlink" Target="https://www.gov.uk/cma-cases/review-of-banking-for-small-and-medium-sized-businesses-smes-in-the-uk" TargetMode="External"/><Relationship Id="rId17" Type="http://schemas.openxmlformats.org/officeDocument/2006/relationships/hyperlink" Target="https://www.fca.org.uk/news/news-stories/open-banking-2025-progress" TargetMode="External"/><Relationship Id="rId25" Type="http://schemas.openxmlformats.org/officeDocument/2006/relationships/hyperlink" Target="https://ssrn.com/abstract=4105648" TargetMode="External"/><Relationship Id="rId2" Type="http://schemas.openxmlformats.org/officeDocument/2006/relationships/numbering" Target="numbering.xml"/><Relationship Id="rId16" Type="http://schemas.openxmlformats.org/officeDocument/2006/relationships/hyperlink" Target="https://www.fca.org.uk/publication/research-notes/open-banking-open-finance-uk.pdf" TargetMode="External"/><Relationship Id="rId20" Type="http://schemas.openxmlformats.org/officeDocument/2006/relationships/hyperlink" Target="https://moneytothemasses.com/banking/monzo-review-should-you-make-the-switc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srn.com/abstract=3984857" TargetMode="External"/><Relationship Id="rId5" Type="http://schemas.openxmlformats.org/officeDocument/2006/relationships/webSettings" Target="webSettings.xml"/><Relationship Id="rId15" Type="http://schemas.openxmlformats.org/officeDocument/2006/relationships/hyperlink" Target="https://www.fca.org.uk/publication/financial-lives/fls-2024-vulnerability-financial-resilience.pdf" TargetMode="External"/><Relationship Id="rId23" Type="http://schemas.openxmlformats.org/officeDocument/2006/relationships/hyperlink" Target="https://www.openbanking.org.uk/insights/open-banking-in-2025-now-part-of-the-uks-everyday-financial-life/"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monzo.com/annual-report" TargetMode="External"/><Relationship Id="rId4" Type="http://schemas.openxmlformats.org/officeDocument/2006/relationships/settings" Target="settings.xml"/><Relationship Id="rId9" Type="http://schemas.openxmlformats.org/officeDocument/2006/relationships/hyperlink" Target="http://Tech.eu" TargetMode="External"/><Relationship Id="rId14" Type="http://schemas.openxmlformats.org/officeDocument/2006/relationships/hyperlink" Target="https://www.gov.uk/cma-cases/review-of-banking-for-small-and-medium-sized-businesses-smes-in-the-uk" TargetMode="External"/><Relationship Id="rId22" Type="http://schemas.openxmlformats.org/officeDocument/2006/relationships/hyperlink" Target="https://www.openbanking.org.uk/insights/obl-impact-report-7-open-banking-delivers-real-world-impact-as-adoption-accelerates-year-on-yea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9DE04-CB0D-4F7B-8690-8BB9253F2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7798</Words>
  <Characters>44451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2022-03-12T09:45:00Z</dcterms:created>
  <dcterms:modified xsi:type="dcterms:W3CDTF">2026-03-30T09:08:00Z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