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4696E" w14:textId="77777777" w:rsidR="008C1CA0" w:rsidRDefault="008C1CA0">
      <w:pPr>
        <w:spacing w:before="240" w:line="360" w:lineRule="auto"/>
        <w:jc w:val="both"/>
        <w:rPr>
          <w:rFonts w:ascii="Times New Roman" w:hAnsi="Times New Roman" w:cs="Times New Roman"/>
          <w:b/>
          <w:sz w:val="36"/>
        </w:rPr>
      </w:pPr>
    </w:p>
    <w:p w14:paraId="5C44696F" w14:textId="77777777" w:rsidR="008C1CA0" w:rsidRDefault="00157A71">
      <w:pPr>
        <w:spacing w:line="360" w:lineRule="auto"/>
        <w:jc w:val="center"/>
        <w:rPr>
          <w:rFonts w:ascii="Arial" w:hAnsi="Arial" w:cs="Arial"/>
          <w:b/>
          <w:sz w:val="32"/>
          <w:szCs w:val="32"/>
        </w:rPr>
      </w:pPr>
      <w:r>
        <w:rPr>
          <w:noProof/>
        </w:rPr>
        <w:drawing>
          <wp:inline distT="0" distB="0" distL="0" distR="0" wp14:anchorId="5C446A21" wp14:editId="5C446A22">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5C446970" w14:textId="77777777" w:rsidR="008C1CA0" w:rsidRDefault="008C1CA0">
      <w:pPr>
        <w:jc w:val="both"/>
      </w:pPr>
    </w:p>
    <w:p w14:paraId="5C446971" w14:textId="77777777" w:rsidR="008C1CA0" w:rsidRDefault="008C1CA0">
      <w:pPr>
        <w:jc w:val="center"/>
      </w:pPr>
    </w:p>
    <w:p w14:paraId="5C446972" w14:textId="2173B5BF" w:rsidR="008C1CA0" w:rsidRDefault="00157A71">
      <w:pPr>
        <w:jc w:val="center"/>
        <w:rPr>
          <w:rFonts w:ascii="Arial" w:hAnsi="Arial" w:cs="Arial"/>
          <w:b/>
          <w:bCs/>
          <w:lang w:val="en-US"/>
        </w:rPr>
      </w:pPr>
      <w:r>
        <w:rPr>
          <w:rFonts w:ascii="Arial" w:hAnsi="Arial" w:cs="Arial"/>
          <w:b/>
          <w:bCs/>
        </w:rPr>
        <w:t>Student Name:</w:t>
      </w:r>
      <w:r>
        <w:rPr>
          <w:rFonts w:ascii="Arial" w:hAnsi="Arial" w:cs="Arial"/>
          <w:b/>
          <w:bCs/>
          <w:lang w:val="en-US"/>
        </w:rPr>
        <w:t xml:space="preserve"> DHRUV UTPALKUMAR TRIVEDI</w:t>
      </w:r>
    </w:p>
    <w:p w14:paraId="5C446973" w14:textId="77777777" w:rsidR="008C1CA0" w:rsidRDefault="008C1CA0">
      <w:pPr>
        <w:jc w:val="center"/>
        <w:rPr>
          <w:rFonts w:ascii="Arial" w:hAnsi="Arial" w:cs="Arial"/>
          <w:b/>
          <w:bCs/>
        </w:rPr>
      </w:pPr>
    </w:p>
    <w:p w14:paraId="5C446974" w14:textId="022AED08" w:rsidR="008C1CA0" w:rsidRDefault="00157A71">
      <w:pPr>
        <w:jc w:val="center"/>
        <w:rPr>
          <w:rFonts w:ascii="Arial" w:hAnsi="Arial" w:cs="Arial"/>
          <w:b/>
          <w:bCs/>
          <w:lang w:val="en-US"/>
        </w:rPr>
      </w:pPr>
      <w:r>
        <w:rPr>
          <w:rFonts w:ascii="Arial" w:hAnsi="Arial" w:cs="Arial"/>
          <w:b/>
          <w:bCs/>
        </w:rPr>
        <w:t>Student ID:</w:t>
      </w:r>
      <w:r w:rsidR="0099106F">
        <w:rPr>
          <w:rFonts w:ascii="Arial" w:hAnsi="Arial" w:cs="Arial"/>
          <w:b/>
          <w:bCs/>
        </w:rPr>
        <w:t xml:space="preserve"> </w:t>
      </w:r>
      <w:r>
        <w:rPr>
          <w:rFonts w:ascii="Arial" w:hAnsi="Arial" w:cs="Arial"/>
          <w:b/>
          <w:bCs/>
          <w:lang w:val="en-US"/>
        </w:rPr>
        <w:t>2504920</w:t>
      </w:r>
    </w:p>
    <w:p w14:paraId="5C446975" w14:textId="77777777" w:rsidR="008C1CA0" w:rsidRDefault="008C1CA0">
      <w:pPr>
        <w:jc w:val="center"/>
        <w:rPr>
          <w:rFonts w:ascii="Arial" w:hAnsi="Arial" w:cs="Arial"/>
        </w:rPr>
      </w:pPr>
    </w:p>
    <w:p w14:paraId="5C446976" w14:textId="77777777" w:rsidR="008C1CA0" w:rsidRDefault="008C1CA0">
      <w:pPr>
        <w:jc w:val="center"/>
        <w:rPr>
          <w:rFonts w:ascii="Arial" w:hAnsi="Arial" w:cs="Arial"/>
        </w:rPr>
      </w:pPr>
    </w:p>
    <w:p w14:paraId="5C446977" w14:textId="77777777" w:rsidR="008C1CA0" w:rsidRDefault="00157A71">
      <w:pPr>
        <w:jc w:val="center"/>
        <w:rPr>
          <w:rFonts w:ascii="Arial" w:hAnsi="Arial" w:cs="Arial"/>
          <w:b/>
          <w:bCs/>
          <w:lang w:val="en-US"/>
        </w:rPr>
      </w:pPr>
      <w:r>
        <w:rPr>
          <w:rFonts w:ascii="Arial" w:hAnsi="Arial" w:cs="Arial"/>
          <w:b/>
          <w:bCs/>
        </w:rPr>
        <w:t xml:space="preserve">Module Name: </w:t>
      </w:r>
      <w:r>
        <w:rPr>
          <w:rFonts w:ascii="Arial" w:hAnsi="Arial" w:cs="Arial"/>
          <w:b/>
          <w:bCs/>
          <w:lang w:val="en-US"/>
        </w:rPr>
        <w:t xml:space="preserve">HUMAN CAPITAL MANAGEMENT </w:t>
      </w:r>
    </w:p>
    <w:p w14:paraId="5C446978" w14:textId="77777777" w:rsidR="008C1CA0" w:rsidRDefault="008C1CA0">
      <w:pPr>
        <w:jc w:val="center"/>
        <w:rPr>
          <w:rFonts w:ascii="Arial" w:hAnsi="Arial" w:cs="Arial"/>
          <w:b/>
          <w:bCs/>
        </w:rPr>
      </w:pPr>
    </w:p>
    <w:p w14:paraId="5C446979" w14:textId="77777777" w:rsidR="008C1CA0" w:rsidRDefault="00157A71">
      <w:pPr>
        <w:jc w:val="center"/>
        <w:rPr>
          <w:rFonts w:ascii="Arial" w:hAnsi="Arial" w:cs="Arial"/>
          <w:b/>
          <w:bCs/>
          <w:lang w:val="en-US"/>
        </w:rPr>
      </w:pPr>
      <w:r>
        <w:rPr>
          <w:rFonts w:ascii="Arial" w:hAnsi="Arial" w:cs="Arial"/>
          <w:b/>
          <w:bCs/>
        </w:rPr>
        <w:t>Module Code: LCMB</w:t>
      </w:r>
      <w:r>
        <w:rPr>
          <w:rFonts w:ascii="Arial" w:hAnsi="Arial" w:cs="Arial"/>
          <w:b/>
          <w:bCs/>
          <w:lang w:val="en-US"/>
        </w:rPr>
        <w:t>7023</w:t>
      </w:r>
    </w:p>
    <w:p w14:paraId="5C44697A" w14:textId="77777777" w:rsidR="008C1CA0" w:rsidRDefault="008C1CA0">
      <w:pPr>
        <w:jc w:val="center"/>
        <w:rPr>
          <w:rFonts w:ascii="Arial" w:hAnsi="Arial" w:cs="Arial"/>
          <w:b/>
          <w:bCs/>
        </w:rPr>
      </w:pPr>
    </w:p>
    <w:p w14:paraId="5C44697B" w14:textId="77777777" w:rsidR="008C1CA0" w:rsidRDefault="00157A71">
      <w:pPr>
        <w:jc w:val="center"/>
        <w:rPr>
          <w:rFonts w:ascii="Arial" w:hAnsi="Arial" w:cs="Arial"/>
          <w:b/>
          <w:bCs/>
          <w:lang w:val="en-US"/>
        </w:rPr>
      </w:pPr>
      <w:r>
        <w:rPr>
          <w:rFonts w:ascii="Arial" w:hAnsi="Arial" w:cs="Arial"/>
          <w:b/>
          <w:bCs/>
        </w:rPr>
        <w:t>Lecturer’s Name:</w:t>
      </w:r>
      <w:r>
        <w:rPr>
          <w:rFonts w:ascii="Arial" w:hAnsi="Arial" w:cs="Arial"/>
          <w:b/>
          <w:bCs/>
          <w:lang w:val="en-US"/>
        </w:rPr>
        <w:t xml:space="preserve"> DR. GLADIUS KULOTHUNGAN</w:t>
      </w:r>
    </w:p>
    <w:p w14:paraId="5C44697C" w14:textId="77777777" w:rsidR="008C1CA0" w:rsidRDefault="008C1CA0">
      <w:pPr>
        <w:jc w:val="center"/>
        <w:rPr>
          <w:rFonts w:ascii="Arial" w:hAnsi="Arial" w:cs="Arial"/>
          <w:b/>
          <w:bCs/>
        </w:rPr>
      </w:pPr>
    </w:p>
    <w:p w14:paraId="5C44697D" w14:textId="77777777" w:rsidR="008C1CA0" w:rsidRDefault="008C1CA0">
      <w:pPr>
        <w:jc w:val="center"/>
        <w:rPr>
          <w:rFonts w:ascii="Arial" w:hAnsi="Arial" w:cs="Arial"/>
          <w:b/>
          <w:bCs/>
        </w:rPr>
      </w:pPr>
    </w:p>
    <w:p w14:paraId="5C44697E" w14:textId="77777777" w:rsidR="008C1CA0" w:rsidRDefault="008C1CA0">
      <w:pPr>
        <w:rPr>
          <w:rFonts w:ascii="Arial" w:hAnsi="Arial" w:cs="Arial"/>
          <w:b/>
          <w:bCs/>
        </w:rPr>
      </w:pPr>
    </w:p>
    <w:p w14:paraId="5C44697F" w14:textId="77777777" w:rsidR="008C1CA0" w:rsidRDefault="00157A71">
      <w:pPr>
        <w:jc w:val="center"/>
        <w:rPr>
          <w:rFonts w:ascii="Arial" w:hAnsi="Arial" w:cs="Arial"/>
          <w:b/>
          <w:bCs/>
          <w:lang w:val="en-US"/>
        </w:rPr>
      </w:pPr>
      <w:r>
        <w:rPr>
          <w:rFonts w:ascii="Arial" w:hAnsi="Arial" w:cs="Arial"/>
          <w:b/>
          <w:bCs/>
        </w:rPr>
        <w:t>Work Count:</w:t>
      </w:r>
      <w:r>
        <w:rPr>
          <w:rFonts w:ascii="Arial" w:hAnsi="Arial" w:cs="Arial"/>
          <w:b/>
          <w:bCs/>
          <w:lang w:val="en-US"/>
        </w:rPr>
        <w:t xml:space="preserve"> 2667</w:t>
      </w:r>
    </w:p>
    <w:p w14:paraId="5C446980" w14:textId="77777777" w:rsidR="008C1CA0" w:rsidRDefault="008C1CA0">
      <w:pPr>
        <w:jc w:val="center"/>
        <w:rPr>
          <w:rFonts w:ascii="Arial" w:hAnsi="Arial" w:cs="Arial"/>
          <w:b/>
          <w:bCs/>
        </w:rPr>
      </w:pPr>
    </w:p>
    <w:p w14:paraId="5C446981" w14:textId="77777777" w:rsidR="008C1CA0" w:rsidRDefault="008C1CA0">
      <w:pPr>
        <w:jc w:val="center"/>
        <w:rPr>
          <w:rFonts w:ascii="Arial" w:hAnsi="Arial" w:cs="Arial"/>
          <w:b/>
          <w:bCs/>
        </w:rPr>
      </w:pPr>
    </w:p>
    <w:p w14:paraId="5C446982" w14:textId="77777777" w:rsidR="008C1CA0" w:rsidRDefault="008C1CA0">
      <w:pPr>
        <w:jc w:val="center"/>
        <w:rPr>
          <w:rFonts w:ascii="Arial" w:hAnsi="Arial" w:cs="Arial"/>
          <w:b/>
          <w:bCs/>
        </w:rPr>
      </w:pPr>
    </w:p>
    <w:p w14:paraId="5C446983" w14:textId="77777777" w:rsidR="008C1CA0" w:rsidRDefault="008C1CA0">
      <w:pPr>
        <w:jc w:val="center"/>
        <w:rPr>
          <w:rFonts w:ascii="Arial" w:hAnsi="Arial" w:cs="Arial"/>
          <w:b/>
          <w:bCs/>
        </w:rPr>
      </w:pPr>
    </w:p>
    <w:p w14:paraId="5C446984" w14:textId="77777777" w:rsidR="008C1CA0" w:rsidRDefault="008C1CA0">
      <w:pPr>
        <w:jc w:val="center"/>
        <w:rPr>
          <w:rFonts w:ascii="Arial" w:hAnsi="Arial" w:cs="Arial"/>
          <w:b/>
          <w:bCs/>
        </w:rPr>
      </w:pPr>
    </w:p>
    <w:p w14:paraId="5C446985" w14:textId="77777777" w:rsidR="008C1CA0" w:rsidRDefault="00157A71">
      <w:pPr>
        <w:jc w:val="center"/>
        <w:rPr>
          <w:rFonts w:ascii="Arial" w:hAnsi="Arial" w:cs="Arial"/>
          <w:b/>
          <w:bCs/>
        </w:rPr>
      </w:pPr>
      <w:r>
        <w:rPr>
          <w:rFonts w:ascii="Arial" w:hAnsi="Arial" w:cs="Arial"/>
          <w:b/>
          <w:bCs/>
        </w:rPr>
        <w:t>Term 1</w:t>
      </w:r>
    </w:p>
    <w:p w14:paraId="5C446986" w14:textId="2620AC96" w:rsidR="008C1CA0" w:rsidRDefault="008C1CA0">
      <w:pPr>
        <w:spacing w:before="240" w:line="360" w:lineRule="auto"/>
        <w:jc w:val="center"/>
      </w:pPr>
    </w:p>
    <w:sdt>
      <w:sdtPr>
        <w:rPr>
          <w:rFonts w:asciiTheme="minorHAnsi" w:eastAsiaTheme="minorHAnsi" w:hAnsiTheme="minorHAnsi" w:cstheme="minorBidi"/>
          <w:b w:val="0"/>
          <w:bCs w:val="0"/>
          <w:color w:val="auto"/>
          <w:kern w:val="2"/>
          <w:sz w:val="24"/>
          <w:szCs w:val="24"/>
          <w:lang w:val="en-IN" w:eastAsia="en-US"/>
          <w14:ligatures w14:val="standardContextual"/>
        </w:rPr>
        <w:id w:val="-1729753478"/>
        <w:docPartObj>
          <w:docPartGallery w:val="Table of Contents"/>
          <w:docPartUnique/>
        </w:docPartObj>
      </w:sdtPr>
      <w:sdtEndPr/>
      <w:sdtContent>
        <w:p w14:paraId="5C446987" w14:textId="77777777" w:rsidR="008C1CA0" w:rsidRDefault="00157A71">
          <w:pPr>
            <w:pStyle w:val="TOCHeading1"/>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Table of Contents</w:t>
          </w:r>
        </w:p>
        <w:p w14:paraId="5C446988" w14:textId="77777777" w:rsidR="008C1CA0" w:rsidRDefault="00157A71">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TOC \o "1-3" \h \z \u </w:instrText>
          </w:r>
          <w:r>
            <w:rPr>
              <w:rFonts w:ascii="Times New Roman" w:hAnsi="Times New Roman" w:cs="Times New Roman"/>
              <w:color w:val="000000" w:themeColor="text1"/>
            </w:rPr>
            <w:fldChar w:fldCharType="separate"/>
          </w:r>
          <w:hyperlink w:anchor="_Toc213799571" w:history="1">
            <w:r>
              <w:rPr>
                <w:rStyle w:val="Hyperlink"/>
                <w:rFonts w:ascii="Times New Roman" w:hAnsi="Times New Roman" w:cs="Times New Roman"/>
              </w:rPr>
              <w:t>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_Toc213799571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5C446989" w14:textId="77777777" w:rsidR="008C1CA0" w:rsidRDefault="00490C70">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2" w:history="1">
            <w:r w:rsidR="00157A71">
              <w:rPr>
                <w:rStyle w:val="Hyperlink"/>
                <w:rFonts w:ascii="Times New Roman" w:hAnsi="Times New Roman" w:cs="Times New Roman"/>
              </w:rPr>
              <w:t>Task 1: Technological advancements reshaping labour markets, and implications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_Toc213799572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4</w:t>
            </w:r>
            <w:r w:rsidR="00157A71">
              <w:rPr>
                <w:rFonts w:ascii="Times New Roman" w:hAnsi="Times New Roman" w:cs="Times New Roman"/>
              </w:rPr>
              <w:fldChar w:fldCharType="end"/>
            </w:r>
          </w:hyperlink>
        </w:p>
        <w:p w14:paraId="5C44698A"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3" w:history="1">
            <w:r w:rsidR="00157A71">
              <w:rPr>
                <w:rStyle w:val="Hyperlink"/>
                <w:rFonts w:ascii="Times New Roman" w:hAnsi="Times New Roman" w:cs="Times New Roman"/>
                <w:lang w:eastAsia="en-IN"/>
              </w:rPr>
              <w:t>a. Changing the Dynamics of the Labour Market</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_Toc213799573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4</w:t>
            </w:r>
            <w:r w:rsidR="00157A71">
              <w:rPr>
                <w:rFonts w:ascii="Times New Roman" w:hAnsi="Times New Roman" w:cs="Times New Roman"/>
              </w:rPr>
              <w:fldChar w:fldCharType="end"/>
            </w:r>
          </w:hyperlink>
        </w:p>
        <w:p w14:paraId="5C44698B"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4" w:history="1">
            <w:r w:rsidR="00157A71">
              <w:rPr>
                <w:rStyle w:val="Hyperlink"/>
                <w:rFonts w:ascii="Times New Roman" w:hAnsi="Times New Roman" w:cs="Times New Roman"/>
                <w:lang w:eastAsia="en-IN"/>
              </w:rPr>
              <w:t>b. Theoretical Lenses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_Toc213799574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4</w:t>
            </w:r>
            <w:r w:rsidR="00157A71">
              <w:rPr>
                <w:rFonts w:ascii="Times New Roman" w:hAnsi="Times New Roman" w:cs="Times New Roman"/>
              </w:rPr>
              <w:fldChar w:fldCharType="end"/>
            </w:r>
          </w:hyperlink>
        </w:p>
        <w:p w14:paraId="5C44698C"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5" w:history="1">
            <w:r w:rsidR="00157A71">
              <w:rPr>
                <w:rStyle w:val="Hyperlink"/>
                <w:rFonts w:ascii="Times New Roman" w:hAnsi="Times New Roman" w:cs="Times New Roman"/>
                <w:lang w:eastAsia="en-IN"/>
              </w:rPr>
              <w:t>c. Ethical and Global Implications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_Toc213799575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5</w:t>
            </w:r>
            <w:r w:rsidR="00157A71">
              <w:rPr>
                <w:rFonts w:ascii="Times New Roman" w:hAnsi="Times New Roman" w:cs="Times New Roman"/>
              </w:rPr>
              <w:fldChar w:fldCharType="end"/>
            </w:r>
          </w:hyperlink>
        </w:p>
        <w:p w14:paraId="5C44698D" w14:textId="77777777" w:rsidR="008C1CA0" w:rsidRDefault="00490C70">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6" w:history="1">
            <w:r w:rsidR="00157A71">
              <w:rPr>
                <w:rStyle w:val="Hyperlink"/>
                <w:rFonts w:ascii="Times New Roman" w:hAnsi="Times New Roman" w:cs="Times New Roman"/>
              </w:rPr>
              <w:t>Task 2: Key demographic and geopolitical factors influencing employment markets today</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_Toc213799576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6</w:t>
            </w:r>
            <w:r w:rsidR="00157A71">
              <w:rPr>
                <w:rFonts w:ascii="Times New Roman" w:hAnsi="Times New Roman" w:cs="Times New Roman"/>
              </w:rPr>
              <w:fldChar w:fldCharType="end"/>
            </w:r>
          </w:hyperlink>
        </w:p>
        <w:p w14:paraId="5C44698E"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7" w:history="1">
            <w:r w:rsidR="00157A71">
              <w:rPr>
                <w:rStyle w:val="Hyperlink"/>
                <w:rFonts w:ascii="Times New Roman" w:hAnsi="Times New Roman" w:cs="Times New Roman"/>
                <w:lang w:eastAsia="en-IN"/>
              </w:rPr>
              <w:t>a. Demographic Shifts and the Workforce Diversity</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_Toc213799577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6</w:t>
            </w:r>
            <w:r w:rsidR="00157A71">
              <w:rPr>
                <w:rFonts w:ascii="Times New Roman" w:hAnsi="Times New Roman" w:cs="Times New Roman"/>
              </w:rPr>
              <w:fldChar w:fldCharType="end"/>
            </w:r>
          </w:hyperlink>
        </w:p>
        <w:p w14:paraId="5C44698F"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8" w:history="1">
            <w:r w:rsidR="00157A71">
              <w:rPr>
                <w:rStyle w:val="Hyperlink"/>
                <w:rFonts w:ascii="Times New Roman" w:hAnsi="Times New Roman" w:cs="Times New Roman"/>
                <w:lang w:eastAsia="en-IN"/>
              </w:rPr>
              <w:t>b. Geopolitical and Economic Changes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_Toc213799578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6</w:t>
            </w:r>
            <w:r w:rsidR="00157A71">
              <w:rPr>
                <w:rFonts w:ascii="Times New Roman" w:hAnsi="Times New Roman" w:cs="Times New Roman"/>
              </w:rPr>
              <w:fldChar w:fldCharType="end"/>
            </w:r>
          </w:hyperlink>
        </w:p>
        <w:p w14:paraId="5C446990"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79" w:history="1">
            <w:r w:rsidR="00157A71">
              <w:rPr>
                <w:rStyle w:val="Hyperlink"/>
                <w:rFonts w:ascii="Times New Roman" w:hAnsi="Times New Roman" w:cs="Times New Roman"/>
                <w:lang w:eastAsia="en-IN"/>
              </w:rPr>
              <w:t>c. Institution and the Culture Global HRM</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_Toc213799579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7</w:t>
            </w:r>
            <w:r w:rsidR="00157A71">
              <w:rPr>
                <w:rFonts w:ascii="Times New Roman" w:hAnsi="Times New Roman" w:cs="Times New Roman"/>
              </w:rPr>
              <w:fldChar w:fldCharType="end"/>
            </w:r>
          </w:hyperlink>
        </w:p>
        <w:p w14:paraId="5C446991"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0" w:history="1">
            <w:r w:rsidR="00157A71">
              <w:rPr>
                <w:rStyle w:val="Hyperlink"/>
                <w:rFonts w:ascii="Times New Roman" w:hAnsi="Times New Roman" w:cs="Times New Roman"/>
                <w:lang w:eastAsia="en-IN"/>
              </w:rPr>
              <w:t>d. Strategic Outlook</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_Toc213799580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7</w:t>
            </w:r>
            <w:r w:rsidR="00157A71">
              <w:rPr>
                <w:rFonts w:ascii="Times New Roman" w:hAnsi="Times New Roman" w:cs="Times New Roman"/>
              </w:rPr>
              <w:fldChar w:fldCharType="end"/>
            </w:r>
          </w:hyperlink>
        </w:p>
        <w:p w14:paraId="5C446992" w14:textId="77777777" w:rsidR="008C1CA0" w:rsidRDefault="00490C70">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1" w:history="1">
            <w:r w:rsidR="00157A71">
              <w:rPr>
                <w:rStyle w:val="Hyperlink"/>
                <w:rFonts w:ascii="Times New Roman" w:hAnsi="Times New Roman" w:cs="Times New Roman"/>
              </w:rPr>
              <w:t>Task 3: Skills gaps and talent shortages in critical sectors (e.g., tech, hospitality, healthcare)</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_Toc213799581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8</w:t>
            </w:r>
            <w:r w:rsidR="00157A71">
              <w:rPr>
                <w:rFonts w:ascii="Times New Roman" w:hAnsi="Times New Roman" w:cs="Times New Roman"/>
              </w:rPr>
              <w:fldChar w:fldCharType="end"/>
            </w:r>
          </w:hyperlink>
        </w:p>
        <w:p w14:paraId="5C446993"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2" w:history="1">
            <w:r w:rsidR="00157A71">
              <w:rPr>
                <w:rStyle w:val="Hyperlink"/>
                <w:rFonts w:ascii="Times New Roman" w:hAnsi="Times New Roman" w:cs="Times New Roman"/>
                <w:lang w:eastAsia="en-IN"/>
              </w:rPr>
              <w:t>a) Understanding the Magnitude of Skills Deficits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_Toc213799582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8</w:t>
            </w:r>
            <w:r w:rsidR="00157A71">
              <w:rPr>
                <w:rFonts w:ascii="Times New Roman" w:hAnsi="Times New Roman" w:cs="Times New Roman"/>
              </w:rPr>
              <w:fldChar w:fldCharType="end"/>
            </w:r>
          </w:hyperlink>
        </w:p>
        <w:p w14:paraId="5C446994"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3" w:history="1">
            <w:r w:rsidR="00157A71">
              <w:rPr>
                <w:rStyle w:val="Hyperlink"/>
                <w:rFonts w:ascii="Times New Roman" w:hAnsi="Times New Roman" w:cs="Times New Roman"/>
                <w:lang w:eastAsia="en-IN"/>
              </w:rPr>
              <w:t>b. Theoretical Basis for Talent Sustainability</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_Toc213799583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8</w:t>
            </w:r>
            <w:r w:rsidR="00157A71">
              <w:rPr>
                <w:rFonts w:ascii="Times New Roman" w:hAnsi="Times New Roman" w:cs="Times New Roman"/>
              </w:rPr>
              <w:fldChar w:fldCharType="end"/>
            </w:r>
          </w:hyperlink>
        </w:p>
        <w:p w14:paraId="5C446995"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4" w:history="1">
            <w:r w:rsidR="00157A71">
              <w:rPr>
                <w:rStyle w:val="Hyperlink"/>
                <w:rFonts w:ascii="Times New Roman" w:hAnsi="Times New Roman" w:cs="Times New Roman"/>
                <w:lang w:eastAsia="en-IN"/>
              </w:rPr>
              <w:t>c. Strategic human resource interventions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_Toc213799584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9</w:t>
            </w:r>
            <w:r w:rsidR="00157A71">
              <w:rPr>
                <w:rFonts w:ascii="Times New Roman" w:hAnsi="Times New Roman" w:cs="Times New Roman"/>
              </w:rPr>
              <w:fldChar w:fldCharType="end"/>
            </w:r>
          </w:hyperlink>
        </w:p>
        <w:p w14:paraId="5C446996"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5" w:history="1">
            <w:r w:rsidR="00157A71">
              <w:rPr>
                <w:rStyle w:val="Hyperlink"/>
                <w:rFonts w:ascii="Times New Roman" w:hAnsi="Times New Roman" w:cs="Times New Roman"/>
                <w:lang w:eastAsia="en-IN"/>
              </w:rPr>
              <w:t>d. Assessing Impact and Outlook for the Future</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_Toc213799585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9</w:t>
            </w:r>
            <w:r w:rsidR="00157A71">
              <w:rPr>
                <w:rFonts w:ascii="Times New Roman" w:hAnsi="Times New Roman" w:cs="Times New Roman"/>
              </w:rPr>
              <w:fldChar w:fldCharType="end"/>
            </w:r>
          </w:hyperlink>
        </w:p>
        <w:p w14:paraId="5C446997" w14:textId="77777777" w:rsidR="008C1CA0" w:rsidRDefault="00490C70">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6" w:history="1">
            <w:r w:rsidR="00157A71">
              <w:rPr>
                <w:rStyle w:val="Hyperlink"/>
                <w:rFonts w:ascii="Times New Roman" w:hAnsi="Times New Roman" w:cs="Times New Roman"/>
              </w:rPr>
              <w:t>Task 4: Reflective Report</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_Toc213799586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9</w:t>
            </w:r>
            <w:r w:rsidR="00157A71">
              <w:rPr>
                <w:rFonts w:ascii="Times New Roman" w:hAnsi="Times New Roman" w:cs="Times New Roman"/>
              </w:rPr>
              <w:fldChar w:fldCharType="end"/>
            </w:r>
          </w:hyperlink>
        </w:p>
        <w:p w14:paraId="5C446998"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7" w:history="1">
            <w:r w:rsidR="00157A71">
              <w:rPr>
                <w:rStyle w:val="Hyperlink"/>
                <w:rFonts w:ascii="Times New Roman" w:hAnsi="Times New Roman" w:cs="Times New Roman"/>
                <w:lang w:eastAsia="en-IN"/>
              </w:rPr>
              <w:t>1. Description</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_Toc213799587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9</w:t>
            </w:r>
            <w:r w:rsidR="00157A71">
              <w:rPr>
                <w:rFonts w:ascii="Times New Roman" w:hAnsi="Times New Roman" w:cs="Times New Roman"/>
              </w:rPr>
              <w:fldChar w:fldCharType="end"/>
            </w:r>
          </w:hyperlink>
        </w:p>
        <w:p w14:paraId="5C446999"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8" w:history="1">
            <w:r w:rsidR="00157A71">
              <w:rPr>
                <w:rStyle w:val="Hyperlink"/>
                <w:rFonts w:ascii="Times New Roman" w:hAnsi="Times New Roman" w:cs="Times New Roman"/>
                <w:lang w:eastAsia="en-IN"/>
              </w:rPr>
              <w:t>2. Feelings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_Toc213799588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10</w:t>
            </w:r>
            <w:r w:rsidR="00157A71">
              <w:rPr>
                <w:rFonts w:ascii="Times New Roman" w:hAnsi="Times New Roman" w:cs="Times New Roman"/>
              </w:rPr>
              <w:fldChar w:fldCharType="end"/>
            </w:r>
          </w:hyperlink>
        </w:p>
        <w:p w14:paraId="5C44699A"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89" w:history="1">
            <w:r w:rsidR="00157A71">
              <w:rPr>
                <w:rStyle w:val="Hyperlink"/>
                <w:rFonts w:ascii="Times New Roman" w:hAnsi="Times New Roman" w:cs="Times New Roman"/>
                <w:lang w:eastAsia="en-IN"/>
              </w:rPr>
              <w:t>3. Evaluation</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_Toc213799589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10</w:t>
            </w:r>
            <w:r w:rsidR="00157A71">
              <w:rPr>
                <w:rFonts w:ascii="Times New Roman" w:hAnsi="Times New Roman" w:cs="Times New Roman"/>
              </w:rPr>
              <w:fldChar w:fldCharType="end"/>
            </w:r>
          </w:hyperlink>
        </w:p>
        <w:p w14:paraId="5C44699B"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90" w:history="1">
            <w:r w:rsidR="00157A71">
              <w:rPr>
                <w:rStyle w:val="Hyperlink"/>
                <w:rFonts w:ascii="Times New Roman" w:hAnsi="Times New Roman" w:cs="Times New Roman"/>
                <w:lang w:eastAsia="en-IN"/>
              </w:rPr>
              <w:t>4. Analysis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_Toc213799590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11</w:t>
            </w:r>
            <w:r w:rsidR="00157A71">
              <w:rPr>
                <w:rFonts w:ascii="Times New Roman" w:hAnsi="Times New Roman" w:cs="Times New Roman"/>
              </w:rPr>
              <w:fldChar w:fldCharType="end"/>
            </w:r>
          </w:hyperlink>
        </w:p>
        <w:p w14:paraId="5C44699C"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91" w:history="1">
            <w:r w:rsidR="00157A71">
              <w:rPr>
                <w:rStyle w:val="Hyperlink"/>
                <w:rFonts w:ascii="Times New Roman" w:hAnsi="Times New Roman" w:cs="Times New Roman"/>
                <w:lang w:eastAsia="en-IN"/>
              </w:rPr>
              <w:t>5. Conclusion</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_Toc213799591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12</w:t>
            </w:r>
            <w:r w:rsidR="00157A71">
              <w:rPr>
                <w:rFonts w:ascii="Times New Roman" w:hAnsi="Times New Roman" w:cs="Times New Roman"/>
              </w:rPr>
              <w:fldChar w:fldCharType="end"/>
            </w:r>
          </w:hyperlink>
        </w:p>
        <w:p w14:paraId="5C44699D"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92" w:history="1">
            <w:r w:rsidR="00157A71">
              <w:rPr>
                <w:rStyle w:val="Hyperlink"/>
                <w:rFonts w:ascii="Times New Roman" w:hAnsi="Times New Roman" w:cs="Times New Roman"/>
                <w:lang w:eastAsia="en-IN"/>
              </w:rPr>
              <w:t>6. Action Plan</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_Toc213799592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12</w:t>
            </w:r>
            <w:r w:rsidR="00157A71">
              <w:rPr>
                <w:rFonts w:ascii="Times New Roman" w:hAnsi="Times New Roman" w:cs="Times New Roman"/>
              </w:rPr>
              <w:fldChar w:fldCharType="end"/>
            </w:r>
          </w:hyperlink>
        </w:p>
        <w:p w14:paraId="5C44699E" w14:textId="77777777" w:rsidR="008C1CA0" w:rsidRDefault="00490C70">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93" w:history="1">
            <w:r w:rsidR="00157A71">
              <w:rPr>
                <w:rStyle w:val="Hyperlink"/>
                <w:rFonts w:ascii="Times New Roman" w:hAnsi="Times New Roman" w:cs="Times New Roman"/>
              </w:rPr>
              <w:t>Conclusion</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_Toc213799593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12</w:t>
            </w:r>
            <w:r w:rsidR="00157A71">
              <w:rPr>
                <w:rFonts w:ascii="Times New Roman" w:hAnsi="Times New Roman" w:cs="Times New Roman"/>
              </w:rPr>
              <w:fldChar w:fldCharType="end"/>
            </w:r>
          </w:hyperlink>
        </w:p>
        <w:p w14:paraId="5C44699F" w14:textId="77777777" w:rsidR="008C1CA0" w:rsidRDefault="00490C70">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94" w:history="1">
            <w:r w:rsidR="00157A71">
              <w:rPr>
                <w:rStyle w:val="Hyperlink"/>
                <w:rFonts w:ascii="Times New Roman" w:hAnsi="Times New Roman" w:cs="Times New Roman"/>
              </w:rPr>
              <w:t>References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_Toc213799594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13</w:t>
            </w:r>
            <w:r w:rsidR="00157A71">
              <w:rPr>
                <w:rFonts w:ascii="Times New Roman" w:hAnsi="Times New Roman" w:cs="Times New Roman"/>
              </w:rPr>
              <w:fldChar w:fldCharType="end"/>
            </w:r>
          </w:hyperlink>
        </w:p>
        <w:p w14:paraId="5C4469A0" w14:textId="77777777" w:rsidR="008C1CA0" w:rsidRDefault="00490C70">
          <w:pPr>
            <w:pStyle w:val="TOC1"/>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95" w:history="1">
            <w:r w:rsidR="00157A71">
              <w:rPr>
                <w:rStyle w:val="Hyperlink"/>
                <w:rFonts w:ascii="Times New Roman" w:hAnsi="Times New Roman" w:cs="Times New Roman"/>
              </w:rPr>
              <w:t>Appendices</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_Toc213799595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15</w:t>
            </w:r>
            <w:r w:rsidR="00157A71">
              <w:rPr>
                <w:rFonts w:ascii="Times New Roman" w:hAnsi="Times New Roman" w:cs="Times New Roman"/>
              </w:rPr>
              <w:fldChar w:fldCharType="end"/>
            </w:r>
          </w:hyperlink>
        </w:p>
        <w:p w14:paraId="5C4469A1" w14:textId="77777777" w:rsidR="008C1CA0" w:rsidRDefault="00490C70">
          <w:pPr>
            <w:pStyle w:val="TOC2"/>
            <w:tabs>
              <w:tab w:val="right" w:leader="dot" w:pos="9016"/>
            </w:tabs>
            <w:spacing w:before="240" w:line="360" w:lineRule="auto"/>
            <w:rPr>
              <w:rFonts w:ascii="Times New Roman" w:eastAsiaTheme="minorEastAsia" w:hAnsi="Times New Roman" w:cs="Times New Roman"/>
              <w:kern w:val="0"/>
              <w:sz w:val="22"/>
              <w:szCs w:val="22"/>
              <w:lang w:eastAsia="en-IN"/>
              <w14:ligatures w14:val="none"/>
            </w:rPr>
          </w:pPr>
          <w:hyperlink w:anchor="_Toc213799596" w:history="1">
            <w:r w:rsidR="00157A71">
              <w:rPr>
                <w:rStyle w:val="Hyperlink"/>
                <w:rFonts w:ascii="Times New Roman" w:hAnsi="Times New Roman" w:cs="Times New Roman"/>
                <w:lang w:eastAsia="en-IN"/>
              </w:rPr>
              <w:t>Appendix 1: SMART action plan</w:t>
            </w:r>
            <w:r w:rsidR="00157A71">
              <w:rPr>
                <w:rFonts w:ascii="Times New Roman" w:hAnsi="Times New Roman" w:cs="Times New Roman"/>
              </w:rPr>
              <w:tab/>
            </w:r>
            <w:r w:rsidR="00157A71">
              <w:rPr>
                <w:rFonts w:ascii="Times New Roman" w:hAnsi="Times New Roman" w:cs="Times New Roman"/>
              </w:rPr>
              <w:fldChar w:fldCharType="begin"/>
            </w:r>
            <w:r w:rsidR="00157A71">
              <w:rPr>
                <w:rFonts w:ascii="Times New Roman" w:hAnsi="Times New Roman" w:cs="Times New Roman"/>
              </w:rPr>
              <w:instrText xml:space="preserve"> PAGEREF _Toc213799596 \h </w:instrText>
            </w:r>
            <w:r w:rsidR="00157A71">
              <w:rPr>
                <w:rFonts w:ascii="Times New Roman" w:hAnsi="Times New Roman" w:cs="Times New Roman"/>
              </w:rPr>
            </w:r>
            <w:r w:rsidR="00157A71">
              <w:rPr>
                <w:rFonts w:ascii="Times New Roman" w:hAnsi="Times New Roman" w:cs="Times New Roman"/>
              </w:rPr>
              <w:fldChar w:fldCharType="separate"/>
            </w:r>
            <w:r w:rsidR="00157A71">
              <w:rPr>
                <w:rFonts w:ascii="Times New Roman" w:hAnsi="Times New Roman" w:cs="Times New Roman"/>
              </w:rPr>
              <w:t>15</w:t>
            </w:r>
            <w:r w:rsidR="00157A71">
              <w:rPr>
                <w:rFonts w:ascii="Times New Roman" w:hAnsi="Times New Roman" w:cs="Times New Roman"/>
              </w:rPr>
              <w:fldChar w:fldCharType="end"/>
            </w:r>
          </w:hyperlink>
        </w:p>
        <w:p w14:paraId="5C4469A2" w14:textId="77777777" w:rsidR="008C1CA0" w:rsidRDefault="00157A71">
          <w:pPr>
            <w:spacing w:before="240" w:line="360" w:lineRule="auto"/>
            <w:jc w:val="center"/>
          </w:pPr>
          <w:r>
            <w:rPr>
              <w:rFonts w:ascii="Times New Roman" w:hAnsi="Times New Roman" w:cs="Times New Roman"/>
              <w:b/>
              <w:bCs/>
              <w:color w:val="000000" w:themeColor="text1"/>
            </w:rPr>
            <w:fldChar w:fldCharType="end"/>
          </w:r>
        </w:p>
      </w:sdtContent>
    </w:sdt>
    <w:p w14:paraId="5C4469A3" w14:textId="77777777" w:rsidR="008C1CA0" w:rsidRDefault="00157A71">
      <w:r>
        <w:br w:type="page"/>
      </w:r>
    </w:p>
    <w:p w14:paraId="5C4469A4" w14:textId="77777777" w:rsidR="008C1CA0" w:rsidRDefault="00157A71">
      <w:pPr>
        <w:pStyle w:val="Heading1"/>
      </w:pPr>
      <w:bookmarkStart w:id="0" w:name="_Toc213799571"/>
      <w:r>
        <w:lastRenderedPageBreak/>
        <w:t>Introduction</w:t>
      </w:r>
      <w:bookmarkEnd w:id="0"/>
    </w:p>
    <w:p w14:paraId="5C4469A5" w14:textId="77777777" w:rsidR="008C1CA0" w:rsidRDefault="00157A71">
      <w:pPr>
        <w:spacing w:line="360" w:lineRule="auto"/>
        <w:jc w:val="both"/>
        <w:rPr>
          <w:rFonts w:ascii="Times New Roman" w:hAnsi="Times New Roman" w:cs="Times New Roman"/>
          <w:lang w:eastAsia="en-IN"/>
        </w:rPr>
      </w:pPr>
      <w:r>
        <w:rPr>
          <w:rFonts w:ascii="Times New Roman" w:hAnsi="Times New Roman" w:cs="Times New Roman"/>
          <w:lang w:eastAsia="en-IN"/>
        </w:rPr>
        <w:t xml:space="preserve">This report examines the ways technology, demographic and geopolitical trends are changing the worldwide labour market and redefining Human Resource Management (HRM) and International HRM (IHRM). It explores the influence of AI, automation, and Industry 4.0 on workforce skills, ethics of governance as well as inclusion. Through theoretical frameworks and case studies of real companies like Unilever, </w:t>
      </w:r>
      <w:proofErr w:type="gramStart"/>
      <w:r>
        <w:rPr>
          <w:rFonts w:ascii="Times New Roman" w:hAnsi="Times New Roman" w:cs="Times New Roman"/>
          <w:lang w:eastAsia="en-IN"/>
        </w:rPr>
        <w:t>Patagonia</w:t>
      </w:r>
      <w:proofErr w:type="gramEnd"/>
      <w:r>
        <w:rPr>
          <w:rFonts w:ascii="Times New Roman" w:hAnsi="Times New Roman" w:cs="Times New Roman"/>
          <w:lang w:eastAsia="en-IN"/>
        </w:rPr>
        <w:t xml:space="preserve"> and HSBC, it analyses how HR strategies solve skills shortages, cultural complexity and digital transformation and reflect on employability, leadership and lifelong to become a job-ready professional.</w:t>
      </w:r>
    </w:p>
    <w:p w14:paraId="5C4469A6" w14:textId="77777777" w:rsidR="008C1CA0" w:rsidRDefault="00157A71">
      <w:pPr>
        <w:pStyle w:val="Heading1"/>
        <w:spacing w:before="240" w:beforeAutospacing="0" w:after="240" w:afterAutospacing="0"/>
        <w:rPr>
          <w:szCs w:val="24"/>
        </w:rPr>
      </w:pPr>
      <w:bookmarkStart w:id="1" w:name="_Toc213799572"/>
      <w:r>
        <w:t>Task 1: Technological advancements reshaping labour markets, and implications</w:t>
      </w:r>
      <w:bookmarkEnd w:id="1"/>
    </w:p>
    <w:p w14:paraId="5C4469A7" w14:textId="779D9C31" w:rsidR="008C1CA0" w:rsidRDefault="00157A71">
      <w:pPr>
        <w:pStyle w:val="Heading2"/>
        <w:spacing w:before="240" w:after="240"/>
        <w:rPr>
          <w:lang w:eastAsia="en-IN"/>
        </w:rPr>
      </w:pPr>
      <w:bookmarkStart w:id="2" w:name="_Toc213799573"/>
      <w:r>
        <w:rPr>
          <w:lang w:eastAsia="en-IN"/>
        </w:rPr>
        <w:t>a. Changing the Dynamics of the Labour Market</w:t>
      </w:r>
      <w:bookmarkEnd w:id="2"/>
      <w:r w:rsidR="00CD362B">
        <w:rPr>
          <w:lang w:eastAsia="en-IN"/>
        </w:rPr>
        <w:t xml:space="preserve">  </w:t>
      </w:r>
    </w:p>
    <w:p w14:paraId="5C4469A8"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Artificial Intelligence (AI), automation and digital platforms change the requirements in skills. </w:t>
      </w:r>
      <w:proofErr w:type="spellStart"/>
      <w:r>
        <w:rPr>
          <w:rFonts w:ascii="Times New Roman" w:eastAsia="Times New Roman" w:hAnsi="Times New Roman" w:cs="Times New Roman"/>
          <w:kern w:val="0"/>
          <w:lang w:eastAsia="en-IN"/>
          <w14:ligatures w14:val="none"/>
        </w:rPr>
        <w:t>Ekuma</w:t>
      </w:r>
      <w:proofErr w:type="spellEnd"/>
      <w:r>
        <w:rPr>
          <w:rFonts w:ascii="Times New Roman" w:eastAsia="Times New Roman" w:hAnsi="Times New Roman" w:cs="Times New Roman"/>
          <w:kern w:val="0"/>
          <w:lang w:eastAsia="en-IN"/>
          <w14:ligatures w14:val="none"/>
        </w:rPr>
        <w:t xml:space="preserve"> (2024) mentions that Industry 4.0 is a driver to investment in reskilling by firms, however </w:t>
      </w:r>
      <w:proofErr w:type="spellStart"/>
      <w:r>
        <w:rPr>
          <w:rFonts w:ascii="Times New Roman" w:eastAsia="Times New Roman" w:hAnsi="Times New Roman" w:cs="Times New Roman"/>
          <w:kern w:val="0"/>
          <w:lang w:eastAsia="en-IN"/>
          <w14:ligatures w14:val="none"/>
        </w:rPr>
        <w:t>Zahidi</w:t>
      </w:r>
      <w:proofErr w:type="spellEnd"/>
      <w:r>
        <w:rPr>
          <w:rFonts w:ascii="Times New Roman" w:eastAsia="Times New Roman" w:hAnsi="Times New Roman" w:cs="Times New Roman"/>
          <w:kern w:val="0"/>
          <w:lang w:eastAsia="en-IN"/>
          <w14:ligatures w14:val="none"/>
        </w:rPr>
        <w:t xml:space="preserve"> (2025) emphasizes the Soaring Environment with the need for skills in AI, Big data and cyber security, creativity as well as resilience. Emotional and social competencies, such as adaptability and leadership (Mahmood and Baskaran, 2021), are becoming more important. Companies such as Unilever and IBM are using AI-driven recruitment to improve efficiency and the quality of candidates (Hu, 2023). Banks and tech companies like </w:t>
      </w:r>
      <w:proofErr w:type="spellStart"/>
      <w:r>
        <w:rPr>
          <w:rFonts w:ascii="Times New Roman" w:eastAsia="Times New Roman" w:hAnsi="Times New Roman" w:cs="Times New Roman"/>
          <w:kern w:val="0"/>
          <w:lang w:eastAsia="en-IN"/>
          <w14:ligatures w14:val="none"/>
        </w:rPr>
        <w:t>FinServe</w:t>
      </w:r>
      <w:proofErr w:type="spellEnd"/>
      <w:r>
        <w:rPr>
          <w:rFonts w:ascii="Times New Roman" w:eastAsia="Times New Roman" w:hAnsi="Times New Roman" w:cs="Times New Roman"/>
          <w:kern w:val="0"/>
          <w:lang w:eastAsia="en-IN"/>
          <w14:ligatures w14:val="none"/>
        </w:rPr>
        <w:t xml:space="preserve"> and </w:t>
      </w:r>
      <w:proofErr w:type="spellStart"/>
      <w:r>
        <w:rPr>
          <w:rFonts w:ascii="Times New Roman" w:eastAsia="Times New Roman" w:hAnsi="Times New Roman" w:cs="Times New Roman"/>
          <w:kern w:val="0"/>
          <w:lang w:eastAsia="en-IN"/>
          <w14:ligatures w14:val="none"/>
        </w:rPr>
        <w:t>TechNova</w:t>
      </w:r>
      <w:proofErr w:type="spellEnd"/>
      <w:r>
        <w:rPr>
          <w:rFonts w:ascii="Times New Roman" w:eastAsia="Times New Roman" w:hAnsi="Times New Roman" w:cs="Times New Roman"/>
          <w:kern w:val="0"/>
          <w:lang w:eastAsia="en-IN"/>
          <w14:ligatures w14:val="none"/>
        </w:rPr>
        <w:t xml:space="preserve"> use chat-bots and analytics to predict attrition, while in HSBC's virtual labs, global talent pools are </w:t>
      </w:r>
      <w:proofErr w:type="gramStart"/>
      <w:r>
        <w:rPr>
          <w:rFonts w:ascii="Times New Roman" w:eastAsia="Times New Roman" w:hAnsi="Times New Roman" w:cs="Times New Roman"/>
          <w:kern w:val="0"/>
          <w:lang w:eastAsia="en-IN"/>
          <w14:ligatures w14:val="none"/>
        </w:rPr>
        <w:t>expanded</w:t>
      </w:r>
      <w:proofErr w:type="gramEnd"/>
      <w:r>
        <w:rPr>
          <w:rFonts w:ascii="Times New Roman" w:eastAsia="Times New Roman" w:hAnsi="Times New Roman" w:cs="Times New Roman"/>
          <w:kern w:val="0"/>
          <w:lang w:eastAsia="en-IN"/>
          <w14:ligatures w14:val="none"/>
        </w:rPr>
        <w:t xml:space="preserve"> and the role of human resources can be changed in the digital age with digital and human-centred skills.</w:t>
      </w:r>
    </w:p>
    <w:p w14:paraId="5C4469A9" w14:textId="77777777" w:rsidR="008C1CA0" w:rsidRDefault="00157A71">
      <w:pPr>
        <w:pStyle w:val="Heading2"/>
        <w:spacing w:before="240" w:after="240"/>
        <w:rPr>
          <w:lang w:eastAsia="en-IN"/>
        </w:rPr>
      </w:pPr>
      <w:bookmarkStart w:id="3" w:name="_Toc213799574"/>
      <w:r>
        <w:rPr>
          <w:lang w:eastAsia="en-IN"/>
        </w:rPr>
        <w:t>b. Theoretical Lenses</w:t>
      </w:r>
      <w:bookmarkEnd w:id="3"/>
    </w:p>
    <w:p w14:paraId="5C4469AA"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Scholars emphasise the socio-technical </w:t>
      </w:r>
      <w:proofErr w:type="gramStart"/>
      <w:r>
        <w:rPr>
          <w:rFonts w:ascii="Times New Roman" w:eastAsia="Times New Roman" w:hAnsi="Times New Roman" w:cs="Times New Roman"/>
          <w:kern w:val="0"/>
          <w:lang w:eastAsia="en-IN"/>
          <w14:ligatures w14:val="none"/>
        </w:rPr>
        <w:t>systems perspective, since</w:t>
      </w:r>
      <w:proofErr w:type="gramEnd"/>
      <w:r>
        <w:rPr>
          <w:rFonts w:ascii="Times New Roman" w:eastAsia="Times New Roman" w:hAnsi="Times New Roman" w:cs="Times New Roman"/>
          <w:kern w:val="0"/>
          <w:lang w:eastAsia="en-IN"/>
          <w14:ligatures w14:val="none"/>
        </w:rPr>
        <w:t xml:space="preserve"> organisational performance involves a match between technology design and human work systems. HR must therefore juggle algorithmic tools with the needs of employees. Diffusion of Innovation theory can also be used to explain the diffusion of HR technologies, as firms adopt new tools based on relative advantage, organisational readiness, and external pressures. For example, the Technology-Organisation-Environment (TOE) emphasises leadership support, workforce capability, and regulatory fit to determine AI uptake (Mwita and </w:t>
      </w:r>
      <w:proofErr w:type="spellStart"/>
      <w:r>
        <w:rPr>
          <w:rFonts w:ascii="Times New Roman" w:eastAsia="Times New Roman" w:hAnsi="Times New Roman" w:cs="Times New Roman"/>
          <w:kern w:val="0"/>
          <w:lang w:eastAsia="en-IN"/>
          <w14:ligatures w14:val="none"/>
        </w:rPr>
        <w:t>Kitole</w:t>
      </w:r>
      <w:proofErr w:type="spellEnd"/>
      <w:r>
        <w:rPr>
          <w:rFonts w:ascii="Times New Roman" w:eastAsia="Times New Roman" w:hAnsi="Times New Roman" w:cs="Times New Roman"/>
          <w:kern w:val="0"/>
          <w:lang w:eastAsia="en-IN"/>
          <w14:ligatures w14:val="none"/>
        </w:rPr>
        <w:t xml:space="preserve">, 2025). In practice, </w:t>
      </w:r>
      <w:r>
        <w:rPr>
          <w:rFonts w:ascii="Times New Roman" w:eastAsia="Times New Roman" w:hAnsi="Times New Roman" w:cs="Times New Roman"/>
          <w:kern w:val="0"/>
          <w:lang w:eastAsia="en-IN"/>
          <w14:ligatures w14:val="none"/>
        </w:rPr>
        <w:lastRenderedPageBreak/>
        <w:t>the HR professionals are innovation champions with responsibility for ensuring ethical deployment of AI, developing digital skills among the staff, and navigating the policies. In short, HR needs to take AI as "augmented intelligence" - that enhances human judgement - not as a standalone fix.</w:t>
      </w:r>
    </w:p>
    <w:p w14:paraId="5C4469AB" w14:textId="77777777" w:rsidR="008C1CA0" w:rsidRDefault="00157A71">
      <w:pPr>
        <w:spacing w:before="240" w:after="240"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noProof/>
          <w:kern w:val="0"/>
          <w:lang w:eastAsia="en-IN"/>
          <w14:ligatures w14:val="none"/>
        </w:rPr>
        <w:drawing>
          <wp:inline distT="0" distB="0" distL="0" distR="0" wp14:anchorId="5C446A23" wp14:editId="5C446A24">
            <wp:extent cx="2638425"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2638793" cy="3391374"/>
                    </a:xfrm>
                    <a:prstGeom prst="rect">
                      <a:avLst/>
                    </a:prstGeom>
                  </pic:spPr>
                </pic:pic>
              </a:graphicData>
            </a:graphic>
          </wp:inline>
        </w:drawing>
      </w:r>
    </w:p>
    <w:p w14:paraId="5C4469AC" w14:textId="77777777" w:rsidR="008C1CA0" w:rsidRDefault="00157A71">
      <w:pPr>
        <w:spacing w:before="240" w:after="240" w:line="360" w:lineRule="auto"/>
        <w:jc w:val="center"/>
        <w:rPr>
          <w:rFonts w:ascii="Times New Roman" w:eastAsia="Times New Roman" w:hAnsi="Times New Roman" w:cs="Times New Roman"/>
          <w:b/>
          <w:kern w:val="0"/>
          <w:lang w:eastAsia="en-IN"/>
          <w14:ligatures w14:val="none"/>
        </w:rPr>
      </w:pPr>
      <w:r>
        <w:rPr>
          <w:rFonts w:ascii="Times New Roman" w:eastAsia="Times New Roman" w:hAnsi="Times New Roman" w:cs="Times New Roman"/>
          <w:b/>
          <w:kern w:val="0"/>
          <w:lang w:eastAsia="en-IN"/>
          <w14:ligatures w14:val="none"/>
        </w:rPr>
        <w:t>Figure 1: Integrated Theoretical Framework Explaining AI Adoption in HR</w:t>
      </w:r>
    </w:p>
    <w:p w14:paraId="5C4469AD" w14:textId="77777777" w:rsidR="008C1CA0" w:rsidRDefault="00157A71">
      <w:pPr>
        <w:spacing w:before="240" w:after="240"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(Self-developed)</w:t>
      </w:r>
    </w:p>
    <w:p w14:paraId="5C4469AE" w14:textId="77777777" w:rsidR="008C1CA0" w:rsidRDefault="00157A71">
      <w:pPr>
        <w:pStyle w:val="Heading2"/>
        <w:spacing w:before="240" w:after="240"/>
        <w:rPr>
          <w:lang w:eastAsia="en-IN"/>
        </w:rPr>
      </w:pPr>
      <w:bookmarkStart w:id="4" w:name="_Toc213799575"/>
      <w:r>
        <w:rPr>
          <w:lang w:eastAsia="en-IN"/>
        </w:rPr>
        <w:t>c. Ethical and Global Implications</w:t>
      </w:r>
      <w:bookmarkEnd w:id="4"/>
    </w:p>
    <w:p w14:paraId="5C4469AF"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AI-driven HR raises concerns about ethics and regulations. Chen (2023) is warning since recruitment algorithms can embed biases, which can lend themselves to discriminatory outcomes, such as women or races, if there is no checking Emma (2023) Discover why the use of opaque artificial intelligence (AI) processes puts organisations at risk when hiring candidates: It advises using unbiased data and having a corporate ethical governance in place to blunt the algorithmic bias. Data Privacy is another issue. Europe's GDPR is a hard limit on use of personal data with emerging laws, like India's new data protection act, varying in scope. These </w:t>
      </w:r>
      <w:proofErr w:type="gramStart"/>
      <w:r>
        <w:rPr>
          <w:rFonts w:ascii="Times New Roman" w:eastAsia="Times New Roman" w:hAnsi="Times New Roman" w:cs="Times New Roman"/>
          <w:kern w:val="0"/>
          <w:lang w:eastAsia="en-IN"/>
          <w14:ligatures w14:val="none"/>
        </w:rPr>
        <w:t>cross national</w:t>
      </w:r>
      <w:proofErr w:type="gramEnd"/>
      <w:r>
        <w:rPr>
          <w:rFonts w:ascii="Times New Roman" w:eastAsia="Times New Roman" w:hAnsi="Times New Roman" w:cs="Times New Roman"/>
          <w:kern w:val="0"/>
          <w:lang w:eastAsia="en-IN"/>
          <w14:ligatures w14:val="none"/>
        </w:rPr>
        <w:t xml:space="preserve"> disparities therefore make IHRM tailor this compliance, since what constitutes consent or "sensitive data" will vary from one particular jurisdiction to the next. </w:t>
      </w:r>
      <w:proofErr w:type="spellStart"/>
      <w:r>
        <w:rPr>
          <w:rFonts w:ascii="Times New Roman" w:eastAsia="Times New Roman" w:hAnsi="Times New Roman" w:cs="Times New Roman"/>
          <w:kern w:val="0"/>
          <w:lang w:eastAsia="en-IN"/>
          <w14:ligatures w14:val="none"/>
        </w:rPr>
        <w:t>Radanliev's</w:t>
      </w:r>
      <w:proofErr w:type="spellEnd"/>
      <w:r>
        <w:rPr>
          <w:rFonts w:ascii="Times New Roman" w:eastAsia="Times New Roman" w:hAnsi="Times New Roman" w:cs="Times New Roman"/>
          <w:kern w:val="0"/>
          <w:lang w:eastAsia="en-IN"/>
          <w14:ligatures w14:val="none"/>
        </w:rPr>
        <w:t xml:space="preserve"> (2025) review includes calling out the gaps in data protection frameworks, </w:t>
      </w:r>
      <w:r>
        <w:rPr>
          <w:rFonts w:ascii="Times New Roman" w:eastAsia="Times New Roman" w:hAnsi="Times New Roman" w:cs="Times New Roman"/>
          <w:kern w:val="0"/>
          <w:lang w:eastAsia="en-IN"/>
          <w14:ligatures w14:val="none"/>
        </w:rPr>
        <w:lastRenderedPageBreak/>
        <w:t xml:space="preserve">raise ethical, legal concerns in privacy and transparency, and fairness of personal information-EI frameworks, especially when used in cooperative decision making, such as personnel decisions. Accordingly, ethical AI governance must be an object of the HR strategy. This means to ensure the establishment of clear algorithms and auditing processes, invest in digital literacy </w:t>
      </w:r>
      <w:proofErr w:type="gramStart"/>
      <w:r>
        <w:rPr>
          <w:rFonts w:ascii="Times New Roman" w:eastAsia="Times New Roman" w:hAnsi="Times New Roman" w:cs="Times New Roman"/>
          <w:kern w:val="0"/>
          <w:lang w:eastAsia="en-IN"/>
          <w14:ligatures w14:val="none"/>
        </w:rPr>
        <w:t>training</w:t>
      </w:r>
      <w:proofErr w:type="gramEnd"/>
      <w:r>
        <w:rPr>
          <w:rFonts w:ascii="Times New Roman" w:eastAsia="Times New Roman" w:hAnsi="Times New Roman" w:cs="Times New Roman"/>
          <w:kern w:val="0"/>
          <w:lang w:eastAsia="en-IN"/>
          <w14:ligatures w14:val="none"/>
        </w:rPr>
        <w:t xml:space="preserve"> and implement a human-centred design for AI tools.</w:t>
      </w:r>
    </w:p>
    <w:p w14:paraId="5C4469B0" w14:textId="77777777" w:rsidR="008C1CA0" w:rsidRDefault="00157A71">
      <w:pPr>
        <w:pStyle w:val="Heading1"/>
        <w:spacing w:before="240" w:beforeAutospacing="0" w:after="240" w:afterAutospacing="0"/>
        <w:rPr>
          <w:sz w:val="24"/>
          <w:szCs w:val="24"/>
        </w:rPr>
      </w:pPr>
      <w:bookmarkStart w:id="5" w:name="_Toc213799576"/>
      <w:r>
        <w:t>Task 2: Key demographic and geopolitical factors influencing employment markets today</w:t>
      </w:r>
      <w:bookmarkEnd w:id="5"/>
    </w:p>
    <w:p w14:paraId="5C4469B1" w14:textId="77777777" w:rsidR="008C1CA0" w:rsidRDefault="00157A71">
      <w:pPr>
        <w:pStyle w:val="Heading2"/>
        <w:spacing w:before="240" w:after="240"/>
        <w:rPr>
          <w:lang w:eastAsia="en-IN"/>
        </w:rPr>
      </w:pPr>
      <w:bookmarkStart w:id="6" w:name="_Toc213799577"/>
      <w:r>
        <w:rPr>
          <w:lang w:eastAsia="en-IN"/>
        </w:rPr>
        <w:t>a. Demographic Shifts and the Workforce Diversity</w:t>
      </w:r>
      <w:bookmarkEnd w:id="6"/>
    </w:p>
    <w:p w14:paraId="5C4469B2"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Ageing societies change global labour markets. Scarpetta (2025) cautions that falling birth rates and ageing labour forces are endangering economic productivity and are causing severe labour shortages in occupations in the high-tech industry and the health sector. Simultaneously, Zahra </w:t>
      </w:r>
      <w:r>
        <w:rPr>
          <w:rFonts w:ascii="Times New Roman" w:eastAsia="Times New Roman" w:hAnsi="Times New Roman" w:cs="Times New Roman"/>
          <w:i/>
          <w:kern w:val="0"/>
          <w:lang w:eastAsia="en-IN"/>
          <w14:ligatures w14:val="none"/>
        </w:rPr>
        <w:t>et al.</w:t>
      </w:r>
      <w:r>
        <w:rPr>
          <w:rFonts w:ascii="Times New Roman" w:eastAsia="Times New Roman" w:hAnsi="Times New Roman" w:cs="Times New Roman"/>
          <w:kern w:val="0"/>
          <w:lang w:eastAsia="en-IN"/>
          <w14:ligatures w14:val="none"/>
        </w:rPr>
        <w:t xml:space="preserve"> (2025) illustrate that Gen Z's preference for flexibility, autonomy, and social purpose is inciting employers to provide them with hybrid models and purpose-driven roles. Organisations such as Patagonia are an example of inclusive, sustainability-focused missions and attract a range of talent.</w:t>
      </w:r>
    </w:p>
    <w:p w14:paraId="5C4469B3"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Labour Market Segmentation Theory explains why there are persistent inequalities between "core" and "peripheral" workers. Demographic factors - with the impact of older or female workers constitute the underrepresented population in core areas, targeted, multi-generational, and inclusive human resource (HR) strategies - such as mentoring schemes and flexible working arrangements - as part of integrating various cohorts of individuals into the workforce - Getting the diverse behaviours effectively in may include aspects of affirmative action.</w:t>
      </w:r>
    </w:p>
    <w:p w14:paraId="5C4469B4" w14:textId="77777777" w:rsidR="008C1CA0" w:rsidRDefault="00157A71">
      <w:pPr>
        <w:pStyle w:val="Heading2"/>
        <w:spacing w:before="240" w:after="240"/>
        <w:rPr>
          <w:lang w:eastAsia="en-IN"/>
        </w:rPr>
      </w:pPr>
      <w:bookmarkStart w:id="7" w:name="_Toc213799578"/>
      <w:r>
        <w:rPr>
          <w:lang w:eastAsia="en-IN"/>
        </w:rPr>
        <w:t>b. Geopolitical and Economic Changes</w:t>
      </w:r>
      <w:bookmarkEnd w:id="7"/>
    </w:p>
    <w:p w14:paraId="5C4469B5"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Generalised instability, reshoring, and digital connectiveness keep labour redefining work. Offshoring trends are being redressed with regionalisation, and hybrid work has become mainstream, with approximately half of employees in the U.S. and Europe working in flexible ways post-2022 (Luy </w:t>
      </w:r>
      <w:r>
        <w:rPr>
          <w:rFonts w:ascii="Times New Roman" w:eastAsia="Times New Roman" w:hAnsi="Times New Roman" w:cs="Times New Roman"/>
          <w:i/>
          <w:kern w:val="0"/>
          <w:lang w:eastAsia="en-IN"/>
          <w14:ligatures w14:val="none"/>
        </w:rPr>
        <w:t>et al.</w:t>
      </w:r>
      <w:r>
        <w:rPr>
          <w:rFonts w:ascii="Times New Roman" w:eastAsia="Times New Roman" w:hAnsi="Times New Roman" w:cs="Times New Roman"/>
          <w:kern w:val="0"/>
          <w:lang w:eastAsia="en-IN"/>
          <w14:ligatures w14:val="none"/>
        </w:rPr>
        <w:t>, 2024). This mobility is to enable jobs to "follow" talent globally. Moreover, corporate activism impacts HR decision-making, as brands want to go along with mobility and employment practices and political and ethical commitment in a connected world.</w:t>
      </w:r>
    </w:p>
    <w:p w14:paraId="5C4469B6" w14:textId="77777777" w:rsidR="008C1CA0" w:rsidRDefault="00157A71">
      <w:pPr>
        <w:pStyle w:val="Heading2"/>
        <w:spacing w:before="240" w:after="240"/>
        <w:rPr>
          <w:lang w:eastAsia="en-IN"/>
        </w:rPr>
      </w:pPr>
      <w:bookmarkStart w:id="8" w:name="_Toc213799579"/>
      <w:r>
        <w:rPr>
          <w:lang w:eastAsia="en-IN"/>
        </w:rPr>
        <w:lastRenderedPageBreak/>
        <w:t>c. Institution and the Culture Global HRM</w:t>
      </w:r>
      <w:bookmarkEnd w:id="8"/>
    </w:p>
    <w:p w14:paraId="5C4469B7"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Institutional Theory places HRM into country systems that are shaped by the labour and cultural expectations. (Reilly and Williams, 2016; Armstrong and Taylor, 2020). IHRM needs to achieve a balance between consistency and responsiveness at a global level versus a local level (Dessler, 2020). Hofstede's cultural dimensions show the difference in leadership, motivation, and reward systems, while collectivist cultures prefer team-based incentive systems, and individualistic cultures prefer meritocracy (Kirton and Greene, 2015). Building Cross-Cultural Competency and Embedding Diversity as Strategic Capability. This increases legitimacy and inclusion (Cox, 2001; Thomas and Ely, 1996).</w:t>
      </w:r>
    </w:p>
    <w:p w14:paraId="5C4469B8" w14:textId="77777777" w:rsidR="008C1CA0" w:rsidRDefault="00157A71">
      <w:pPr>
        <w:spacing w:before="240" w:after="240"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noProof/>
          <w:kern w:val="0"/>
          <w:lang w:eastAsia="en-IN"/>
          <w14:ligatures w14:val="none"/>
        </w:rPr>
        <w:drawing>
          <wp:inline distT="0" distB="0" distL="0" distR="0" wp14:anchorId="5C446A25" wp14:editId="5C446A26">
            <wp:extent cx="2857500" cy="3933825"/>
            <wp:effectExtent l="76200" t="76200" r="133350"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2857899" cy="3934374"/>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5C4469B9" w14:textId="77777777" w:rsidR="008C1CA0" w:rsidRDefault="00157A71">
      <w:pPr>
        <w:spacing w:before="240" w:after="240" w:line="360" w:lineRule="auto"/>
        <w:jc w:val="center"/>
        <w:rPr>
          <w:rFonts w:ascii="Times New Roman" w:eastAsia="Times New Roman" w:hAnsi="Times New Roman" w:cs="Times New Roman"/>
          <w:b/>
          <w:kern w:val="0"/>
          <w:lang w:eastAsia="en-IN"/>
          <w14:ligatures w14:val="none"/>
        </w:rPr>
      </w:pPr>
      <w:r>
        <w:rPr>
          <w:rFonts w:ascii="Times New Roman" w:eastAsia="Times New Roman" w:hAnsi="Times New Roman" w:cs="Times New Roman"/>
          <w:b/>
          <w:kern w:val="0"/>
          <w:lang w:eastAsia="en-IN"/>
          <w14:ligatures w14:val="none"/>
        </w:rPr>
        <w:t>Figure 2: Hofstede’s Cultural Dimensions and Their Impact on Global HRM</w:t>
      </w:r>
    </w:p>
    <w:p w14:paraId="5C4469BA" w14:textId="77777777" w:rsidR="008C1CA0" w:rsidRDefault="00157A71">
      <w:pPr>
        <w:spacing w:before="240" w:after="240"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(Self-developed)</w:t>
      </w:r>
    </w:p>
    <w:p w14:paraId="5C4469BB" w14:textId="77777777" w:rsidR="008C1CA0" w:rsidRDefault="00157A71">
      <w:pPr>
        <w:pStyle w:val="Heading2"/>
        <w:spacing w:before="240" w:after="240"/>
        <w:rPr>
          <w:lang w:eastAsia="en-IN"/>
        </w:rPr>
      </w:pPr>
      <w:bookmarkStart w:id="9" w:name="_Toc213799580"/>
      <w:r>
        <w:rPr>
          <w:lang w:eastAsia="en-IN"/>
        </w:rPr>
        <w:t>d. Strategic Outlook</w:t>
      </w:r>
      <w:bookmarkEnd w:id="9"/>
    </w:p>
    <w:p w14:paraId="5C4469BC"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The future-ready HR systems should be a combination of adaptability, being aware of laws and aesthetic (Noe </w:t>
      </w:r>
      <w:r>
        <w:rPr>
          <w:rFonts w:ascii="Times New Roman" w:eastAsia="Times New Roman" w:hAnsi="Times New Roman" w:cs="Times New Roman"/>
          <w:i/>
          <w:kern w:val="0"/>
          <w:lang w:eastAsia="en-IN"/>
          <w14:ligatures w14:val="none"/>
        </w:rPr>
        <w:t>et al.</w:t>
      </w:r>
      <w:r>
        <w:rPr>
          <w:rFonts w:ascii="Times New Roman" w:eastAsia="Times New Roman" w:hAnsi="Times New Roman" w:cs="Times New Roman"/>
          <w:kern w:val="0"/>
          <w:lang w:eastAsia="en-IN"/>
          <w14:ligatures w14:val="none"/>
        </w:rPr>
        <w:t xml:space="preserve">, 2017; Armstrong and Taylor, 2020). Through ethical and inclusive </w:t>
      </w:r>
      <w:r>
        <w:rPr>
          <w:rFonts w:ascii="Times New Roman" w:eastAsia="Times New Roman" w:hAnsi="Times New Roman" w:cs="Times New Roman"/>
          <w:kern w:val="0"/>
          <w:lang w:eastAsia="en-IN"/>
          <w14:ligatures w14:val="none"/>
        </w:rPr>
        <w:lastRenderedPageBreak/>
        <w:t>leadership as well as lifelong learning, IHRM can contribute to the filling of demographic divides and achieving sustainable global talent ecosystems.</w:t>
      </w:r>
    </w:p>
    <w:p w14:paraId="5C4469BD"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Ultimately, the future ready HR function is the ability for cultural agility, legal savvy, and human centric design. Such HR systems see diversity not as an obligation but as an innovation driver with an inclusive leadership that helps overcome generational, cultural, and geopolitical divides. As Armstrong and Taylor (2020) note, sustainable HR strategies are based on the convergence of professionalism, empathy, and adaptability, which will be the defining traits for good HR leadership during the next decade.</w:t>
      </w:r>
    </w:p>
    <w:p w14:paraId="5C4469BE" w14:textId="77777777" w:rsidR="008C1CA0" w:rsidRDefault="00157A71">
      <w:pPr>
        <w:pStyle w:val="Heading1"/>
        <w:spacing w:before="240" w:beforeAutospacing="0" w:after="240" w:afterAutospacing="0"/>
        <w:rPr>
          <w:sz w:val="24"/>
          <w:szCs w:val="24"/>
        </w:rPr>
      </w:pPr>
      <w:bookmarkStart w:id="10" w:name="_Toc213799581"/>
      <w:r>
        <w:t>Task 3: Skills gaps and talent shortages in critical sectors (e.g., tech, hospitality, healthcare)</w:t>
      </w:r>
      <w:bookmarkEnd w:id="10"/>
    </w:p>
    <w:p w14:paraId="5C4469BF" w14:textId="77777777" w:rsidR="008C1CA0" w:rsidRDefault="00157A71">
      <w:pPr>
        <w:pStyle w:val="Heading2"/>
        <w:spacing w:before="240" w:after="240"/>
        <w:rPr>
          <w:lang w:eastAsia="en-IN"/>
        </w:rPr>
      </w:pPr>
      <w:bookmarkStart w:id="11" w:name="_Toc213799582"/>
      <w:r>
        <w:rPr>
          <w:lang w:eastAsia="en-IN"/>
        </w:rPr>
        <w:t>a) Understanding the Magnitude of Skills Deficits</w:t>
      </w:r>
      <w:bookmarkEnd w:id="11"/>
    </w:p>
    <w:p w14:paraId="5C4469C0"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Skills shortage is still acute throughout the technology, healthcare, and sustainability sectors. </w:t>
      </w:r>
      <w:proofErr w:type="spellStart"/>
      <w:r>
        <w:rPr>
          <w:rFonts w:ascii="Times New Roman" w:eastAsia="Times New Roman" w:hAnsi="Times New Roman" w:cs="Times New Roman"/>
          <w:kern w:val="0"/>
          <w:lang w:eastAsia="en-IN"/>
          <w14:ligatures w14:val="none"/>
        </w:rPr>
        <w:t>Zahidi</w:t>
      </w:r>
      <w:proofErr w:type="spellEnd"/>
      <w:r>
        <w:rPr>
          <w:rFonts w:ascii="Times New Roman" w:eastAsia="Times New Roman" w:hAnsi="Times New Roman" w:cs="Times New Roman"/>
          <w:kern w:val="0"/>
          <w:lang w:eastAsia="en-IN"/>
          <w14:ligatures w14:val="none"/>
        </w:rPr>
        <w:t xml:space="preserve"> (2025) finds that new needs are creating new demand for digital and green ability - new jobs in areas including AI, data analytics, and renewable energy. The WHO (2025) estimates the global shortage of health workers by 2030, as approximately 11 million people, especially patients from low- and middle-income economies. Even mature systems like the UK NHS contain structural gaps, with about 100,000 roles lying empty as demand is too great to recoup recruitment capacity. Outdated HR opportunity models are problematic for attrition and under-skilling, an issue observed in the fictitious </w:t>
      </w:r>
      <w:proofErr w:type="spellStart"/>
      <w:r>
        <w:rPr>
          <w:rFonts w:ascii="Times New Roman" w:eastAsia="Times New Roman" w:hAnsi="Times New Roman" w:cs="Times New Roman"/>
          <w:kern w:val="0"/>
          <w:lang w:eastAsia="en-IN"/>
          <w14:ligatures w14:val="none"/>
        </w:rPr>
        <w:t>StellarTech</w:t>
      </w:r>
      <w:proofErr w:type="spellEnd"/>
      <w:r>
        <w:rPr>
          <w:rFonts w:ascii="Times New Roman" w:eastAsia="Times New Roman" w:hAnsi="Times New Roman" w:cs="Times New Roman"/>
          <w:kern w:val="0"/>
          <w:lang w:eastAsia="en-IN"/>
          <w14:ligatures w14:val="none"/>
        </w:rPr>
        <w:t xml:space="preserve"> example, where high hierarchical structures and a low level of training led to retention challenges (Buckingham, 2025). Addressing these gaps requires HRM to move from reactive hiring to proactive capability building based on long-term planning of the workforce.</w:t>
      </w:r>
    </w:p>
    <w:p w14:paraId="5C4469C1" w14:textId="77777777" w:rsidR="008C1CA0" w:rsidRDefault="00157A71">
      <w:pPr>
        <w:pStyle w:val="Heading2"/>
        <w:spacing w:before="240" w:after="240"/>
        <w:rPr>
          <w:lang w:eastAsia="en-IN"/>
        </w:rPr>
      </w:pPr>
      <w:bookmarkStart w:id="12" w:name="_Toc213799583"/>
      <w:r>
        <w:rPr>
          <w:lang w:eastAsia="en-IN"/>
        </w:rPr>
        <w:t>b. Theoretical Basis for Talent Sustainability</w:t>
      </w:r>
      <w:bookmarkEnd w:id="12"/>
    </w:p>
    <w:p w14:paraId="5C4469C2"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Human Capital Theory has framed training in terms of being an investment in productivity and organisational competitiveness, while the Dynamic Capabilities Theory focuses on what Teece </w:t>
      </w:r>
      <w:r>
        <w:rPr>
          <w:rFonts w:ascii="Times New Roman" w:eastAsia="Times New Roman" w:hAnsi="Times New Roman" w:cs="Times New Roman"/>
          <w:i/>
          <w:kern w:val="0"/>
          <w:lang w:eastAsia="en-IN"/>
          <w14:ligatures w14:val="none"/>
        </w:rPr>
        <w:t xml:space="preserve">et al. </w:t>
      </w:r>
      <w:r>
        <w:rPr>
          <w:rFonts w:ascii="Times New Roman" w:eastAsia="Times New Roman" w:hAnsi="Times New Roman" w:cs="Times New Roman"/>
          <w:kern w:val="0"/>
          <w:lang w:eastAsia="en-IN"/>
          <w14:ligatures w14:val="none"/>
        </w:rPr>
        <w:t>(1997) describes as a firm's ability to sense change and its ability to reconfigure resources (talents). Together, these perspectives form a constant Talent Management Cycle (attraction, developing, retaining, and success of key employees) to turn scarcity into an advantage. Agility, learning, and inner mobility, therefore, become key elements for organisational resilience and strategic renewal.</w:t>
      </w:r>
    </w:p>
    <w:p w14:paraId="5C4469C3" w14:textId="77777777" w:rsidR="008C1CA0" w:rsidRDefault="00157A71">
      <w:pPr>
        <w:pStyle w:val="Heading2"/>
        <w:spacing w:before="240" w:after="240"/>
        <w:rPr>
          <w:lang w:eastAsia="en-IN"/>
        </w:rPr>
      </w:pPr>
      <w:bookmarkStart w:id="13" w:name="_Toc213799584"/>
      <w:r>
        <w:rPr>
          <w:lang w:eastAsia="en-IN"/>
        </w:rPr>
        <w:lastRenderedPageBreak/>
        <w:t>c. Strategic human resource interventions</w:t>
      </w:r>
      <w:bookmarkEnd w:id="13"/>
      <w:r>
        <w:rPr>
          <w:lang w:eastAsia="en-IN"/>
        </w:rPr>
        <w:t xml:space="preserve"> </w:t>
      </w:r>
    </w:p>
    <w:p w14:paraId="5C4469C4"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 xml:space="preserve">Data-driven workforce planning is critical. </w:t>
      </w:r>
      <w:proofErr w:type="spellStart"/>
      <w:r>
        <w:rPr>
          <w:rFonts w:ascii="Times New Roman" w:eastAsia="Times New Roman" w:hAnsi="Times New Roman" w:cs="Times New Roman"/>
          <w:kern w:val="0"/>
          <w:lang w:eastAsia="en-IN"/>
          <w14:ligatures w14:val="none"/>
        </w:rPr>
        <w:t>Bositkhanova</w:t>
      </w:r>
      <w:proofErr w:type="spellEnd"/>
      <w:r>
        <w:rPr>
          <w:rFonts w:ascii="Times New Roman" w:eastAsia="Times New Roman" w:hAnsi="Times New Roman" w:cs="Times New Roman"/>
          <w:kern w:val="0"/>
          <w:lang w:eastAsia="en-IN"/>
          <w14:ligatures w14:val="none"/>
        </w:rPr>
        <w:t xml:space="preserve"> and </w:t>
      </w:r>
      <w:proofErr w:type="spellStart"/>
      <w:r>
        <w:rPr>
          <w:rFonts w:ascii="Times New Roman" w:eastAsia="Times New Roman" w:hAnsi="Times New Roman" w:cs="Times New Roman"/>
          <w:kern w:val="0"/>
          <w:lang w:eastAsia="en-IN"/>
          <w14:ligatures w14:val="none"/>
        </w:rPr>
        <w:t>Dadaboyev</w:t>
      </w:r>
      <w:proofErr w:type="spellEnd"/>
      <w:r>
        <w:rPr>
          <w:rFonts w:ascii="Times New Roman" w:eastAsia="Times New Roman" w:hAnsi="Times New Roman" w:cs="Times New Roman"/>
          <w:kern w:val="0"/>
          <w:lang w:eastAsia="en-IN"/>
          <w14:ligatures w14:val="none"/>
        </w:rPr>
        <w:t xml:space="preserve"> (2025) demonstrate that AI-enabled forecasting enables us to increase accuracy in skill demand modelling, while Gunda and Muzira (2025) found that predictive algorithms would serve to decrease turnover and increase the level of internal promotions by 20-30 percent. Complementary to analytics, targeted </w:t>
      </w:r>
      <w:proofErr w:type="gramStart"/>
      <w:r>
        <w:rPr>
          <w:rFonts w:ascii="Times New Roman" w:eastAsia="Times New Roman" w:hAnsi="Times New Roman" w:cs="Times New Roman"/>
          <w:kern w:val="0"/>
          <w:lang w:eastAsia="en-IN"/>
          <w14:ligatures w14:val="none"/>
        </w:rPr>
        <w:t>reskilling</w:t>
      </w:r>
      <w:proofErr w:type="gramEnd"/>
      <w:r>
        <w:rPr>
          <w:rFonts w:ascii="Times New Roman" w:eastAsia="Times New Roman" w:hAnsi="Times New Roman" w:cs="Times New Roman"/>
          <w:kern w:val="0"/>
          <w:lang w:eastAsia="en-IN"/>
          <w14:ligatures w14:val="none"/>
        </w:rPr>
        <w:t xml:space="preserve"> and upskilling programmes, which can often be assessed using Kirkpatrick's model, result in the development of adaptability. Experiential learning, project rotations, and digital certifications match skills to future jobs. Purpose-driven employer brands like Unilever and Patagonia use DEI and sustainability as tools to attract talent, while the NHS apprenticeship and retention schemes aid their talent pipelines with retention (Buckingham, 2025). Internationally, companies such as HSBC use virtual assignments and hybrid career paths to spread the knowledge worldwide.</w:t>
      </w:r>
    </w:p>
    <w:p w14:paraId="5C4469C5" w14:textId="77777777" w:rsidR="008C1CA0" w:rsidRDefault="00157A71">
      <w:pPr>
        <w:pStyle w:val="Heading2"/>
        <w:spacing w:before="240" w:after="240"/>
        <w:rPr>
          <w:lang w:eastAsia="en-IN"/>
        </w:rPr>
      </w:pPr>
      <w:bookmarkStart w:id="14" w:name="_Toc213799585"/>
      <w:r>
        <w:rPr>
          <w:lang w:eastAsia="en-IN"/>
        </w:rPr>
        <w:t>d. Assessing Impact and Outlook for the Future</w:t>
      </w:r>
      <w:bookmarkEnd w:id="14"/>
    </w:p>
    <w:p w14:paraId="5C4469C6" w14:textId="77777777" w:rsidR="008C1CA0" w:rsidRDefault="00157A71">
      <w:pPr>
        <w:spacing w:before="240" w:after="240"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Evidence for the support of inclusive approaches to HRM, integrating ethical leadership and life-long learning. The embedding of continued development in performance reviews and the measurement of equity in the access to training and achieving internal movement lead to enhanced engagement and retention. In the end, by correlating investment in human capital with the dynamic building of capability, HRM and IHRM can bring about opportunities to convert skills shortage into sustainable development and global competitiveness.</w:t>
      </w:r>
    </w:p>
    <w:p w14:paraId="5C4469C7" w14:textId="77777777" w:rsidR="008C1CA0" w:rsidRDefault="00157A71">
      <w:pPr>
        <w:pStyle w:val="Heading1"/>
        <w:spacing w:before="240" w:beforeAutospacing="0" w:after="240" w:afterAutospacing="0"/>
      </w:pPr>
      <w:bookmarkStart w:id="15" w:name="_Toc213799586"/>
      <w:r>
        <w:t>Task 4: Reflective Report</w:t>
      </w:r>
      <w:bookmarkEnd w:id="15"/>
      <w:r>
        <w:t xml:space="preserve"> </w:t>
      </w:r>
    </w:p>
    <w:p w14:paraId="5C4469C8" w14:textId="77777777" w:rsidR="008C1CA0" w:rsidRDefault="00157A71">
      <w:pPr>
        <w:pStyle w:val="Heading2"/>
        <w:spacing w:before="240" w:after="240"/>
        <w:rPr>
          <w:lang w:eastAsia="en-IN"/>
        </w:rPr>
      </w:pPr>
      <w:bookmarkStart w:id="16" w:name="_Toc213799587"/>
      <w:r>
        <w:rPr>
          <w:lang w:eastAsia="en-IN"/>
        </w:rPr>
        <w:t>1. Description</w:t>
      </w:r>
      <w:bookmarkEnd w:id="16"/>
    </w:p>
    <w:p w14:paraId="5C4469C9" w14:textId="77777777" w:rsidR="008C1CA0" w:rsidRDefault="00157A71">
      <w:pPr>
        <w:spacing w:before="240" w:after="240" w:line="360" w:lineRule="auto"/>
        <w:jc w:val="both"/>
        <w:rPr>
          <w:rFonts w:ascii="Times New Roman" w:hAnsi="Times New Roman" w:cs="Times New Roman"/>
          <w:lang w:eastAsia="en-IN"/>
        </w:rPr>
      </w:pPr>
      <w:r>
        <w:rPr>
          <w:rFonts w:ascii="Times New Roman" w:hAnsi="Times New Roman" w:cs="Times New Roman"/>
          <w:lang w:eastAsia="en-IN"/>
        </w:rPr>
        <w:t>Throughout this module on global HRM and international labour markets, I have gained a greater awareness of the impact technological, demographic, and geopolitical forces have on changing the face of employability and HR strategy. The cases explored, including activism in Patagonia and the use of AI recruitment tools by Unilever (Hu, 2023) and NHS workforce shortage, provided a strong context within which to reflect on my own preparedness to work in an international and technology-driven environment. The learning process placed emphasis on HRM transitioning from administrative function to strategic data-enabled decision making (Armstrong and Taylor, 2020). Displays of involvement in the discussion around AI ethics, digital transformations (</w:t>
      </w:r>
      <w:proofErr w:type="spellStart"/>
      <w:r>
        <w:rPr>
          <w:rFonts w:ascii="Times New Roman" w:hAnsi="Times New Roman" w:cs="Times New Roman"/>
          <w:lang w:eastAsia="en-IN"/>
        </w:rPr>
        <w:t>Ekuma</w:t>
      </w:r>
      <w:proofErr w:type="spellEnd"/>
      <w:r>
        <w:rPr>
          <w:rFonts w:ascii="Times New Roman" w:hAnsi="Times New Roman" w:cs="Times New Roman"/>
          <w:lang w:eastAsia="en-IN"/>
        </w:rPr>
        <w:t xml:space="preserve">, 2024), institutional and cultural theories (Reilly and </w:t>
      </w:r>
      <w:r>
        <w:rPr>
          <w:rFonts w:ascii="Times New Roman" w:hAnsi="Times New Roman" w:cs="Times New Roman"/>
          <w:lang w:eastAsia="en-IN"/>
        </w:rPr>
        <w:lastRenderedPageBreak/>
        <w:t>Williams, 2016; Kirton and Greene, 2015) helped measure my abilities in areas including the use of technology, global communication, teamwork, leadership, and self-directed learning.</w:t>
      </w:r>
    </w:p>
    <w:p w14:paraId="5C4469CA"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Through case analyses, simulations, and group discussions, I recognised how cross-border HR practices require a balance between analytical and interpersonal skills, reflecting what Fenwick </w:t>
      </w:r>
      <w:r>
        <w:rPr>
          <w:rFonts w:ascii="Times New Roman" w:eastAsia="Times New Roman" w:hAnsi="Times New Roman" w:cs="Times New Roman"/>
          <w:i/>
          <w:kern w:val="36"/>
          <w:lang w:eastAsia="en-IN"/>
          <w14:ligatures w14:val="none"/>
        </w:rPr>
        <w:t>et al.</w:t>
      </w:r>
      <w:r>
        <w:rPr>
          <w:rFonts w:ascii="Times New Roman" w:eastAsia="Times New Roman" w:hAnsi="Times New Roman" w:cs="Times New Roman"/>
          <w:kern w:val="36"/>
          <w:lang w:eastAsia="en-IN"/>
          <w14:ligatures w14:val="none"/>
        </w:rPr>
        <w:t xml:space="preserve"> (2024) call "augmented human capital", in which technology augments human judgement. This reflection, therefore, examines my strengths and weaknesses in five domains, as technological competence, communication, teamwork, leadership, and self-directed learning, while enumerating a plan of action to improve.</w:t>
      </w:r>
    </w:p>
    <w:p w14:paraId="5C4469CB" w14:textId="77777777" w:rsidR="008C1CA0" w:rsidRDefault="00157A71">
      <w:pPr>
        <w:pStyle w:val="Heading2"/>
        <w:spacing w:before="240" w:after="240"/>
        <w:rPr>
          <w:lang w:eastAsia="en-IN"/>
        </w:rPr>
      </w:pPr>
      <w:bookmarkStart w:id="17" w:name="_Toc213799588"/>
      <w:r>
        <w:rPr>
          <w:lang w:eastAsia="en-IN"/>
        </w:rPr>
        <w:t>2. Feelings</w:t>
      </w:r>
      <w:bookmarkEnd w:id="17"/>
    </w:p>
    <w:p w14:paraId="5C4469CC"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Initially, I was unsure about the complexity of global HRM, especially the way the HR professionals handle cultural diversity and accelerated change in technology at once. For instance, by analysing the integration of AI into human resource management (HRM) (</w:t>
      </w:r>
      <w:proofErr w:type="spellStart"/>
      <w:r>
        <w:rPr>
          <w:rFonts w:ascii="Times New Roman" w:eastAsia="Times New Roman" w:hAnsi="Times New Roman" w:cs="Times New Roman"/>
          <w:kern w:val="36"/>
          <w:lang w:eastAsia="en-IN"/>
          <w14:ligatures w14:val="none"/>
        </w:rPr>
        <w:t>Ekuma</w:t>
      </w:r>
      <w:proofErr w:type="spellEnd"/>
      <w:r>
        <w:rPr>
          <w:rFonts w:ascii="Times New Roman" w:eastAsia="Times New Roman" w:hAnsi="Times New Roman" w:cs="Times New Roman"/>
          <w:kern w:val="36"/>
          <w:lang w:eastAsia="en-IN"/>
          <w14:ligatures w14:val="none"/>
        </w:rPr>
        <w:t>, 2024), I came to the realisation that tech literacy is no longer an option to be pursued, but more of an imperative for non-discriminatory or baseless reasons. My beginning fears over how to handle AI-driven tools, ethical use of data, and global team collaboration gave way to a sense of confidence as I interacted with some of the applied examples, such as Unilever's cloud HR analytics (Hu, 2023) and Patagonia's culture of activism (Cox, 2001).</w:t>
      </w:r>
    </w:p>
    <w:p w14:paraId="5C4469CD"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Emotionally, the group activities strengthened adaptability. Working in a diverse student team highlighted for me the importance of cultural sensitivity and inclusiveness in communication, which is consistent with Hofstede's framework of cultural dimensions as well as Kirton and Greene's (2015) assertion that diverse teams lead to stronger and more innovative results. Initially, I was hesitant to speak my ideas out of fear of misinterpretation of the culture, but by the end of the term, I was more open and more collaborative.</w:t>
      </w:r>
    </w:p>
    <w:p w14:paraId="5C4469CE" w14:textId="77777777" w:rsidR="008C1CA0" w:rsidRDefault="00157A71">
      <w:pPr>
        <w:pStyle w:val="Heading2"/>
        <w:spacing w:before="240" w:after="240"/>
        <w:rPr>
          <w:lang w:eastAsia="en-IN"/>
        </w:rPr>
      </w:pPr>
      <w:bookmarkStart w:id="18" w:name="_Toc213799589"/>
      <w:r>
        <w:rPr>
          <w:lang w:eastAsia="en-IN"/>
        </w:rPr>
        <w:t>3. Evaluation</w:t>
      </w:r>
      <w:bookmarkEnd w:id="18"/>
    </w:p>
    <w:p w14:paraId="5C4469CF"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One of the main strengths that I discovered was my technological flexibility as well as my analytical thinking. Exposure to AI-based workforce planning (as discussed by Gunda and Muzira, 2025) led to me noticing my potential to learn digital systems rapidly and put data to ethical use. This strength is related to the demands of today's world for being digitally literate with responsible use of technology mentioned by </w:t>
      </w:r>
      <w:proofErr w:type="spellStart"/>
      <w:r>
        <w:rPr>
          <w:rFonts w:ascii="Times New Roman" w:eastAsia="Times New Roman" w:hAnsi="Times New Roman" w:cs="Times New Roman"/>
          <w:kern w:val="36"/>
          <w:lang w:eastAsia="en-IN"/>
          <w14:ligatures w14:val="none"/>
        </w:rPr>
        <w:t>Zahidi</w:t>
      </w:r>
      <w:proofErr w:type="spellEnd"/>
      <w:r>
        <w:rPr>
          <w:rFonts w:ascii="Times New Roman" w:eastAsia="Times New Roman" w:hAnsi="Times New Roman" w:cs="Times New Roman"/>
          <w:kern w:val="36"/>
          <w:lang w:eastAsia="en-IN"/>
          <w14:ligatures w14:val="none"/>
        </w:rPr>
        <w:t xml:space="preserve"> (2025) and Fenwick </w:t>
      </w:r>
      <w:r>
        <w:rPr>
          <w:rFonts w:ascii="Times New Roman" w:eastAsia="Times New Roman" w:hAnsi="Times New Roman" w:cs="Times New Roman"/>
          <w:i/>
          <w:kern w:val="36"/>
          <w:lang w:eastAsia="en-IN"/>
          <w14:ligatures w14:val="none"/>
        </w:rPr>
        <w:t>et al.</w:t>
      </w:r>
      <w:r>
        <w:rPr>
          <w:rFonts w:ascii="Times New Roman" w:eastAsia="Times New Roman" w:hAnsi="Times New Roman" w:cs="Times New Roman"/>
          <w:kern w:val="36"/>
          <w:lang w:eastAsia="en-IN"/>
          <w14:ligatures w14:val="none"/>
        </w:rPr>
        <w:t xml:space="preserve"> (2024).</w:t>
      </w:r>
    </w:p>
    <w:p w14:paraId="5C4469D0"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lastRenderedPageBreak/>
        <w:t>Communication is a second strong area, be it written or verbal communication. My contributions to working together, projects were often marked for clarity and structure. Armstrong and Taylor (2020) emphasise the importance of effective communication as fundamental to HR profession and nowhere is this more crucial than in IHRM where communication clarity is vital for preventing cross cultural misunderstanding.</w:t>
      </w:r>
    </w:p>
    <w:p w14:paraId="5C4469D1"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However, I did see weaknesses, as well. </w:t>
      </w:r>
      <w:proofErr w:type="gramStart"/>
      <w:r>
        <w:rPr>
          <w:rFonts w:ascii="Times New Roman" w:eastAsia="Times New Roman" w:hAnsi="Times New Roman" w:cs="Times New Roman"/>
          <w:kern w:val="36"/>
          <w:lang w:eastAsia="en-IN"/>
          <w14:ligatures w14:val="none"/>
        </w:rPr>
        <w:t>First of all</w:t>
      </w:r>
      <w:proofErr w:type="gramEnd"/>
      <w:r>
        <w:rPr>
          <w:rFonts w:ascii="Times New Roman" w:eastAsia="Times New Roman" w:hAnsi="Times New Roman" w:cs="Times New Roman"/>
          <w:kern w:val="36"/>
          <w:lang w:eastAsia="en-IN"/>
          <w14:ligatures w14:val="none"/>
        </w:rPr>
        <w:t xml:space="preserve">, my leadership self-confidence with multicultural teams is not at its state of best. While I </w:t>
      </w:r>
      <w:proofErr w:type="gramStart"/>
      <w:r>
        <w:rPr>
          <w:rFonts w:ascii="Times New Roman" w:eastAsia="Times New Roman" w:hAnsi="Times New Roman" w:cs="Times New Roman"/>
          <w:kern w:val="36"/>
          <w:lang w:eastAsia="en-IN"/>
          <w14:ligatures w14:val="none"/>
        </w:rPr>
        <w:t>am able to</w:t>
      </w:r>
      <w:proofErr w:type="gramEnd"/>
      <w:r>
        <w:rPr>
          <w:rFonts w:ascii="Times New Roman" w:eastAsia="Times New Roman" w:hAnsi="Times New Roman" w:cs="Times New Roman"/>
          <w:kern w:val="36"/>
          <w:lang w:eastAsia="en-IN"/>
          <w14:ligatures w14:val="none"/>
        </w:rPr>
        <w:t xml:space="preserve"> coordinate tasks, there are instances where I am reluctant to assert ideas in dealing with peers of a diverse cultural background, as part of a lack of cultural intelligence. Second, I did have some problems with self-directed learning although I was quite motivated, I have sometimes lacked consistency in tracking my learning progress or applying the theoretical learning in related practise.</w:t>
      </w:r>
    </w:p>
    <w:p w14:paraId="5C4469D2" w14:textId="77777777" w:rsidR="008C1CA0" w:rsidRDefault="00157A71">
      <w:pPr>
        <w:pStyle w:val="Heading2"/>
        <w:spacing w:before="240" w:after="240"/>
        <w:rPr>
          <w:lang w:eastAsia="en-IN"/>
        </w:rPr>
      </w:pPr>
      <w:bookmarkStart w:id="19" w:name="_Toc213799590"/>
      <w:r>
        <w:rPr>
          <w:lang w:eastAsia="en-IN"/>
        </w:rPr>
        <w:t>4. Analysis</w:t>
      </w:r>
      <w:bookmarkEnd w:id="19"/>
    </w:p>
    <w:p w14:paraId="5C4469D3"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This stage of reflection corresponds very well to some theoretical models covered in the module. My adaptability with technology relates to the Resource-Based View and human capital as a competitive advantage when skills are rare and dynamic (Armstrong </w:t>
      </w:r>
      <w:r>
        <w:rPr>
          <w:rFonts w:ascii="Times New Roman" w:eastAsia="Times New Roman" w:hAnsi="Times New Roman" w:cs="Times New Roman"/>
          <w:i/>
          <w:kern w:val="36"/>
          <w:lang w:eastAsia="en-IN"/>
          <w14:ligatures w14:val="none"/>
        </w:rPr>
        <w:t xml:space="preserve">and </w:t>
      </w:r>
      <w:r>
        <w:rPr>
          <w:rFonts w:ascii="Times New Roman" w:eastAsia="Times New Roman" w:hAnsi="Times New Roman" w:cs="Times New Roman"/>
          <w:kern w:val="36"/>
          <w:lang w:eastAsia="en-IN"/>
          <w14:ligatures w14:val="none"/>
        </w:rPr>
        <w:t>Taylor, 2020). Based on this framework, by improving my digital fluency and strategic thinking, I can improve my employability.</w:t>
      </w:r>
    </w:p>
    <w:p w14:paraId="5C4469D4"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However, leadership and cross-cultural sensitivity need a bit more thought. Transformational Leadership Theory attaches focus to the role of inspiration, intellectual stimulation, person-to-person consideration traits that I </w:t>
      </w:r>
      <w:proofErr w:type="gramStart"/>
      <w:r>
        <w:rPr>
          <w:rFonts w:ascii="Times New Roman" w:eastAsia="Times New Roman" w:hAnsi="Times New Roman" w:cs="Times New Roman"/>
          <w:kern w:val="36"/>
          <w:lang w:eastAsia="en-IN"/>
          <w14:ligatures w14:val="none"/>
        </w:rPr>
        <w:t>have to</w:t>
      </w:r>
      <w:proofErr w:type="gramEnd"/>
      <w:r>
        <w:rPr>
          <w:rFonts w:ascii="Times New Roman" w:eastAsia="Times New Roman" w:hAnsi="Times New Roman" w:cs="Times New Roman"/>
          <w:kern w:val="36"/>
          <w:lang w:eastAsia="en-IN"/>
          <w14:ligatures w14:val="none"/>
        </w:rPr>
        <w:t xml:space="preserve"> grow to make effective inspirations to multicultural teams. </w:t>
      </w:r>
    </w:p>
    <w:p w14:paraId="5C4469D5"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Similarly, Self-Determination Theory is useful for understanding my learning patterns. I am intrinsically motivated by curiosity and </w:t>
      </w:r>
      <w:proofErr w:type="gramStart"/>
      <w:r>
        <w:rPr>
          <w:rFonts w:ascii="Times New Roman" w:eastAsia="Times New Roman" w:hAnsi="Times New Roman" w:cs="Times New Roman"/>
          <w:kern w:val="36"/>
          <w:lang w:eastAsia="en-IN"/>
          <w14:ligatures w14:val="none"/>
        </w:rPr>
        <w:t>accomplishment, but</w:t>
      </w:r>
      <w:proofErr w:type="gramEnd"/>
      <w:r>
        <w:rPr>
          <w:rFonts w:ascii="Times New Roman" w:eastAsia="Times New Roman" w:hAnsi="Times New Roman" w:cs="Times New Roman"/>
          <w:kern w:val="36"/>
          <w:lang w:eastAsia="en-IN"/>
          <w14:ligatures w14:val="none"/>
        </w:rPr>
        <w:t xml:space="preserve"> need to structure my self-directed learning differently and more intentionally to ensure consistency. Embedding reflection logs and continuous feedback loops, </w:t>
      </w:r>
      <w:proofErr w:type="gramStart"/>
      <w:r>
        <w:rPr>
          <w:rFonts w:ascii="Times New Roman" w:eastAsia="Times New Roman" w:hAnsi="Times New Roman" w:cs="Times New Roman"/>
          <w:kern w:val="36"/>
          <w:lang w:eastAsia="en-IN"/>
          <w14:ligatures w14:val="none"/>
        </w:rPr>
        <w:t>similar to</w:t>
      </w:r>
      <w:proofErr w:type="gramEnd"/>
      <w:r>
        <w:rPr>
          <w:rFonts w:ascii="Times New Roman" w:eastAsia="Times New Roman" w:hAnsi="Times New Roman" w:cs="Times New Roman"/>
          <w:kern w:val="36"/>
          <w:lang w:eastAsia="en-IN"/>
          <w14:ligatures w14:val="none"/>
        </w:rPr>
        <w:t xml:space="preserve"> Kirkpatrick's evaluation levels of training impact can strengthen my self-regulation and skill retention (Dessler, 2020).</w:t>
      </w:r>
    </w:p>
    <w:p w14:paraId="5C4469D6"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Finally, teamwork has strengthened my understanding of these concepts as Institutional Theory, since organisations and individuals operate within their systems of control that are social, cultural, and regulatory norms (Reilly </w:t>
      </w:r>
      <w:r>
        <w:rPr>
          <w:rFonts w:ascii="Times New Roman" w:eastAsia="Times New Roman" w:hAnsi="Times New Roman" w:cs="Times New Roman"/>
          <w:i/>
          <w:kern w:val="36"/>
          <w:lang w:eastAsia="en-IN"/>
          <w14:ligatures w14:val="none"/>
        </w:rPr>
        <w:t xml:space="preserve">and </w:t>
      </w:r>
      <w:r>
        <w:rPr>
          <w:rFonts w:ascii="Times New Roman" w:eastAsia="Times New Roman" w:hAnsi="Times New Roman" w:cs="Times New Roman"/>
          <w:kern w:val="36"/>
          <w:lang w:eastAsia="en-IN"/>
          <w14:ligatures w14:val="none"/>
        </w:rPr>
        <w:t>Williams, 2016). Recognising and respecting these influences helps in improving the process of collaboration and decision-</w:t>
      </w:r>
      <w:r>
        <w:rPr>
          <w:rFonts w:ascii="Times New Roman" w:eastAsia="Times New Roman" w:hAnsi="Times New Roman" w:cs="Times New Roman"/>
          <w:kern w:val="36"/>
          <w:lang w:eastAsia="en-IN"/>
          <w14:ligatures w14:val="none"/>
        </w:rPr>
        <w:lastRenderedPageBreak/>
        <w:t xml:space="preserve">making. My team experience was aligned with global HRM practice </w:t>
      </w:r>
      <w:proofErr w:type="gramStart"/>
      <w:r>
        <w:rPr>
          <w:rFonts w:ascii="Times New Roman" w:eastAsia="Times New Roman" w:hAnsi="Times New Roman" w:cs="Times New Roman"/>
          <w:kern w:val="36"/>
          <w:lang w:eastAsia="en-IN"/>
          <w14:ligatures w14:val="none"/>
        </w:rPr>
        <w:t>that balances</w:t>
      </w:r>
      <w:proofErr w:type="gramEnd"/>
      <w:r>
        <w:rPr>
          <w:rFonts w:ascii="Times New Roman" w:eastAsia="Times New Roman" w:hAnsi="Times New Roman" w:cs="Times New Roman"/>
          <w:kern w:val="36"/>
          <w:lang w:eastAsia="en-IN"/>
          <w14:ligatures w14:val="none"/>
        </w:rPr>
        <w:t xml:space="preserve"> individual initiative with collective accountability, and led to internalising inclusive behaviours aligned with DEI frameworks (Kirton and Greene, 2015).</w:t>
      </w:r>
    </w:p>
    <w:p w14:paraId="5C4469D7" w14:textId="77777777" w:rsidR="008C1CA0" w:rsidRDefault="00157A71">
      <w:pPr>
        <w:pStyle w:val="Heading2"/>
        <w:spacing w:before="240" w:after="240"/>
        <w:rPr>
          <w:lang w:eastAsia="en-IN"/>
        </w:rPr>
      </w:pPr>
      <w:bookmarkStart w:id="20" w:name="_Toc213799591"/>
      <w:r>
        <w:rPr>
          <w:lang w:eastAsia="en-IN"/>
        </w:rPr>
        <w:t>5. Conclusion</w:t>
      </w:r>
      <w:bookmarkEnd w:id="20"/>
    </w:p>
    <w:p w14:paraId="5C4469D8"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 xml:space="preserve">Reflecting on my development through the course, I </w:t>
      </w:r>
      <w:proofErr w:type="gramStart"/>
      <w:r>
        <w:rPr>
          <w:rFonts w:ascii="Times New Roman" w:eastAsia="Times New Roman" w:hAnsi="Times New Roman" w:cs="Times New Roman"/>
          <w:kern w:val="36"/>
          <w:lang w:eastAsia="en-IN"/>
          <w14:ligatures w14:val="none"/>
        </w:rPr>
        <w:t>am able to</w:t>
      </w:r>
      <w:proofErr w:type="gramEnd"/>
      <w:r>
        <w:rPr>
          <w:rFonts w:ascii="Times New Roman" w:eastAsia="Times New Roman" w:hAnsi="Times New Roman" w:cs="Times New Roman"/>
          <w:kern w:val="36"/>
          <w:lang w:eastAsia="en-IN"/>
          <w14:ligatures w14:val="none"/>
        </w:rPr>
        <w:t xml:space="preserve"> conclude that my employability in a global context is enhanced by being adaptable, communicating clearly, and having a sense of ethics. These attributes place me in a decent position for HR jobs in technology-rich or cross-border settings. However, the areas that must be focused on and that require leadership assertiveness and disciplined self-learning require structured advancement. As global labour markets continue to shift with the introduction of automation and demographics (</w:t>
      </w:r>
      <w:proofErr w:type="spellStart"/>
      <w:r>
        <w:rPr>
          <w:rFonts w:ascii="Times New Roman" w:eastAsia="Times New Roman" w:hAnsi="Times New Roman" w:cs="Times New Roman"/>
          <w:kern w:val="36"/>
          <w:lang w:eastAsia="en-IN"/>
          <w14:ligatures w14:val="none"/>
        </w:rPr>
        <w:t>Zahidi</w:t>
      </w:r>
      <w:proofErr w:type="spellEnd"/>
      <w:r>
        <w:rPr>
          <w:rFonts w:ascii="Times New Roman" w:eastAsia="Times New Roman" w:hAnsi="Times New Roman" w:cs="Times New Roman"/>
          <w:kern w:val="36"/>
          <w:lang w:eastAsia="en-IN"/>
          <w14:ligatures w14:val="none"/>
        </w:rPr>
        <w:t xml:space="preserve">, 2025; </w:t>
      </w:r>
      <w:proofErr w:type="spellStart"/>
      <w:r>
        <w:rPr>
          <w:rFonts w:ascii="Times New Roman" w:eastAsia="Times New Roman" w:hAnsi="Times New Roman" w:cs="Times New Roman"/>
          <w:kern w:val="36"/>
          <w:lang w:eastAsia="en-IN"/>
          <w14:ligatures w14:val="none"/>
        </w:rPr>
        <w:t>Ekuma</w:t>
      </w:r>
      <w:proofErr w:type="spellEnd"/>
      <w:r>
        <w:rPr>
          <w:rFonts w:ascii="Times New Roman" w:eastAsia="Times New Roman" w:hAnsi="Times New Roman" w:cs="Times New Roman"/>
          <w:kern w:val="36"/>
          <w:lang w:eastAsia="en-IN"/>
          <w14:ligatures w14:val="none"/>
        </w:rPr>
        <w:t>, 2024), HR professionals have had to incorporate both technical competence with cultural agility and ethical judgment.</w:t>
      </w:r>
    </w:p>
    <w:p w14:paraId="5C4469D9" w14:textId="77777777" w:rsidR="008C1CA0" w:rsidRDefault="00157A71">
      <w:pPr>
        <w:spacing w:before="240" w:after="240" w:line="360" w:lineRule="auto"/>
        <w:jc w:val="both"/>
        <w:rPr>
          <w:rFonts w:ascii="Times New Roman" w:eastAsia="Times New Roman" w:hAnsi="Times New Roman" w:cs="Times New Roman"/>
          <w:kern w:val="36"/>
          <w:lang w:eastAsia="en-IN"/>
          <w14:ligatures w14:val="none"/>
        </w:rPr>
      </w:pPr>
      <w:r>
        <w:rPr>
          <w:rFonts w:ascii="Times New Roman" w:eastAsia="Times New Roman" w:hAnsi="Times New Roman" w:cs="Times New Roman"/>
          <w:kern w:val="36"/>
          <w:lang w:eastAsia="en-IN"/>
          <w14:ligatures w14:val="none"/>
        </w:rPr>
        <w:t>All saving the best and greatest for last, I have learned that effective employability today means more than mastering tools; it means embodying the professionalism, adaptability, and lifelong learning - qualities central to sustainable HRM (Armstrong and Taylor, 2020).</w:t>
      </w:r>
    </w:p>
    <w:p w14:paraId="5C4469DA" w14:textId="77777777" w:rsidR="008C1CA0" w:rsidRDefault="00157A71">
      <w:pPr>
        <w:pStyle w:val="Heading2"/>
        <w:spacing w:before="240" w:after="240"/>
        <w:rPr>
          <w:lang w:eastAsia="en-IN"/>
        </w:rPr>
      </w:pPr>
      <w:bookmarkStart w:id="21" w:name="_Toc213799592"/>
      <w:r>
        <w:rPr>
          <w:lang w:eastAsia="en-IN"/>
        </w:rPr>
        <w:t>6. Action Plan</w:t>
      </w:r>
      <w:bookmarkEnd w:id="21"/>
    </w:p>
    <w:p w14:paraId="5C4469DB" w14:textId="77777777" w:rsidR="008C1CA0" w:rsidRDefault="00157A71">
      <w:pPr>
        <w:spacing w:before="240" w:after="240" w:line="360" w:lineRule="auto"/>
        <w:jc w:val="both"/>
        <w:rPr>
          <w:rFonts w:ascii="Times New Roman" w:hAnsi="Times New Roman" w:cs="Times New Roman"/>
          <w:lang w:eastAsia="en-IN"/>
        </w:rPr>
      </w:pPr>
      <w:proofErr w:type="gramStart"/>
      <w:r>
        <w:rPr>
          <w:rFonts w:ascii="Times New Roman" w:hAnsi="Times New Roman" w:cs="Times New Roman"/>
          <w:lang w:eastAsia="en-IN"/>
        </w:rPr>
        <w:t>In order to</w:t>
      </w:r>
      <w:proofErr w:type="gramEnd"/>
      <w:r>
        <w:rPr>
          <w:rFonts w:ascii="Times New Roman" w:hAnsi="Times New Roman" w:cs="Times New Roman"/>
          <w:lang w:eastAsia="en-IN"/>
        </w:rPr>
        <w:t xml:space="preserve"> make the most of my strengths and improve areas for development, I have devised a six-month SMART development plan </w:t>
      </w:r>
      <w:r>
        <w:rPr>
          <w:rFonts w:ascii="Times New Roman" w:hAnsi="Times New Roman" w:cs="Times New Roman"/>
          <w:b/>
          <w:i/>
          <w:lang w:eastAsia="en-IN"/>
        </w:rPr>
        <w:t xml:space="preserve">[Refer to Appendix 1]. </w:t>
      </w:r>
      <w:r>
        <w:rPr>
          <w:rFonts w:ascii="Times New Roman" w:hAnsi="Times New Roman" w:cs="Times New Roman"/>
          <w:lang w:eastAsia="en-IN"/>
        </w:rPr>
        <w:t xml:space="preserve">This development plan combines theoretical learning with practice </w:t>
      </w:r>
      <w:proofErr w:type="gramStart"/>
      <w:r>
        <w:rPr>
          <w:rFonts w:ascii="Times New Roman" w:hAnsi="Times New Roman" w:cs="Times New Roman"/>
          <w:lang w:eastAsia="en-IN"/>
        </w:rPr>
        <w:t>in order to</w:t>
      </w:r>
      <w:proofErr w:type="gramEnd"/>
      <w:r>
        <w:rPr>
          <w:rFonts w:ascii="Times New Roman" w:hAnsi="Times New Roman" w:cs="Times New Roman"/>
          <w:lang w:eastAsia="en-IN"/>
        </w:rPr>
        <w:t xml:space="preserve"> ensure that measuring my growth in all areas of employability is successful.</w:t>
      </w:r>
    </w:p>
    <w:p w14:paraId="5C4469DC" w14:textId="77777777" w:rsidR="008C1CA0" w:rsidRDefault="00157A71">
      <w:pPr>
        <w:pStyle w:val="Heading1"/>
      </w:pPr>
      <w:bookmarkStart w:id="22" w:name="_Toc213799593"/>
      <w:r>
        <w:t>Conclusion</w:t>
      </w:r>
      <w:bookmarkEnd w:id="22"/>
    </w:p>
    <w:p w14:paraId="5C4469DD" w14:textId="77777777" w:rsidR="008C1CA0" w:rsidRDefault="00157A71">
      <w:pPr>
        <w:spacing w:before="240" w:after="240" w:line="360" w:lineRule="auto"/>
        <w:jc w:val="both"/>
        <w:rPr>
          <w:rFonts w:ascii="Times New Roman" w:hAnsi="Times New Roman" w:cs="Times New Roman"/>
          <w:lang w:eastAsia="en-IN"/>
        </w:rPr>
      </w:pPr>
      <w:r>
        <w:rPr>
          <w:rFonts w:ascii="Times New Roman" w:hAnsi="Times New Roman" w:cs="Times New Roman"/>
          <w:kern w:val="0"/>
          <w:lang w:eastAsia="en-IN"/>
        </w:rPr>
        <w:t xml:space="preserve">Overall, this study concludes that HRM and IHRM must find a balance between employing technology, ethics, inclusivity, and adaptability </w:t>
      </w:r>
      <w:proofErr w:type="gramStart"/>
      <w:r>
        <w:rPr>
          <w:rFonts w:ascii="Times New Roman" w:hAnsi="Times New Roman" w:cs="Times New Roman"/>
          <w:kern w:val="0"/>
          <w:lang w:eastAsia="en-IN"/>
        </w:rPr>
        <w:t>in order to</w:t>
      </w:r>
      <w:proofErr w:type="gramEnd"/>
      <w:r>
        <w:rPr>
          <w:rFonts w:ascii="Times New Roman" w:hAnsi="Times New Roman" w:cs="Times New Roman"/>
          <w:kern w:val="0"/>
          <w:lang w:eastAsia="en-IN"/>
        </w:rPr>
        <w:t xml:space="preserve"> maintain competitiveness in this changing world. By applying such frameworks as socio-technical systems, institutional theory and human capital theory, organisations can create resilient and future-ready workforces. Reflection on personal development helps me to see that digital literacy, cultural intelligence, and leadership agility are important. Embracing continuous learning and ethical innovation will characterise employability and effective HR leadership in the changing global landscape.</w:t>
      </w:r>
      <w:r>
        <w:rPr>
          <w:rFonts w:ascii="Times New Roman" w:hAnsi="Times New Roman" w:cs="Times New Roman"/>
          <w:kern w:val="0"/>
          <w:lang w:eastAsia="en-IN"/>
        </w:rPr>
        <w:br w:type="page"/>
      </w:r>
    </w:p>
    <w:p w14:paraId="5C4469DE" w14:textId="77777777" w:rsidR="008C1CA0" w:rsidRDefault="00157A71">
      <w:pPr>
        <w:pStyle w:val="Heading1"/>
        <w:spacing w:before="240" w:beforeAutospacing="0"/>
      </w:pPr>
      <w:bookmarkStart w:id="23" w:name="_Toc213799594"/>
      <w:r>
        <w:lastRenderedPageBreak/>
        <w:t>References</w:t>
      </w:r>
      <w:bookmarkEnd w:id="23"/>
      <w:r>
        <w:t xml:space="preserve"> </w:t>
      </w:r>
    </w:p>
    <w:p w14:paraId="5C4469DF"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Armstrong, M. and Taylor, S. (2020) </w:t>
      </w:r>
      <w:r>
        <w:rPr>
          <w:rFonts w:ascii="Times New Roman" w:hAnsi="Times New Roman" w:cs="Times New Roman"/>
          <w:i/>
          <w:iCs/>
        </w:rPr>
        <w:t>Armstrong’s Handbook of Human Resource Management Practice</w:t>
      </w:r>
      <w:r>
        <w:rPr>
          <w:rFonts w:ascii="Times New Roman" w:hAnsi="Times New Roman" w:cs="Times New Roman"/>
        </w:rPr>
        <w:t xml:space="preserve">. 15th </w:t>
      </w:r>
      <w:proofErr w:type="spellStart"/>
      <w:r>
        <w:rPr>
          <w:rFonts w:ascii="Times New Roman" w:hAnsi="Times New Roman" w:cs="Times New Roman"/>
        </w:rPr>
        <w:t>edn</w:t>
      </w:r>
      <w:proofErr w:type="spellEnd"/>
      <w:r>
        <w:rPr>
          <w:rFonts w:ascii="Times New Roman" w:hAnsi="Times New Roman" w:cs="Times New Roman"/>
        </w:rPr>
        <w:t>. London: Kogan Page.</w:t>
      </w:r>
    </w:p>
    <w:p w14:paraId="5C4469E0" w14:textId="77777777" w:rsidR="008C1CA0" w:rsidRDefault="00157A71">
      <w:pPr>
        <w:spacing w:before="240" w:line="360" w:lineRule="auto"/>
        <w:jc w:val="both"/>
        <w:rPr>
          <w:rFonts w:ascii="Times New Roman" w:hAnsi="Times New Roman" w:cs="Times New Roman"/>
        </w:rPr>
      </w:pPr>
      <w:proofErr w:type="spellStart"/>
      <w:r>
        <w:rPr>
          <w:rFonts w:ascii="Times New Roman" w:hAnsi="Times New Roman" w:cs="Times New Roman"/>
        </w:rPr>
        <w:t>Bositkhanova</w:t>
      </w:r>
      <w:proofErr w:type="spellEnd"/>
      <w:r>
        <w:rPr>
          <w:rFonts w:ascii="Times New Roman" w:hAnsi="Times New Roman" w:cs="Times New Roman"/>
        </w:rPr>
        <w:t xml:space="preserve">, N. and </w:t>
      </w:r>
      <w:proofErr w:type="spellStart"/>
      <w:r>
        <w:rPr>
          <w:rFonts w:ascii="Times New Roman" w:hAnsi="Times New Roman" w:cs="Times New Roman"/>
        </w:rPr>
        <w:t>Dadaboyev</w:t>
      </w:r>
      <w:proofErr w:type="spellEnd"/>
      <w:r>
        <w:rPr>
          <w:rFonts w:ascii="Times New Roman" w:hAnsi="Times New Roman" w:cs="Times New Roman"/>
        </w:rPr>
        <w:t>, S.M.U. (2025). Revolutionizing workforce planning: the strategic role of AI in HR strategy. </w:t>
      </w:r>
      <w:r>
        <w:rPr>
          <w:rFonts w:ascii="Times New Roman" w:hAnsi="Times New Roman" w:cs="Times New Roman"/>
          <w:i/>
          <w:iCs/>
        </w:rPr>
        <w:t>Discover Global Society</w:t>
      </w:r>
      <w:r>
        <w:rPr>
          <w:rFonts w:ascii="Times New Roman" w:hAnsi="Times New Roman" w:cs="Times New Roman"/>
        </w:rPr>
        <w:t>, </w:t>
      </w:r>
      <w:r>
        <w:rPr>
          <w:rFonts w:ascii="Times New Roman" w:hAnsi="Times New Roman" w:cs="Times New Roman"/>
          <w:i/>
          <w:iCs/>
        </w:rPr>
        <w:t>3</w:t>
      </w:r>
      <w:r>
        <w:rPr>
          <w:rFonts w:ascii="Times New Roman" w:hAnsi="Times New Roman" w:cs="Times New Roman"/>
        </w:rPr>
        <w:t>(1), p.100.</w:t>
      </w:r>
    </w:p>
    <w:p w14:paraId="5C4469E1"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Buckingham, N. (2025).</w:t>
      </w:r>
      <w:r>
        <w:rPr>
          <w:rFonts w:ascii="Times New Roman" w:hAnsi="Times New Roman" w:cs="Times New Roman"/>
          <w:i/>
        </w:rPr>
        <w:t xml:space="preserve"> NHS workforce in a nutshell</w:t>
      </w:r>
      <w:r>
        <w:rPr>
          <w:rFonts w:ascii="Times New Roman" w:hAnsi="Times New Roman" w:cs="Times New Roman"/>
        </w:rPr>
        <w:t>. Available at: https://www.kingsfund.org.uk/insight-and-analysis/data-and-charts/nhs-workforce-nutshell#:~:text=How%20many%20vacancies%20are%20there,in%20the%20NHS [Accessed on 9</w:t>
      </w:r>
      <w:r>
        <w:rPr>
          <w:rFonts w:ascii="Times New Roman" w:hAnsi="Times New Roman" w:cs="Times New Roman"/>
          <w:vertAlign w:val="superscript"/>
        </w:rPr>
        <w:t>th</w:t>
      </w:r>
      <w:r>
        <w:rPr>
          <w:rFonts w:ascii="Times New Roman" w:hAnsi="Times New Roman" w:cs="Times New Roman"/>
        </w:rPr>
        <w:t xml:space="preserve"> November 2024]</w:t>
      </w:r>
    </w:p>
    <w:p w14:paraId="5C4469E2"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Chen, Z. (2023). Ethics and discrimination in artificial intelligence-enabled recruitment practices. </w:t>
      </w:r>
      <w:r>
        <w:rPr>
          <w:rFonts w:ascii="Times New Roman" w:hAnsi="Times New Roman" w:cs="Times New Roman"/>
          <w:i/>
          <w:iCs/>
        </w:rPr>
        <w:t>Humanities and social sciences communications</w:t>
      </w:r>
      <w:r>
        <w:rPr>
          <w:rFonts w:ascii="Times New Roman" w:hAnsi="Times New Roman" w:cs="Times New Roman"/>
        </w:rPr>
        <w:t>, </w:t>
      </w:r>
      <w:r>
        <w:rPr>
          <w:rFonts w:ascii="Times New Roman" w:hAnsi="Times New Roman" w:cs="Times New Roman"/>
          <w:i/>
          <w:iCs/>
        </w:rPr>
        <w:t>10</w:t>
      </w:r>
      <w:r>
        <w:rPr>
          <w:rFonts w:ascii="Times New Roman" w:hAnsi="Times New Roman" w:cs="Times New Roman"/>
        </w:rPr>
        <w:t>(1), pp.1-12.</w:t>
      </w:r>
    </w:p>
    <w:p w14:paraId="5C4469E3"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Cox, T. (2001). </w:t>
      </w:r>
      <w:r>
        <w:rPr>
          <w:rFonts w:ascii="Times New Roman" w:hAnsi="Times New Roman" w:cs="Times New Roman"/>
          <w:i/>
          <w:iCs/>
        </w:rPr>
        <w:t>Creating the Multicultural Organization: A Strategy for Capturing the Power of Diversity</w:t>
      </w:r>
      <w:r>
        <w:rPr>
          <w:rFonts w:ascii="Times New Roman" w:hAnsi="Times New Roman" w:cs="Times New Roman"/>
        </w:rPr>
        <w:t>. San Francisco: Jossey-Bass.</w:t>
      </w:r>
    </w:p>
    <w:p w14:paraId="5C4469E4"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Dessler, G. (2020) </w:t>
      </w:r>
      <w:r>
        <w:rPr>
          <w:rFonts w:ascii="Times New Roman" w:hAnsi="Times New Roman" w:cs="Times New Roman"/>
          <w:i/>
          <w:iCs/>
        </w:rPr>
        <w:t>Human Resource Management</w:t>
      </w:r>
      <w:r>
        <w:rPr>
          <w:rFonts w:ascii="Times New Roman" w:hAnsi="Times New Roman" w:cs="Times New Roman"/>
        </w:rPr>
        <w:t xml:space="preserve">. 16th </w:t>
      </w:r>
      <w:proofErr w:type="spellStart"/>
      <w:r>
        <w:rPr>
          <w:rFonts w:ascii="Times New Roman" w:hAnsi="Times New Roman" w:cs="Times New Roman"/>
        </w:rPr>
        <w:t>edn</w:t>
      </w:r>
      <w:proofErr w:type="spellEnd"/>
      <w:r>
        <w:rPr>
          <w:rFonts w:ascii="Times New Roman" w:hAnsi="Times New Roman" w:cs="Times New Roman"/>
        </w:rPr>
        <w:t>. Harlow: Pearson Education.</w:t>
      </w:r>
    </w:p>
    <w:p w14:paraId="5C4469E5" w14:textId="77777777" w:rsidR="008C1CA0" w:rsidRDefault="00157A71">
      <w:pPr>
        <w:spacing w:before="240" w:line="360" w:lineRule="auto"/>
        <w:jc w:val="both"/>
        <w:rPr>
          <w:rFonts w:ascii="Times New Roman" w:hAnsi="Times New Roman" w:cs="Times New Roman"/>
        </w:rPr>
      </w:pPr>
      <w:proofErr w:type="spellStart"/>
      <w:r>
        <w:rPr>
          <w:rFonts w:ascii="Times New Roman" w:hAnsi="Times New Roman" w:cs="Times New Roman"/>
        </w:rPr>
        <w:t>Ekuma</w:t>
      </w:r>
      <w:proofErr w:type="spellEnd"/>
      <w:r>
        <w:rPr>
          <w:rFonts w:ascii="Times New Roman" w:hAnsi="Times New Roman" w:cs="Times New Roman"/>
        </w:rPr>
        <w:t>, K. (2024). Artificial intelligence and automation in human resource development: A systematic review. </w:t>
      </w:r>
      <w:r>
        <w:rPr>
          <w:rFonts w:ascii="Times New Roman" w:hAnsi="Times New Roman" w:cs="Times New Roman"/>
          <w:i/>
          <w:iCs/>
        </w:rPr>
        <w:t>Human Resource Development Review</w:t>
      </w:r>
      <w:r>
        <w:rPr>
          <w:rFonts w:ascii="Times New Roman" w:hAnsi="Times New Roman" w:cs="Times New Roman"/>
        </w:rPr>
        <w:t>, </w:t>
      </w:r>
      <w:r>
        <w:rPr>
          <w:rFonts w:ascii="Times New Roman" w:hAnsi="Times New Roman" w:cs="Times New Roman"/>
          <w:i/>
          <w:iCs/>
        </w:rPr>
        <w:t>23</w:t>
      </w:r>
      <w:r>
        <w:rPr>
          <w:rFonts w:ascii="Times New Roman" w:hAnsi="Times New Roman" w:cs="Times New Roman"/>
        </w:rPr>
        <w:t>(2), pp.199-229.</w:t>
      </w:r>
    </w:p>
    <w:p w14:paraId="5C4469E6"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Emma, L. (2024). The Ethical Implications of Artificial Intelligence: A Deep Dive into Bias, Fairness, and Transparency. </w:t>
      </w:r>
      <w:r>
        <w:rPr>
          <w:rFonts w:ascii="Times New Roman" w:hAnsi="Times New Roman" w:cs="Times New Roman"/>
          <w:i/>
          <w:iCs/>
        </w:rPr>
        <w:t xml:space="preserve">Retrieved from Emma, </w:t>
      </w:r>
      <w:proofErr w:type="gramStart"/>
      <w:r>
        <w:rPr>
          <w:rFonts w:ascii="Times New Roman" w:hAnsi="Times New Roman" w:cs="Times New Roman"/>
          <w:i/>
          <w:iCs/>
        </w:rPr>
        <w:t>L.(</w:t>
      </w:r>
      <w:proofErr w:type="gramEnd"/>
      <w:r>
        <w:rPr>
          <w:rFonts w:ascii="Times New Roman" w:hAnsi="Times New Roman" w:cs="Times New Roman"/>
          <w:i/>
          <w:iCs/>
        </w:rPr>
        <w:t>2024). The Ethical Implications of Artificial Intelligence: A Deep Dive into Bias, Fairness, and Transparency</w:t>
      </w:r>
      <w:r>
        <w:rPr>
          <w:rFonts w:ascii="Times New Roman" w:hAnsi="Times New Roman" w:cs="Times New Roman"/>
        </w:rPr>
        <w:t>.</w:t>
      </w:r>
    </w:p>
    <w:p w14:paraId="5C4469E7"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Fenwick, A., Molnar, G., and Frangos, P. (2024). Revisiting the role of HR in the age of AI: bringing humans and machines closer together in the workplace. </w:t>
      </w:r>
      <w:r>
        <w:rPr>
          <w:rFonts w:ascii="Times New Roman" w:hAnsi="Times New Roman" w:cs="Times New Roman"/>
          <w:i/>
          <w:iCs/>
        </w:rPr>
        <w:t>Frontiers in artificial intelligence</w:t>
      </w:r>
      <w:r>
        <w:rPr>
          <w:rFonts w:ascii="Times New Roman" w:hAnsi="Times New Roman" w:cs="Times New Roman"/>
        </w:rPr>
        <w:t>, </w:t>
      </w:r>
      <w:r>
        <w:rPr>
          <w:rFonts w:ascii="Times New Roman" w:hAnsi="Times New Roman" w:cs="Times New Roman"/>
          <w:i/>
          <w:iCs/>
        </w:rPr>
        <w:t>6</w:t>
      </w:r>
      <w:r>
        <w:rPr>
          <w:rFonts w:ascii="Times New Roman" w:hAnsi="Times New Roman" w:cs="Times New Roman"/>
        </w:rPr>
        <w:t>, p.1272823.</w:t>
      </w:r>
    </w:p>
    <w:p w14:paraId="5C4469E8"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Gunda, V. and Muzira, J. (2025). Leveraging Predictive Analytics for Workforce Planning. </w:t>
      </w:r>
      <w:r>
        <w:rPr>
          <w:rFonts w:ascii="Times New Roman" w:hAnsi="Times New Roman" w:cs="Times New Roman"/>
          <w:i/>
          <w:iCs/>
        </w:rPr>
        <w:t>Succession Planning, and Organizational Development</w:t>
      </w:r>
      <w:r>
        <w:rPr>
          <w:rFonts w:ascii="Times New Roman" w:hAnsi="Times New Roman" w:cs="Times New Roman"/>
        </w:rPr>
        <w:t>, </w:t>
      </w:r>
      <w:r>
        <w:rPr>
          <w:rFonts w:ascii="Times New Roman" w:hAnsi="Times New Roman" w:cs="Times New Roman"/>
          <w:i/>
          <w:iCs/>
        </w:rPr>
        <w:t>8</w:t>
      </w:r>
      <w:r>
        <w:rPr>
          <w:rFonts w:ascii="Times New Roman" w:hAnsi="Times New Roman" w:cs="Times New Roman"/>
        </w:rPr>
        <w:t>, pp.50-54.</w:t>
      </w:r>
    </w:p>
    <w:p w14:paraId="5C4469E9"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Hofstede, G. (2011). </w:t>
      </w:r>
      <w:proofErr w:type="spellStart"/>
      <w:r>
        <w:rPr>
          <w:rFonts w:ascii="Times New Roman" w:hAnsi="Times New Roman" w:cs="Times New Roman"/>
          <w:i/>
          <w:iCs/>
        </w:rPr>
        <w:t>Dimensionalizing</w:t>
      </w:r>
      <w:proofErr w:type="spellEnd"/>
      <w:r>
        <w:rPr>
          <w:rFonts w:ascii="Times New Roman" w:hAnsi="Times New Roman" w:cs="Times New Roman"/>
          <w:i/>
          <w:iCs/>
        </w:rPr>
        <w:t xml:space="preserve"> Cultures: The Hofstede Model in Context</w:t>
      </w:r>
      <w:r>
        <w:rPr>
          <w:rFonts w:ascii="Times New Roman" w:hAnsi="Times New Roman" w:cs="Times New Roman"/>
        </w:rPr>
        <w:t>. Online Readings in Psychology and Culture, 2(1). doi:10.9707/2307-0919.1014.</w:t>
      </w:r>
    </w:p>
    <w:p w14:paraId="5C4469EA"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lastRenderedPageBreak/>
        <w:t xml:space="preserve">Hu, Q. (2023). </w:t>
      </w:r>
      <w:proofErr w:type="gramStart"/>
      <w:r>
        <w:rPr>
          <w:rFonts w:ascii="Times New Roman" w:hAnsi="Times New Roman" w:cs="Times New Roman"/>
        </w:rPr>
        <w:t>Unilever‘</w:t>
      </w:r>
      <w:proofErr w:type="gramEnd"/>
      <w:r>
        <w:rPr>
          <w:rFonts w:ascii="Times New Roman" w:hAnsi="Times New Roman" w:cs="Times New Roman"/>
        </w:rPr>
        <w:t>s Practice on AI-based Recruitment. </w:t>
      </w:r>
      <w:r>
        <w:rPr>
          <w:rFonts w:ascii="Times New Roman" w:hAnsi="Times New Roman" w:cs="Times New Roman"/>
          <w:i/>
          <w:iCs/>
        </w:rPr>
        <w:t>Highlights in Business, Economics and Management</w:t>
      </w:r>
      <w:r>
        <w:rPr>
          <w:rFonts w:ascii="Times New Roman" w:hAnsi="Times New Roman" w:cs="Times New Roman"/>
        </w:rPr>
        <w:t>, </w:t>
      </w:r>
      <w:r>
        <w:rPr>
          <w:rFonts w:ascii="Times New Roman" w:hAnsi="Times New Roman" w:cs="Times New Roman"/>
          <w:i/>
          <w:iCs/>
        </w:rPr>
        <w:t>16</w:t>
      </w:r>
      <w:r>
        <w:rPr>
          <w:rFonts w:ascii="Times New Roman" w:hAnsi="Times New Roman" w:cs="Times New Roman"/>
        </w:rPr>
        <w:t>, pp.256-263.</w:t>
      </w:r>
    </w:p>
    <w:p w14:paraId="5C4469EB"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Kandola, R. and Fullerton, J. (1998) </w:t>
      </w:r>
      <w:r>
        <w:rPr>
          <w:rFonts w:ascii="Times New Roman" w:hAnsi="Times New Roman" w:cs="Times New Roman"/>
          <w:i/>
          <w:iCs/>
        </w:rPr>
        <w:t>Diversity in Action: Managing the Mosaic</w:t>
      </w:r>
      <w:r>
        <w:rPr>
          <w:rFonts w:ascii="Times New Roman" w:hAnsi="Times New Roman" w:cs="Times New Roman"/>
        </w:rPr>
        <w:t xml:space="preserve">. 2nd </w:t>
      </w:r>
      <w:proofErr w:type="spellStart"/>
      <w:r>
        <w:rPr>
          <w:rFonts w:ascii="Times New Roman" w:hAnsi="Times New Roman" w:cs="Times New Roman"/>
        </w:rPr>
        <w:t>edn</w:t>
      </w:r>
      <w:proofErr w:type="spellEnd"/>
      <w:r>
        <w:rPr>
          <w:rFonts w:ascii="Times New Roman" w:hAnsi="Times New Roman" w:cs="Times New Roman"/>
        </w:rPr>
        <w:t>. London: CIPD.</w:t>
      </w:r>
    </w:p>
    <w:p w14:paraId="5C4469EC"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Kirton, G. and Greene, A.M. (2015). </w:t>
      </w:r>
      <w:r>
        <w:rPr>
          <w:rFonts w:ascii="Times New Roman" w:hAnsi="Times New Roman" w:cs="Times New Roman"/>
          <w:i/>
          <w:iCs/>
        </w:rPr>
        <w:t>The Dynamics of Managing Diversity: A Critical Approach</w:t>
      </w:r>
      <w:r>
        <w:rPr>
          <w:rFonts w:ascii="Times New Roman" w:hAnsi="Times New Roman" w:cs="Times New Roman"/>
        </w:rPr>
        <w:t xml:space="preserve">. 4th </w:t>
      </w:r>
      <w:proofErr w:type="spellStart"/>
      <w:r>
        <w:rPr>
          <w:rFonts w:ascii="Times New Roman" w:hAnsi="Times New Roman" w:cs="Times New Roman"/>
        </w:rPr>
        <w:t>edn</w:t>
      </w:r>
      <w:proofErr w:type="spellEnd"/>
      <w:r>
        <w:rPr>
          <w:rFonts w:ascii="Times New Roman" w:hAnsi="Times New Roman" w:cs="Times New Roman"/>
        </w:rPr>
        <w:t>. London: Routledge.</w:t>
      </w:r>
    </w:p>
    <w:p w14:paraId="5C4469ED"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Luy, J., </w:t>
      </w:r>
      <w:proofErr w:type="spellStart"/>
      <w:r>
        <w:rPr>
          <w:rFonts w:ascii="Times New Roman" w:hAnsi="Times New Roman" w:cs="Times New Roman"/>
        </w:rPr>
        <w:t>Hiermann</w:t>
      </w:r>
      <w:proofErr w:type="spellEnd"/>
      <w:r>
        <w:rPr>
          <w:rFonts w:ascii="Times New Roman" w:hAnsi="Times New Roman" w:cs="Times New Roman"/>
        </w:rPr>
        <w:t xml:space="preserve">, G. and Schiffer, M. (2024). Strategic Workforce Planning in Crowdsourced Delivery With&lt;? </w:t>
      </w:r>
      <w:proofErr w:type="spellStart"/>
      <w:r>
        <w:rPr>
          <w:rFonts w:ascii="Times New Roman" w:hAnsi="Times New Roman" w:cs="Times New Roman"/>
        </w:rPr>
        <w:t>pag</w:t>
      </w:r>
      <w:proofErr w:type="spellEnd"/>
      <w:r>
        <w:rPr>
          <w:rFonts w:ascii="Times New Roman" w:hAnsi="Times New Roman" w:cs="Times New Roman"/>
        </w:rPr>
        <w:t>\break?&gt; Hybrid Driver Fleets. </w:t>
      </w:r>
      <w:r>
        <w:rPr>
          <w:rFonts w:ascii="Times New Roman" w:hAnsi="Times New Roman" w:cs="Times New Roman"/>
          <w:i/>
          <w:iCs/>
        </w:rPr>
        <w:t>Production and Operations Management</w:t>
      </w:r>
      <w:r>
        <w:rPr>
          <w:rFonts w:ascii="Times New Roman" w:hAnsi="Times New Roman" w:cs="Times New Roman"/>
        </w:rPr>
        <w:t>, </w:t>
      </w:r>
      <w:r>
        <w:rPr>
          <w:rFonts w:ascii="Times New Roman" w:hAnsi="Times New Roman" w:cs="Times New Roman"/>
          <w:i/>
          <w:iCs/>
        </w:rPr>
        <w:t>33</w:t>
      </w:r>
      <w:r>
        <w:rPr>
          <w:rFonts w:ascii="Times New Roman" w:hAnsi="Times New Roman" w:cs="Times New Roman"/>
        </w:rPr>
        <w:t>(11), pp.2177-2200.</w:t>
      </w:r>
    </w:p>
    <w:p w14:paraId="5C4469EE"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Mahmood, Z. and Baskaran, S. (2021). Leadership and social influence: Assessing the future-ready human skills towards the effectiveness of good governance practices. </w:t>
      </w:r>
      <w:r>
        <w:rPr>
          <w:rFonts w:ascii="Times New Roman" w:hAnsi="Times New Roman" w:cs="Times New Roman"/>
          <w:i/>
          <w:iCs/>
        </w:rPr>
        <w:t xml:space="preserve">Journal of Science, </w:t>
      </w:r>
      <w:proofErr w:type="gramStart"/>
      <w:r>
        <w:rPr>
          <w:rFonts w:ascii="Times New Roman" w:hAnsi="Times New Roman" w:cs="Times New Roman"/>
          <w:i/>
          <w:iCs/>
        </w:rPr>
        <w:t>Technology</w:t>
      </w:r>
      <w:proofErr w:type="gramEnd"/>
      <w:r>
        <w:rPr>
          <w:rFonts w:ascii="Times New Roman" w:hAnsi="Times New Roman" w:cs="Times New Roman"/>
          <w:i/>
          <w:iCs/>
        </w:rPr>
        <w:t xml:space="preserve"> and Innovation Policy</w:t>
      </w:r>
      <w:r>
        <w:rPr>
          <w:rFonts w:ascii="Times New Roman" w:hAnsi="Times New Roman" w:cs="Times New Roman"/>
        </w:rPr>
        <w:t>, </w:t>
      </w:r>
      <w:r>
        <w:rPr>
          <w:rFonts w:ascii="Times New Roman" w:hAnsi="Times New Roman" w:cs="Times New Roman"/>
          <w:i/>
          <w:iCs/>
        </w:rPr>
        <w:t>7</w:t>
      </w:r>
      <w:r>
        <w:rPr>
          <w:rFonts w:ascii="Times New Roman" w:hAnsi="Times New Roman" w:cs="Times New Roman"/>
        </w:rPr>
        <w:t>(2), pp.35-38.</w:t>
      </w:r>
    </w:p>
    <w:p w14:paraId="5C4469EF"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Mwita, K.M. and </w:t>
      </w:r>
      <w:proofErr w:type="spellStart"/>
      <w:r>
        <w:rPr>
          <w:rFonts w:ascii="Times New Roman" w:hAnsi="Times New Roman" w:cs="Times New Roman"/>
        </w:rPr>
        <w:t>Kitole</w:t>
      </w:r>
      <w:proofErr w:type="spellEnd"/>
      <w:r>
        <w:rPr>
          <w:rFonts w:ascii="Times New Roman" w:hAnsi="Times New Roman" w:cs="Times New Roman"/>
        </w:rPr>
        <w:t>, F.A. (2025). Potential benefits and challenges of artificial intelligence in human resource management in public institutions. </w:t>
      </w:r>
      <w:r>
        <w:rPr>
          <w:rFonts w:ascii="Times New Roman" w:hAnsi="Times New Roman" w:cs="Times New Roman"/>
          <w:i/>
          <w:iCs/>
        </w:rPr>
        <w:t>Discover Global Society</w:t>
      </w:r>
      <w:r>
        <w:rPr>
          <w:rFonts w:ascii="Times New Roman" w:hAnsi="Times New Roman" w:cs="Times New Roman"/>
        </w:rPr>
        <w:t>, </w:t>
      </w:r>
      <w:r>
        <w:rPr>
          <w:rFonts w:ascii="Times New Roman" w:hAnsi="Times New Roman" w:cs="Times New Roman"/>
          <w:i/>
          <w:iCs/>
        </w:rPr>
        <w:t>3</w:t>
      </w:r>
      <w:r>
        <w:rPr>
          <w:rFonts w:ascii="Times New Roman" w:hAnsi="Times New Roman" w:cs="Times New Roman"/>
        </w:rPr>
        <w:t>(1), p.35.</w:t>
      </w:r>
    </w:p>
    <w:p w14:paraId="5C4469F0"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Noe, R.A., Hollenbeck, J.R., Gerhart, B., and Wright, P.M. (2017). </w:t>
      </w:r>
      <w:r>
        <w:rPr>
          <w:rFonts w:ascii="Times New Roman" w:hAnsi="Times New Roman" w:cs="Times New Roman"/>
          <w:i/>
          <w:iCs/>
        </w:rPr>
        <w:t>Fundamentals of Human Resource Management</w:t>
      </w:r>
      <w:r>
        <w:rPr>
          <w:rFonts w:ascii="Times New Roman" w:hAnsi="Times New Roman" w:cs="Times New Roman"/>
        </w:rPr>
        <w:t xml:space="preserve">. 7th </w:t>
      </w:r>
      <w:proofErr w:type="spellStart"/>
      <w:r>
        <w:rPr>
          <w:rFonts w:ascii="Times New Roman" w:hAnsi="Times New Roman" w:cs="Times New Roman"/>
        </w:rPr>
        <w:t>edn</w:t>
      </w:r>
      <w:proofErr w:type="spellEnd"/>
      <w:r>
        <w:rPr>
          <w:rFonts w:ascii="Times New Roman" w:hAnsi="Times New Roman" w:cs="Times New Roman"/>
        </w:rPr>
        <w:t>. New York: McGraw-Hill Education.</w:t>
      </w:r>
    </w:p>
    <w:p w14:paraId="5C4469F1" w14:textId="77777777" w:rsidR="008C1CA0" w:rsidRDefault="00157A71">
      <w:pPr>
        <w:spacing w:before="240" w:line="360" w:lineRule="auto"/>
        <w:jc w:val="both"/>
        <w:rPr>
          <w:rFonts w:ascii="Times New Roman" w:hAnsi="Times New Roman" w:cs="Times New Roman"/>
        </w:rPr>
      </w:pPr>
      <w:proofErr w:type="spellStart"/>
      <w:r>
        <w:rPr>
          <w:rFonts w:ascii="Times New Roman" w:hAnsi="Times New Roman" w:cs="Times New Roman"/>
        </w:rPr>
        <w:t>Radanliev</w:t>
      </w:r>
      <w:proofErr w:type="spellEnd"/>
      <w:r>
        <w:rPr>
          <w:rFonts w:ascii="Times New Roman" w:hAnsi="Times New Roman" w:cs="Times New Roman"/>
        </w:rPr>
        <w:t>, P. (2025). AI ethics: Integrating transparency, fairness, and privacy in AI development. </w:t>
      </w:r>
      <w:r>
        <w:rPr>
          <w:rFonts w:ascii="Times New Roman" w:hAnsi="Times New Roman" w:cs="Times New Roman"/>
          <w:i/>
          <w:iCs/>
        </w:rPr>
        <w:t>Applied Artificial Intelligence</w:t>
      </w:r>
      <w:r>
        <w:rPr>
          <w:rFonts w:ascii="Times New Roman" w:hAnsi="Times New Roman" w:cs="Times New Roman"/>
        </w:rPr>
        <w:t>, </w:t>
      </w:r>
      <w:r>
        <w:rPr>
          <w:rFonts w:ascii="Times New Roman" w:hAnsi="Times New Roman" w:cs="Times New Roman"/>
          <w:i/>
          <w:iCs/>
        </w:rPr>
        <w:t>39</w:t>
      </w:r>
      <w:r>
        <w:rPr>
          <w:rFonts w:ascii="Times New Roman" w:hAnsi="Times New Roman" w:cs="Times New Roman"/>
        </w:rPr>
        <w:t>(1), p.2463722.</w:t>
      </w:r>
    </w:p>
    <w:p w14:paraId="5C4469F2"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Reilly, P. and Williams, T. (2016). </w:t>
      </w:r>
      <w:r>
        <w:rPr>
          <w:rFonts w:ascii="Times New Roman" w:hAnsi="Times New Roman" w:cs="Times New Roman"/>
          <w:i/>
          <w:iCs/>
        </w:rPr>
        <w:t>Strategic HR: Building the Capability to Deliver</w:t>
      </w:r>
      <w:r>
        <w:rPr>
          <w:rFonts w:ascii="Times New Roman" w:hAnsi="Times New Roman" w:cs="Times New Roman"/>
        </w:rPr>
        <w:t>. Farnham: Gower Publishing.</w:t>
      </w:r>
    </w:p>
    <w:p w14:paraId="5C4469F3"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Scarpetta, S. (2025).</w:t>
      </w:r>
      <w:r>
        <w:rPr>
          <w:rFonts w:ascii="Times New Roman" w:hAnsi="Times New Roman" w:cs="Times New Roman"/>
          <w:i/>
        </w:rPr>
        <w:t xml:space="preserve"> OECD Employment Outlook 2025</w:t>
      </w:r>
      <w:r>
        <w:rPr>
          <w:rFonts w:ascii="Times New Roman" w:hAnsi="Times New Roman" w:cs="Times New Roman"/>
        </w:rPr>
        <w:t>. Available at: https://www.oecd.org/content/dam/oecd/en/publications/reports/2025/07/oecd-employment-outlook-2025_5345f034/194a947b-en.pdf [Accessed on 9th November 2025]</w:t>
      </w:r>
    </w:p>
    <w:p w14:paraId="5C4469F4" w14:textId="77777777" w:rsidR="008C1CA0" w:rsidRDefault="00157A71">
      <w:pPr>
        <w:spacing w:before="240" w:line="360" w:lineRule="auto"/>
        <w:jc w:val="both"/>
        <w:rPr>
          <w:rFonts w:ascii="Times New Roman" w:hAnsi="Times New Roman" w:cs="Times New Roman"/>
        </w:rPr>
      </w:pPr>
      <w:r>
        <w:rPr>
          <w:rFonts w:ascii="Times New Roman" w:eastAsia="Times New Roman" w:hAnsi="Times New Roman" w:cs="Times New Roman"/>
          <w:kern w:val="0"/>
          <w:lang w:eastAsia="en-IN"/>
          <w14:ligatures w14:val="none"/>
        </w:rPr>
        <w:t xml:space="preserve">Teece, D.J., Pisano, G. and </w:t>
      </w:r>
      <w:proofErr w:type="spellStart"/>
      <w:r>
        <w:rPr>
          <w:rFonts w:ascii="Times New Roman" w:eastAsia="Times New Roman" w:hAnsi="Times New Roman" w:cs="Times New Roman"/>
          <w:kern w:val="0"/>
          <w:lang w:eastAsia="en-IN"/>
          <w14:ligatures w14:val="none"/>
        </w:rPr>
        <w:t>Shuen</w:t>
      </w:r>
      <w:proofErr w:type="spellEnd"/>
      <w:r>
        <w:rPr>
          <w:rFonts w:ascii="Times New Roman" w:eastAsia="Times New Roman" w:hAnsi="Times New Roman" w:cs="Times New Roman"/>
          <w:kern w:val="0"/>
          <w:lang w:eastAsia="en-IN"/>
          <w14:ligatures w14:val="none"/>
        </w:rPr>
        <w:t>, A. (1997). Dynamic capabilities and strategic management. </w:t>
      </w:r>
      <w:r>
        <w:rPr>
          <w:rFonts w:ascii="Times New Roman" w:eastAsia="Times New Roman" w:hAnsi="Times New Roman" w:cs="Times New Roman"/>
          <w:i/>
          <w:iCs/>
          <w:kern w:val="0"/>
          <w:lang w:eastAsia="en-IN"/>
          <w14:ligatures w14:val="none"/>
        </w:rPr>
        <w:t>Strategic management journal</w:t>
      </w:r>
      <w:r>
        <w:rPr>
          <w:rFonts w:ascii="Times New Roman" w:eastAsia="Times New Roman" w:hAnsi="Times New Roman" w:cs="Times New Roman"/>
          <w:kern w:val="0"/>
          <w:lang w:eastAsia="en-IN"/>
          <w14:ligatures w14:val="none"/>
        </w:rPr>
        <w:t>, </w:t>
      </w:r>
      <w:r>
        <w:rPr>
          <w:rFonts w:ascii="Times New Roman" w:eastAsia="Times New Roman" w:hAnsi="Times New Roman" w:cs="Times New Roman"/>
          <w:i/>
          <w:iCs/>
          <w:kern w:val="0"/>
          <w:lang w:eastAsia="en-IN"/>
          <w14:ligatures w14:val="none"/>
        </w:rPr>
        <w:t>18</w:t>
      </w:r>
      <w:r>
        <w:rPr>
          <w:rFonts w:ascii="Times New Roman" w:eastAsia="Times New Roman" w:hAnsi="Times New Roman" w:cs="Times New Roman"/>
          <w:kern w:val="0"/>
          <w:lang w:eastAsia="en-IN"/>
          <w14:ligatures w14:val="none"/>
        </w:rPr>
        <w:t xml:space="preserve">(7), pp.509-533. </w:t>
      </w:r>
      <w:r>
        <w:rPr>
          <w:rFonts w:ascii="Times New Roman" w:eastAsia="Times New Roman" w:hAnsi="Times New Roman" w:cs="Times New Roman"/>
          <w:kern w:val="0"/>
          <w:lang w:eastAsia="en-IN"/>
          <w14:ligatures w14:val="none"/>
        </w:rPr>
        <w:br w:type="page"/>
      </w:r>
    </w:p>
    <w:p w14:paraId="5C4469F5"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lastRenderedPageBreak/>
        <w:t xml:space="preserve">Thomas, D.A. and Ely, R.J. (1996) ‘Making differences matter: A new paradigm for managing diversity’, </w:t>
      </w:r>
      <w:r>
        <w:rPr>
          <w:rFonts w:ascii="Times New Roman" w:hAnsi="Times New Roman" w:cs="Times New Roman"/>
          <w:i/>
          <w:iCs/>
        </w:rPr>
        <w:t>Harvard Business Review</w:t>
      </w:r>
      <w:r>
        <w:rPr>
          <w:rFonts w:ascii="Times New Roman" w:hAnsi="Times New Roman" w:cs="Times New Roman"/>
        </w:rPr>
        <w:t>, 74(5), pp. 79–90.</w:t>
      </w:r>
    </w:p>
    <w:p w14:paraId="5C4469F6"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Who (2025</w:t>
      </w:r>
      <w:proofErr w:type="gramStart"/>
      <w:r>
        <w:rPr>
          <w:rFonts w:ascii="Times New Roman" w:hAnsi="Times New Roman" w:cs="Times New Roman"/>
        </w:rPr>
        <w:t>).</w:t>
      </w:r>
      <w:proofErr w:type="gramEnd"/>
      <w:r>
        <w:rPr>
          <w:rFonts w:ascii="Times New Roman" w:hAnsi="Times New Roman" w:cs="Times New Roman"/>
          <w:i/>
        </w:rPr>
        <w:t xml:space="preserve"> Health workforce</w:t>
      </w:r>
      <w:r>
        <w:rPr>
          <w:rFonts w:ascii="Times New Roman" w:hAnsi="Times New Roman" w:cs="Times New Roman"/>
        </w:rPr>
        <w:t>. Available at: https://www.who.int/health-topics/health-workforce#tab=tab_1 [Accessed on 5</w:t>
      </w:r>
      <w:r>
        <w:rPr>
          <w:rFonts w:ascii="Times New Roman" w:hAnsi="Times New Roman" w:cs="Times New Roman"/>
          <w:vertAlign w:val="superscript"/>
        </w:rPr>
        <w:t>th</w:t>
      </w:r>
      <w:r>
        <w:rPr>
          <w:rFonts w:ascii="Times New Roman" w:hAnsi="Times New Roman" w:cs="Times New Roman"/>
        </w:rPr>
        <w:t xml:space="preserve"> November 2025]</w:t>
      </w:r>
    </w:p>
    <w:p w14:paraId="5C4469F7" w14:textId="77777777" w:rsidR="008C1CA0" w:rsidRDefault="00157A71">
      <w:pPr>
        <w:spacing w:before="240" w:line="360" w:lineRule="auto"/>
        <w:jc w:val="both"/>
        <w:rPr>
          <w:rFonts w:ascii="Times New Roman" w:hAnsi="Times New Roman" w:cs="Times New Roman"/>
        </w:rPr>
      </w:pPr>
      <w:proofErr w:type="spellStart"/>
      <w:r>
        <w:rPr>
          <w:rFonts w:ascii="Times New Roman" w:hAnsi="Times New Roman" w:cs="Times New Roman"/>
        </w:rPr>
        <w:t>Zahidi</w:t>
      </w:r>
      <w:proofErr w:type="spellEnd"/>
      <w:r>
        <w:rPr>
          <w:rFonts w:ascii="Times New Roman" w:hAnsi="Times New Roman" w:cs="Times New Roman"/>
        </w:rPr>
        <w:t>, S. (2025).</w:t>
      </w:r>
      <w:r>
        <w:rPr>
          <w:rFonts w:ascii="Times New Roman" w:hAnsi="Times New Roman" w:cs="Times New Roman"/>
          <w:i/>
        </w:rPr>
        <w:t xml:space="preserve"> Future of Jobs Report</w:t>
      </w:r>
      <w:r>
        <w:rPr>
          <w:rFonts w:ascii="Times New Roman" w:hAnsi="Times New Roman" w:cs="Times New Roman"/>
        </w:rPr>
        <w:t xml:space="preserve">. Available at: </w:t>
      </w:r>
      <w:proofErr w:type="gramStart"/>
      <w:r>
        <w:rPr>
          <w:rFonts w:ascii="Times New Roman" w:hAnsi="Times New Roman" w:cs="Times New Roman"/>
        </w:rPr>
        <w:t>https://www.weforum.org/publications/the-future-of-jobs-report-2025/digest/#:~:text=Technological%20change%2C%20geoeconomic%20fragmentation%2C%20economic,the%202025%20to%202030%20timeframe  [</w:t>
      </w:r>
      <w:proofErr w:type="gramEnd"/>
      <w:r>
        <w:rPr>
          <w:rFonts w:ascii="Times New Roman" w:hAnsi="Times New Roman" w:cs="Times New Roman"/>
        </w:rPr>
        <w:t>Accessed on 5</w:t>
      </w:r>
      <w:r>
        <w:rPr>
          <w:rFonts w:ascii="Times New Roman" w:hAnsi="Times New Roman" w:cs="Times New Roman"/>
          <w:vertAlign w:val="superscript"/>
        </w:rPr>
        <w:t>th</w:t>
      </w:r>
      <w:r>
        <w:rPr>
          <w:rFonts w:ascii="Times New Roman" w:hAnsi="Times New Roman" w:cs="Times New Roman"/>
        </w:rPr>
        <w:t xml:space="preserve"> November 2025]</w:t>
      </w:r>
    </w:p>
    <w:p w14:paraId="5C4469F8" w14:textId="77777777" w:rsidR="008C1CA0" w:rsidRDefault="00157A71">
      <w:pPr>
        <w:spacing w:before="240" w:line="360" w:lineRule="auto"/>
        <w:jc w:val="both"/>
        <w:rPr>
          <w:rFonts w:ascii="Times New Roman" w:hAnsi="Times New Roman" w:cs="Times New Roman"/>
        </w:rPr>
      </w:pPr>
      <w:r>
        <w:rPr>
          <w:rFonts w:ascii="Times New Roman" w:hAnsi="Times New Roman" w:cs="Times New Roman"/>
        </w:rPr>
        <w:t xml:space="preserve">Zahra, Y., </w:t>
      </w:r>
      <w:proofErr w:type="spellStart"/>
      <w:r>
        <w:rPr>
          <w:rFonts w:ascii="Times New Roman" w:hAnsi="Times New Roman" w:cs="Times New Roman"/>
        </w:rPr>
        <w:t>Handoyo</w:t>
      </w:r>
      <w:proofErr w:type="spellEnd"/>
      <w:r>
        <w:rPr>
          <w:rFonts w:ascii="Times New Roman" w:hAnsi="Times New Roman" w:cs="Times New Roman"/>
        </w:rPr>
        <w:t xml:space="preserve">, S. and </w:t>
      </w:r>
      <w:proofErr w:type="spellStart"/>
      <w:r>
        <w:rPr>
          <w:rFonts w:ascii="Times New Roman" w:hAnsi="Times New Roman" w:cs="Times New Roman"/>
        </w:rPr>
        <w:t>Fajrianthi</w:t>
      </w:r>
      <w:proofErr w:type="spellEnd"/>
      <w:r>
        <w:rPr>
          <w:rFonts w:ascii="Times New Roman" w:hAnsi="Times New Roman" w:cs="Times New Roman"/>
        </w:rPr>
        <w:t>, F. (2025). A comprehensive overview of Generation Z in the workplace: Insights from a scoping review. </w:t>
      </w:r>
      <w:r>
        <w:rPr>
          <w:rFonts w:ascii="Times New Roman" w:hAnsi="Times New Roman" w:cs="Times New Roman"/>
          <w:i/>
          <w:iCs/>
        </w:rPr>
        <w:t>SA Journal of Industrial Psychology</w:t>
      </w:r>
      <w:r>
        <w:rPr>
          <w:rFonts w:ascii="Times New Roman" w:hAnsi="Times New Roman" w:cs="Times New Roman"/>
        </w:rPr>
        <w:t>, </w:t>
      </w:r>
      <w:r>
        <w:rPr>
          <w:rFonts w:ascii="Times New Roman" w:hAnsi="Times New Roman" w:cs="Times New Roman"/>
          <w:i/>
          <w:iCs/>
        </w:rPr>
        <w:t>51</w:t>
      </w:r>
      <w:r>
        <w:rPr>
          <w:rFonts w:ascii="Times New Roman" w:hAnsi="Times New Roman" w:cs="Times New Roman"/>
        </w:rPr>
        <w:t>, p.2263.</w:t>
      </w:r>
    </w:p>
    <w:p w14:paraId="5C4469F9" w14:textId="77777777" w:rsidR="008C1CA0" w:rsidRDefault="00157A71">
      <w:pPr>
        <w:pStyle w:val="Heading1"/>
        <w:spacing w:before="240" w:beforeAutospacing="0"/>
      </w:pPr>
      <w:bookmarkStart w:id="24" w:name="_Toc213799595"/>
      <w:r>
        <w:t>Appendices</w:t>
      </w:r>
      <w:bookmarkEnd w:id="24"/>
    </w:p>
    <w:p w14:paraId="5C4469FA" w14:textId="77777777" w:rsidR="008C1CA0" w:rsidRDefault="00157A71">
      <w:pPr>
        <w:pStyle w:val="Heading2"/>
        <w:spacing w:before="240"/>
        <w:rPr>
          <w:lang w:eastAsia="en-IN"/>
        </w:rPr>
      </w:pPr>
      <w:bookmarkStart w:id="25" w:name="_Toc213799596"/>
      <w:r>
        <w:rPr>
          <w:lang w:eastAsia="en-IN"/>
        </w:rPr>
        <w:t>Appendix 1: SMART action plan</w:t>
      </w:r>
      <w:bookmarkEnd w:id="25"/>
    </w:p>
    <w:tbl>
      <w:tblPr>
        <w:tblStyle w:val="MediumShading1-Accent1"/>
        <w:tblW w:w="0" w:type="auto"/>
        <w:jc w:val="center"/>
        <w:tblLook w:val="04A0" w:firstRow="1" w:lastRow="0" w:firstColumn="1" w:lastColumn="0" w:noHBand="0" w:noVBand="1"/>
      </w:tblPr>
      <w:tblGrid>
        <w:gridCol w:w="1906"/>
        <w:gridCol w:w="2068"/>
        <w:gridCol w:w="1427"/>
        <w:gridCol w:w="1906"/>
        <w:gridCol w:w="1935"/>
      </w:tblGrid>
      <w:tr w:rsidR="008C1CA0" w14:paraId="5C446A00" w14:textId="77777777" w:rsidTr="008C1CA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C4469FB" w14:textId="77777777" w:rsidR="008C1CA0" w:rsidRDefault="00157A71">
            <w:pPr>
              <w:spacing w:before="240" w:after="0" w:line="360" w:lineRule="auto"/>
              <w:jc w:val="center"/>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Goal (Specific)</w:t>
            </w:r>
          </w:p>
        </w:tc>
        <w:tc>
          <w:tcPr>
            <w:tcW w:w="0" w:type="auto"/>
          </w:tcPr>
          <w:p w14:paraId="5C4469FC" w14:textId="77777777" w:rsidR="008C1CA0" w:rsidRDefault="00157A71">
            <w:pPr>
              <w:spacing w:before="240" w:after="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Action (Achievable Steps)</w:t>
            </w:r>
          </w:p>
        </w:tc>
        <w:tc>
          <w:tcPr>
            <w:tcW w:w="0" w:type="auto"/>
          </w:tcPr>
          <w:p w14:paraId="5C4469FD" w14:textId="77777777" w:rsidR="008C1CA0" w:rsidRDefault="00157A71">
            <w:pPr>
              <w:spacing w:before="240" w:after="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Timeline (Time-Bound)</w:t>
            </w:r>
          </w:p>
        </w:tc>
        <w:tc>
          <w:tcPr>
            <w:tcW w:w="0" w:type="auto"/>
          </w:tcPr>
          <w:p w14:paraId="5C4469FE" w14:textId="77777777" w:rsidR="008C1CA0" w:rsidRDefault="00157A71">
            <w:pPr>
              <w:spacing w:before="240" w:after="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Measurement of Success (Measurable)</w:t>
            </w:r>
          </w:p>
        </w:tc>
        <w:tc>
          <w:tcPr>
            <w:tcW w:w="0" w:type="auto"/>
          </w:tcPr>
          <w:p w14:paraId="5C4469FF" w14:textId="77777777" w:rsidR="008C1CA0" w:rsidRDefault="00157A71">
            <w:pPr>
              <w:spacing w:before="240" w:after="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Relevance (Why It Matters)</w:t>
            </w:r>
          </w:p>
        </w:tc>
      </w:tr>
      <w:tr w:rsidR="008C1CA0" w14:paraId="5C446A06" w14:textId="77777777" w:rsidTr="008C1CA0">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nil"/>
            </w:tcBorders>
            <w:shd w:val="clear" w:color="auto" w:fill="D0DBF0" w:themeFill="accent1" w:themeFillTint="3F"/>
          </w:tcPr>
          <w:p w14:paraId="5C446A01" w14:textId="77777777" w:rsidR="008C1CA0" w:rsidRDefault="00157A71">
            <w:pPr>
              <w:spacing w:before="240" w:after="0" w:line="360" w:lineRule="auto"/>
              <w:jc w:val="center"/>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Enhance cultural intelligence and leadership.</w:t>
            </w:r>
          </w:p>
        </w:tc>
        <w:tc>
          <w:tcPr>
            <w:tcW w:w="0" w:type="auto"/>
            <w:tcBorders>
              <w:right w:val="nil"/>
            </w:tcBorders>
            <w:shd w:val="clear" w:color="auto" w:fill="D0DBF0" w:themeFill="accent1" w:themeFillTint="3F"/>
          </w:tcPr>
          <w:p w14:paraId="5C446A02"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Enrol in an online course on global leadership and cross-cultural management (e.g., Coursera or LinkedIn Learning).</w:t>
            </w:r>
          </w:p>
        </w:tc>
        <w:tc>
          <w:tcPr>
            <w:tcW w:w="0" w:type="auto"/>
            <w:tcBorders>
              <w:right w:val="nil"/>
            </w:tcBorders>
            <w:shd w:val="clear" w:color="auto" w:fill="D0DBF0" w:themeFill="accent1" w:themeFillTint="3F"/>
          </w:tcPr>
          <w:p w14:paraId="5C446A03"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Within 2 months</w:t>
            </w:r>
          </w:p>
        </w:tc>
        <w:tc>
          <w:tcPr>
            <w:tcW w:w="0" w:type="auto"/>
            <w:tcBorders>
              <w:right w:val="nil"/>
            </w:tcBorders>
            <w:shd w:val="clear" w:color="auto" w:fill="D0DBF0" w:themeFill="accent1" w:themeFillTint="3F"/>
          </w:tcPr>
          <w:p w14:paraId="5C446A04"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Course completed and knowledge applied in upcoming group projects or multicultural interactions.</w:t>
            </w:r>
          </w:p>
        </w:tc>
        <w:tc>
          <w:tcPr>
            <w:tcW w:w="0" w:type="auto"/>
            <w:shd w:val="clear" w:color="auto" w:fill="D0DBF0" w:themeFill="accent1" w:themeFillTint="3F"/>
          </w:tcPr>
          <w:p w14:paraId="5C446A05"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Strengthens ability to lead diverse teams effectively in international contexts.</w:t>
            </w:r>
          </w:p>
        </w:tc>
      </w:tr>
      <w:tr w:rsidR="008C1CA0" w14:paraId="5C446A0C" w14:textId="77777777" w:rsidTr="008C1CA0">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nil"/>
            </w:tcBorders>
          </w:tcPr>
          <w:p w14:paraId="5C446A07" w14:textId="77777777" w:rsidR="008C1CA0" w:rsidRDefault="00157A71">
            <w:pPr>
              <w:spacing w:before="240" w:after="0" w:line="360" w:lineRule="auto"/>
              <w:jc w:val="center"/>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Strengthen self-directed learning discipline.</w:t>
            </w:r>
          </w:p>
        </w:tc>
        <w:tc>
          <w:tcPr>
            <w:tcW w:w="0" w:type="auto"/>
            <w:tcBorders>
              <w:right w:val="nil"/>
            </w:tcBorders>
          </w:tcPr>
          <w:p w14:paraId="5C446A08"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 xml:space="preserve">Maintain a reflective CPD journal linked to ongoing module </w:t>
            </w:r>
            <w:r>
              <w:rPr>
                <w:rFonts w:ascii="Times New Roman" w:eastAsia="Times New Roman" w:hAnsi="Times New Roman" w:cs="Times New Roman"/>
                <w:color w:val="000000" w:themeColor="text1"/>
                <w:kern w:val="0"/>
                <w:lang w:eastAsia="en-IN"/>
                <w14:ligatures w14:val="none"/>
              </w:rPr>
              <w:lastRenderedPageBreak/>
              <w:t>outcomes and personal development goals.</w:t>
            </w:r>
          </w:p>
        </w:tc>
        <w:tc>
          <w:tcPr>
            <w:tcW w:w="0" w:type="auto"/>
            <w:tcBorders>
              <w:right w:val="nil"/>
            </w:tcBorders>
          </w:tcPr>
          <w:p w14:paraId="5C446A09"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lastRenderedPageBreak/>
              <w:t>Continuous (review every 4 weeks)</w:t>
            </w:r>
          </w:p>
        </w:tc>
        <w:tc>
          <w:tcPr>
            <w:tcW w:w="0" w:type="auto"/>
            <w:tcBorders>
              <w:right w:val="nil"/>
            </w:tcBorders>
          </w:tcPr>
          <w:p w14:paraId="5C446A0A"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 xml:space="preserve">Minimum one entry per week; monthly self-assessment and </w:t>
            </w:r>
            <w:r>
              <w:rPr>
                <w:rFonts w:ascii="Times New Roman" w:eastAsia="Times New Roman" w:hAnsi="Times New Roman" w:cs="Times New Roman"/>
                <w:color w:val="000000" w:themeColor="text1"/>
                <w:kern w:val="0"/>
                <w:lang w:eastAsia="en-IN"/>
                <w14:ligatures w14:val="none"/>
              </w:rPr>
              <w:lastRenderedPageBreak/>
              <w:t>mentor feedback.</w:t>
            </w:r>
          </w:p>
        </w:tc>
        <w:tc>
          <w:tcPr>
            <w:tcW w:w="0" w:type="auto"/>
          </w:tcPr>
          <w:p w14:paraId="5C446A0B"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lastRenderedPageBreak/>
              <w:t xml:space="preserve">Builds accountability and consistency in personal </w:t>
            </w:r>
            <w:r>
              <w:rPr>
                <w:rFonts w:ascii="Times New Roman" w:eastAsia="Times New Roman" w:hAnsi="Times New Roman" w:cs="Times New Roman"/>
                <w:color w:val="000000" w:themeColor="text1"/>
                <w:kern w:val="0"/>
                <w:lang w:eastAsia="en-IN"/>
                <w14:ligatures w14:val="none"/>
              </w:rPr>
              <w:lastRenderedPageBreak/>
              <w:t>learning and growth.</w:t>
            </w:r>
          </w:p>
        </w:tc>
      </w:tr>
      <w:tr w:rsidR="008C1CA0" w14:paraId="5C446A12" w14:textId="77777777" w:rsidTr="008C1CA0">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nil"/>
            </w:tcBorders>
            <w:shd w:val="clear" w:color="auto" w:fill="D0DBF0" w:themeFill="accent1" w:themeFillTint="3F"/>
          </w:tcPr>
          <w:p w14:paraId="5C446A0D" w14:textId="77777777" w:rsidR="008C1CA0" w:rsidRDefault="00157A71">
            <w:pPr>
              <w:spacing w:before="240" w:after="0" w:line="360" w:lineRule="auto"/>
              <w:jc w:val="center"/>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lastRenderedPageBreak/>
              <w:t>Build digital and AI literacy.</w:t>
            </w:r>
          </w:p>
        </w:tc>
        <w:tc>
          <w:tcPr>
            <w:tcW w:w="0" w:type="auto"/>
            <w:tcBorders>
              <w:right w:val="nil"/>
            </w:tcBorders>
            <w:shd w:val="clear" w:color="auto" w:fill="D0DBF0" w:themeFill="accent1" w:themeFillTint="3F"/>
          </w:tcPr>
          <w:p w14:paraId="5C446A0E"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Complete a recognised certification in HR analytics or AI ethics (e.g., CIPD Digital HR badge or IBM HR Analytics course).</w:t>
            </w:r>
          </w:p>
        </w:tc>
        <w:tc>
          <w:tcPr>
            <w:tcW w:w="0" w:type="auto"/>
            <w:tcBorders>
              <w:right w:val="nil"/>
            </w:tcBorders>
            <w:shd w:val="clear" w:color="auto" w:fill="D0DBF0" w:themeFill="accent1" w:themeFillTint="3F"/>
          </w:tcPr>
          <w:p w14:paraId="5C446A0F"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Within 6 months</w:t>
            </w:r>
          </w:p>
        </w:tc>
        <w:tc>
          <w:tcPr>
            <w:tcW w:w="0" w:type="auto"/>
            <w:tcBorders>
              <w:right w:val="nil"/>
            </w:tcBorders>
            <w:shd w:val="clear" w:color="auto" w:fill="D0DBF0" w:themeFill="accent1" w:themeFillTint="3F"/>
          </w:tcPr>
          <w:p w14:paraId="5C446A10"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Certification obtained and integration of new tools in academic or project work.</w:t>
            </w:r>
          </w:p>
        </w:tc>
        <w:tc>
          <w:tcPr>
            <w:tcW w:w="0" w:type="auto"/>
            <w:shd w:val="clear" w:color="auto" w:fill="D0DBF0" w:themeFill="accent1" w:themeFillTint="3F"/>
          </w:tcPr>
          <w:p w14:paraId="5C446A11"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Enhances readiness for technology-driven HR roles.</w:t>
            </w:r>
          </w:p>
        </w:tc>
      </w:tr>
      <w:tr w:rsidR="008C1CA0" w14:paraId="5C446A18" w14:textId="77777777" w:rsidTr="008C1CA0">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nil"/>
            </w:tcBorders>
          </w:tcPr>
          <w:p w14:paraId="5C446A13" w14:textId="77777777" w:rsidR="008C1CA0" w:rsidRDefault="00157A71">
            <w:pPr>
              <w:spacing w:before="240" w:after="0" w:line="360" w:lineRule="auto"/>
              <w:jc w:val="center"/>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Improve communication across cultures.</w:t>
            </w:r>
          </w:p>
        </w:tc>
        <w:tc>
          <w:tcPr>
            <w:tcW w:w="0" w:type="auto"/>
            <w:tcBorders>
              <w:right w:val="nil"/>
            </w:tcBorders>
          </w:tcPr>
          <w:p w14:paraId="5C446A14"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Participate in intercultural dialogue or communication workshops hosted by the university or professional networks.</w:t>
            </w:r>
          </w:p>
        </w:tc>
        <w:tc>
          <w:tcPr>
            <w:tcW w:w="0" w:type="auto"/>
            <w:tcBorders>
              <w:right w:val="nil"/>
            </w:tcBorders>
          </w:tcPr>
          <w:p w14:paraId="5C446A15"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Within 3 months</w:t>
            </w:r>
          </w:p>
        </w:tc>
        <w:tc>
          <w:tcPr>
            <w:tcW w:w="0" w:type="auto"/>
            <w:tcBorders>
              <w:right w:val="nil"/>
            </w:tcBorders>
          </w:tcPr>
          <w:p w14:paraId="5C446A16"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Improvement in peer feedback and confidence in group discussions or presentations.</w:t>
            </w:r>
          </w:p>
        </w:tc>
        <w:tc>
          <w:tcPr>
            <w:tcW w:w="0" w:type="auto"/>
          </w:tcPr>
          <w:p w14:paraId="5C446A17"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Increases global communication competence essential for IHRM.</w:t>
            </w:r>
          </w:p>
        </w:tc>
      </w:tr>
      <w:tr w:rsidR="008C1CA0" w14:paraId="5C446A1E" w14:textId="77777777" w:rsidTr="008C1CA0">
        <w:trPr>
          <w:jc w:val="center"/>
        </w:trPr>
        <w:tc>
          <w:tcPr>
            <w:cnfStyle w:val="001000000000" w:firstRow="0" w:lastRow="0" w:firstColumn="1" w:lastColumn="0" w:oddVBand="0" w:evenVBand="0" w:oddHBand="0" w:evenHBand="0" w:firstRowFirstColumn="0" w:firstRowLastColumn="0" w:lastRowFirstColumn="0" w:lastRowLastColumn="0"/>
            <w:tcW w:w="0" w:type="auto"/>
            <w:tcBorders>
              <w:right w:val="nil"/>
            </w:tcBorders>
            <w:shd w:val="clear" w:color="auto" w:fill="D0DBF0" w:themeFill="accent1" w:themeFillTint="3F"/>
          </w:tcPr>
          <w:p w14:paraId="5C446A19" w14:textId="77777777" w:rsidR="008C1CA0" w:rsidRDefault="00157A71">
            <w:pPr>
              <w:spacing w:before="240" w:after="0" w:line="360" w:lineRule="auto"/>
              <w:jc w:val="center"/>
              <w:rPr>
                <w:rFonts w:ascii="Times New Roman" w:eastAsia="Times New Roman" w:hAnsi="Times New Roman" w:cs="Times New Roman"/>
                <w:b w:val="0"/>
                <w:bCs w:val="0"/>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Apply leadership learning in practice.</w:t>
            </w:r>
          </w:p>
        </w:tc>
        <w:tc>
          <w:tcPr>
            <w:tcW w:w="0" w:type="auto"/>
            <w:tcBorders>
              <w:right w:val="nil"/>
            </w:tcBorders>
            <w:shd w:val="clear" w:color="auto" w:fill="D0DBF0" w:themeFill="accent1" w:themeFillTint="3F"/>
          </w:tcPr>
          <w:p w14:paraId="5C446A1A"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 xml:space="preserve">Volunteer to coordinate a </w:t>
            </w:r>
            <w:proofErr w:type="gramStart"/>
            <w:r>
              <w:rPr>
                <w:rFonts w:ascii="Times New Roman" w:eastAsia="Times New Roman" w:hAnsi="Times New Roman" w:cs="Times New Roman"/>
                <w:color w:val="000000" w:themeColor="text1"/>
                <w:kern w:val="0"/>
                <w:lang w:eastAsia="en-IN"/>
                <w14:ligatures w14:val="none"/>
              </w:rPr>
              <w:t>student-led</w:t>
            </w:r>
            <w:proofErr w:type="gramEnd"/>
            <w:r>
              <w:rPr>
                <w:rFonts w:ascii="Times New Roman" w:eastAsia="Times New Roman" w:hAnsi="Times New Roman" w:cs="Times New Roman"/>
                <w:color w:val="000000" w:themeColor="text1"/>
                <w:kern w:val="0"/>
                <w:lang w:eastAsia="en-IN"/>
                <w14:ligatures w14:val="none"/>
              </w:rPr>
              <w:t xml:space="preserve"> HRM or sustainability project, managing task allocation and team performance.</w:t>
            </w:r>
          </w:p>
        </w:tc>
        <w:tc>
          <w:tcPr>
            <w:tcW w:w="0" w:type="auto"/>
            <w:tcBorders>
              <w:right w:val="nil"/>
            </w:tcBorders>
            <w:shd w:val="clear" w:color="auto" w:fill="D0DBF0" w:themeFill="accent1" w:themeFillTint="3F"/>
          </w:tcPr>
          <w:p w14:paraId="5C446A1B"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Immediate – ongoing (next academic term)</w:t>
            </w:r>
          </w:p>
        </w:tc>
        <w:tc>
          <w:tcPr>
            <w:tcW w:w="0" w:type="auto"/>
            <w:tcBorders>
              <w:right w:val="nil"/>
            </w:tcBorders>
            <w:shd w:val="clear" w:color="auto" w:fill="D0DBF0" w:themeFill="accent1" w:themeFillTint="3F"/>
          </w:tcPr>
          <w:p w14:paraId="5C446A1C"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Successful project completion; documented peer and faculty feedback.</w:t>
            </w:r>
          </w:p>
        </w:tc>
        <w:tc>
          <w:tcPr>
            <w:tcW w:w="0" w:type="auto"/>
            <w:shd w:val="clear" w:color="auto" w:fill="D0DBF0" w:themeFill="accent1" w:themeFillTint="3F"/>
          </w:tcPr>
          <w:p w14:paraId="5C446A1D" w14:textId="77777777" w:rsidR="008C1CA0" w:rsidRDefault="00157A71">
            <w:pPr>
              <w:spacing w:before="240" w:after="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IN"/>
                <w14:ligatures w14:val="none"/>
              </w:rPr>
            </w:pPr>
            <w:r>
              <w:rPr>
                <w:rFonts w:ascii="Times New Roman" w:eastAsia="Times New Roman" w:hAnsi="Times New Roman" w:cs="Times New Roman"/>
                <w:color w:val="000000" w:themeColor="text1"/>
                <w:kern w:val="0"/>
                <w:lang w:eastAsia="en-IN"/>
                <w14:ligatures w14:val="none"/>
              </w:rPr>
              <w:t>Provides hands-on leadership experience and strengthens project management skills.</w:t>
            </w:r>
          </w:p>
        </w:tc>
      </w:tr>
    </w:tbl>
    <w:p w14:paraId="5C446A1F" w14:textId="77777777" w:rsidR="008C1CA0" w:rsidRDefault="00157A71">
      <w:pPr>
        <w:spacing w:before="240" w:after="100" w:afterAutospacing="1" w:line="360" w:lineRule="auto"/>
        <w:jc w:val="center"/>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(Self-developed)</w:t>
      </w:r>
    </w:p>
    <w:p w14:paraId="5C446A20" w14:textId="77777777" w:rsidR="008C1CA0" w:rsidRDefault="008C1CA0">
      <w:pPr>
        <w:spacing w:before="240" w:line="360" w:lineRule="auto"/>
      </w:pPr>
    </w:p>
    <w:sectPr w:rsidR="008C1CA0">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2D42D" w14:textId="77777777" w:rsidR="00157A71" w:rsidRDefault="00157A71">
      <w:pPr>
        <w:spacing w:line="240" w:lineRule="auto"/>
      </w:pPr>
      <w:r>
        <w:separator/>
      </w:r>
    </w:p>
  </w:endnote>
  <w:endnote w:type="continuationSeparator" w:id="0">
    <w:p w14:paraId="2EE4AF51" w14:textId="77777777" w:rsidR="00157A71" w:rsidRDefault="00157A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618726"/>
      <w:docPartObj>
        <w:docPartGallery w:val="AutoText"/>
      </w:docPartObj>
    </w:sdtPr>
    <w:sdtEndPr/>
    <w:sdtContent>
      <w:p w14:paraId="5C446A2B" w14:textId="77777777" w:rsidR="008C1CA0" w:rsidRDefault="00157A71">
        <w:pPr>
          <w:pStyle w:val="Footer"/>
          <w:jc w:val="right"/>
        </w:pPr>
        <w:r>
          <w:fldChar w:fldCharType="begin"/>
        </w:r>
        <w:r>
          <w:instrText xml:space="preserve"> PAGE   \* MERGEFORMAT </w:instrText>
        </w:r>
        <w:r>
          <w:fldChar w:fldCharType="separate"/>
        </w:r>
        <w:r>
          <w:t>4</w:t>
        </w:r>
        <w:r>
          <w:fldChar w:fldCharType="end"/>
        </w:r>
      </w:p>
    </w:sdtContent>
  </w:sdt>
  <w:p w14:paraId="5C446A2C" w14:textId="77777777" w:rsidR="008C1CA0" w:rsidRDefault="008C1C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E09C8" w14:textId="77777777" w:rsidR="00157A71" w:rsidRDefault="00157A71">
      <w:pPr>
        <w:spacing w:after="0"/>
      </w:pPr>
      <w:r>
        <w:separator/>
      </w:r>
    </w:p>
  </w:footnote>
  <w:footnote w:type="continuationSeparator" w:id="0">
    <w:p w14:paraId="6FFBF25D" w14:textId="77777777" w:rsidR="00157A71" w:rsidRDefault="00157A7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D4286"/>
    <w:rsid w:val="00015639"/>
    <w:rsid w:val="00051910"/>
    <w:rsid w:val="0007738A"/>
    <w:rsid w:val="000B4524"/>
    <w:rsid w:val="000D1AB6"/>
    <w:rsid w:val="000D79A2"/>
    <w:rsid w:val="00112A84"/>
    <w:rsid w:val="00141D7C"/>
    <w:rsid w:val="00153E64"/>
    <w:rsid w:val="00154921"/>
    <w:rsid w:val="00157A71"/>
    <w:rsid w:val="0016792B"/>
    <w:rsid w:val="001C671B"/>
    <w:rsid w:val="001C7377"/>
    <w:rsid w:val="001D7212"/>
    <w:rsid w:val="001E037B"/>
    <w:rsid w:val="001F66B6"/>
    <w:rsid w:val="0020230A"/>
    <w:rsid w:val="00256C8C"/>
    <w:rsid w:val="00274D0D"/>
    <w:rsid w:val="00277A95"/>
    <w:rsid w:val="002819DD"/>
    <w:rsid w:val="002A0C3C"/>
    <w:rsid w:val="002A17C2"/>
    <w:rsid w:val="002B20A2"/>
    <w:rsid w:val="002B23DA"/>
    <w:rsid w:val="002B63C9"/>
    <w:rsid w:val="00307784"/>
    <w:rsid w:val="00311AA3"/>
    <w:rsid w:val="00346C3D"/>
    <w:rsid w:val="00370F55"/>
    <w:rsid w:val="0038673E"/>
    <w:rsid w:val="00390171"/>
    <w:rsid w:val="00390E35"/>
    <w:rsid w:val="003A0CA1"/>
    <w:rsid w:val="003A7358"/>
    <w:rsid w:val="003A75F4"/>
    <w:rsid w:val="003B1672"/>
    <w:rsid w:val="004147DB"/>
    <w:rsid w:val="0043353A"/>
    <w:rsid w:val="00444236"/>
    <w:rsid w:val="0045751C"/>
    <w:rsid w:val="00490C70"/>
    <w:rsid w:val="004A09AC"/>
    <w:rsid w:val="004D2DE5"/>
    <w:rsid w:val="004D2F9E"/>
    <w:rsid w:val="004F7EBD"/>
    <w:rsid w:val="005177BB"/>
    <w:rsid w:val="005362DB"/>
    <w:rsid w:val="005538B2"/>
    <w:rsid w:val="0056558E"/>
    <w:rsid w:val="00573509"/>
    <w:rsid w:val="00592244"/>
    <w:rsid w:val="005B183E"/>
    <w:rsid w:val="005B1E17"/>
    <w:rsid w:val="005F5117"/>
    <w:rsid w:val="005F7F6F"/>
    <w:rsid w:val="00606A50"/>
    <w:rsid w:val="00621D3D"/>
    <w:rsid w:val="0062406C"/>
    <w:rsid w:val="00632EC5"/>
    <w:rsid w:val="00641971"/>
    <w:rsid w:val="00655E23"/>
    <w:rsid w:val="00663382"/>
    <w:rsid w:val="006737E0"/>
    <w:rsid w:val="00706760"/>
    <w:rsid w:val="00721F37"/>
    <w:rsid w:val="007220E6"/>
    <w:rsid w:val="007477C0"/>
    <w:rsid w:val="00761EC9"/>
    <w:rsid w:val="00761F5E"/>
    <w:rsid w:val="007629B1"/>
    <w:rsid w:val="00776058"/>
    <w:rsid w:val="007D1B6D"/>
    <w:rsid w:val="007F1027"/>
    <w:rsid w:val="0081772F"/>
    <w:rsid w:val="00825753"/>
    <w:rsid w:val="00875B52"/>
    <w:rsid w:val="008C1CA0"/>
    <w:rsid w:val="008D6783"/>
    <w:rsid w:val="008F25BF"/>
    <w:rsid w:val="008F4EF2"/>
    <w:rsid w:val="008F72AA"/>
    <w:rsid w:val="009231B8"/>
    <w:rsid w:val="009367C3"/>
    <w:rsid w:val="009657D6"/>
    <w:rsid w:val="009766E9"/>
    <w:rsid w:val="0099106F"/>
    <w:rsid w:val="009C6DFC"/>
    <w:rsid w:val="009D3B2E"/>
    <w:rsid w:val="00AB23C0"/>
    <w:rsid w:val="00AB458B"/>
    <w:rsid w:val="00AB4965"/>
    <w:rsid w:val="00AC2652"/>
    <w:rsid w:val="00B004EE"/>
    <w:rsid w:val="00B14FC6"/>
    <w:rsid w:val="00B17E78"/>
    <w:rsid w:val="00B20DD8"/>
    <w:rsid w:val="00B3210D"/>
    <w:rsid w:val="00B337C6"/>
    <w:rsid w:val="00B533D8"/>
    <w:rsid w:val="00B64DB0"/>
    <w:rsid w:val="00BB2542"/>
    <w:rsid w:val="00BB3A62"/>
    <w:rsid w:val="00BB7FE3"/>
    <w:rsid w:val="00BF2168"/>
    <w:rsid w:val="00C24121"/>
    <w:rsid w:val="00C54AE6"/>
    <w:rsid w:val="00C6562F"/>
    <w:rsid w:val="00C65A3A"/>
    <w:rsid w:val="00CB4FBB"/>
    <w:rsid w:val="00CB609F"/>
    <w:rsid w:val="00CD2879"/>
    <w:rsid w:val="00CD362B"/>
    <w:rsid w:val="00D22B7C"/>
    <w:rsid w:val="00D24111"/>
    <w:rsid w:val="00D93BE4"/>
    <w:rsid w:val="00DA018A"/>
    <w:rsid w:val="00DC15A8"/>
    <w:rsid w:val="00DD019D"/>
    <w:rsid w:val="00DD4286"/>
    <w:rsid w:val="00E008F3"/>
    <w:rsid w:val="00E1514C"/>
    <w:rsid w:val="00E67AA1"/>
    <w:rsid w:val="00EC46D5"/>
    <w:rsid w:val="00EF150A"/>
    <w:rsid w:val="00F61175"/>
    <w:rsid w:val="00F813D3"/>
    <w:rsid w:val="00F858BE"/>
    <w:rsid w:val="00FA0302"/>
    <w:rsid w:val="00FB29A2"/>
    <w:rsid w:val="00FC7163"/>
    <w:rsid w:val="00FE4B94"/>
    <w:rsid w:val="00FF2A8C"/>
    <w:rsid w:val="4AA17CD7"/>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4696E"/>
  <w15:docId w15:val="{4D6CED97-3CBF-452B-8762-F9976CF41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bidi="ar-SA"/>
      <w14:ligatures w14:val="standardContextual"/>
    </w:rPr>
  </w:style>
  <w:style w:type="paragraph" w:styleId="Heading1">
    <w:name w:val="heading 1"/>
    <w:basedOn w:val="Normal"/>
    <w:link w:val="Heading1Char"/>
    <w:uiPriority w:val="9"/>
    <w:qFormat/>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lang w:eastAsia="en-IN"/>
      <w14:ligatures w14:val="none"/>
    </w:rPr>
  </w:style>
  <w:style w:type="paragraph" w:styleId="Heading2">
    <w:name w:val="heading 2"/>
    <w:basedOn w:val="Normal"/>
    <w:next w:val="Normal"/>
    <w:link w:val="Heading2Char"/>
    <w:uiPriority w:val="9"/>
    <w:unhideWhenUsed/>
    <w:qFormat/>
    <w:pPr>
      <w:keepNext/>
      <w:keepLines/>
      <w:spacing w:before="200" w:after="0" w:line="360" w:lineRule="auto"/>
      <w:jc w:val="both"/>
      <w:outlineLvl w:val="1"/>
    </w:pPr>
    <w:rPr>
      <w:rFonts w:ascii="Times New Roman" w:eastAsiaTheme="majorEastAsia" w:hAnsi="Times New Roman" w:cstheme="majorBidi"/>
      <w:b/>
      <w:bCs/>
      <w:color w:val="000000" w:themeColor="text1"/>
      <w:szCs w:val="26"/>
    </w:rPr>
  </w:style>
  <w:style w:type="paragraph" w:styleId="Heading3">
    <w:name w:val="heading 3"/>
    <w:basedOn w:val="Normal"/>
    <w:link w:val="Heading3Char"/>
    <w:uiPriority w:val="9"/>
    <w:qFormat/>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table" w:styleId="MediumShading1-Accent1">
    <w:name w:val="Medium Shading 1 Accent 1"/>
    <w:basedOn w:val="TableNormal"/>
    <w:uiPriority w:val="63"/>
    <w:tblPr>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character" w:customStyle="1" w:styleId="Heading1Char">
    <w:name w:val="Heading 1 Char"/>
    <w:basedOn w:val="DefaultParagraphFont"/>
    <w:link w:val="Heading1"/>
    <w:uiPriority w:val="9"/>
    <w:qFormat/>
    <w:rPr>
      <w:rFonts w:ascii="Times New Roman" w:eastAsia="Times New Roman" w:hAnsi="Times New Roman" w:cs="Times New Roman"/>
      <w:b/>
      <w:bCs/>
      <w:kern w:val="36"/>
      <w:sz w:val="28"/>
      <w:szCs w:val="48"/>
      <w:lang w:eastAsia="en-IN"/>
      <w14:ligatures w14:val="none"/>
    </w:rPr>
  </w:style>
  <w:style w:type="character" w:customStyle="1" w:styleId="Heading3Char">
    <w:name w:val="Heading 3 Char"/>
    <w:basedOn w:val="DefaultParagraphFont"/>
    <w:link w:val="Heading3"/>
    <w:uiPriority w:val="9"/>
    <w:rPr>
      <w:rFonts w:ascii="Times New Roman" w:eastAsia="Times New Roman" w:hAnsi="Times New Roman" w:cs="Times New Roman"/>
      <w:b/>
      <w:bCs/>
      <w:kern w:val="0"/>
      <w:sz w:val="27"/>
      <w:szCs w:val="27"/>
      <w:lang w:eastAsia="en-IN"/>
      <w14:ligatures w14:val="none"/>
    </w:rPr>
  </w:style>
  <w:style w:type="character" w:customStyle="1" w:styleId="ms-1">
    <w:name w:val="ms-1"/>
    <w:basedOn w:val="DefaultParagraphFont"/>
    <w:qFormat/>
  </w:style>
  <w:style w:type="character" w:customStyle="1" w:styleId="max-w-15ch">
    <w:name w:val="max-w-[15ch]"/>
    <w:basedOn w:val="DefaultParagraphFont"/>
    <w:qFormat/>
  </w:style>
  <w:style w:type="character" w:customStyle="1" w:styleId="Heading2Char">
    <w:name w:val="Heading 2 Char"/>
    <w:basedOn w:val="DefaultParagraphFont"/>
    <w:link w:val="Heading2"/>
    <w:uiPriority w:val="9"/>
    <w:qFormat/>
    <w:rPr>
      <w:rFonts w:ascii="Times New Roman" w:eastAsiaTheme="majorEastAsia" w:hAnsi="Times New Roman" w:cstheme="majorBidi"/>
      <w:b/>
      <w:bCs/>
      <w:color w:val="000000" w:themeColor="text1"/>
      <w:szCs w:val="2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semiHidden/>
    <w:unhideWhenUsed/>
    <w:qFormat/>
    <w:pPr>
      <w:keepNext/>
      <w:keepLines/>
      <w:spacing w:before="480" w:beforeAutospacing="0" w:after="0" w:afterAutospacing="0" w:line="276" w:lineRule="auto"/>
      <w:jc w:val="left"/>
      <w:outlineLvl w:val="9"/>
    </w:pPr>
    <w:rPr>
      <w:rFonts w:asciiTheme="majorHAnsi" w:eastAsiaTheme="majorEastAsia" w:hAnsiTheme="majorHAnsi" w:cstheme="majorBidi"/>
      <w:color w:val="2F5496" w:themeColor="accent1" w:themeShade="BF"/>
      <w:kern w:val="0"/>
      <w:szCs w:val="28"/>
      <w:lang w:val="en-US" w:eastAsia="ja-JP"/>
    </w:rPr>
  </w:style>
  <w:style w:type="character" w:customStyle="1" w:styleId="BalloonTextChar">
    <w:name w:val="Balloon Text Char"/>
    <w:basedOn w:val="DefaultParagraphFont"/>
    <w:link w:val="BalloonText"/>
    <w:uiPriority w:val="99"/>
    <w:semiHidden/>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601ED-7D72-4B9F-925F-BE1862181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16</Pages>
  <Words>4160</Words>
  <Characters>23718</Characters>
  <Application>Microsoft Office Word</Application>
  <DocSecurity>0</DocSecurity>
  <Lines>197</Lines>
  <Paragraphs>55</Paragraphs>
  <ScaleCrop>false</ScaleCrop>
  <Company/>
  <LinksUpToDate>false</LinksUpToDate>
  <CharactersWithSpaces>27823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Hevin Kachhadiya</cp:lastModifiedBy>
  <cp:revision>2</cp:revision>
  <dcterms:created xsi:type="dcterms:W3CDTF">2025-11-12T23:26:00Z</dcterms:created>
  <dcterms:modified xsi:type="dcterms:W3CDTF">2025-11-12T23:26:00Z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700ebcf5-aa93-4ffc-8f7b-ad7f8899ea79</vt:lpwstr>
  </property>
  <property fmtid="{D5CDD505-2E9C-101B-9397-08002B2CF9AE}" pid="3" name="KSOProductBuildVer">
    <vt:lpwstr>1033-12.2.0.23155</vt:lpwstr>
  </property>
  <property fmtid="{D5CDD505-2E9C-101B-9397-08002B2CF9AE}" pid="4" name="ICV">
    <vt:lpwstr>600ACEF2923342AF8DC8E753F3BCAE0D_12</vt:lpwstr>
  </property>
</Properties>
</file>