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jc w:val="center"/>
      </w:pPr>
      <w:bookmarkStart w:id="3" w:name="_GoBack"/>
      <w:bookmarkEnd w:id="3"/>
      <w:bookmarkStart w:id="0" w:name="_Toc139546553"/>
      <w:r>
        <w:t>Introduction</w:t>
      </w:r>
      <w:bookmarkEnd w:id="0"/>
    </w:p>
    <w:p>
      <w:pPr>
        <w:spacing w:line="360" w:lineRule="auto"/>
        <w:ind w:firstLine="720"/>
        <w:jc w:val="both"/>
        <w:rPr>
          <w:rFonts w:ascii="Times New Roman" w:hAnsi="Times New Roman" w:cs="Times New Roman"/>
          <w:b/>
          <w:i/>
          <w:sz w:val="24"/>
          <w:szCs w:val="24"/>
        </w:rPr>
      </w:pPr>
      <w:r>
        <w:rPr>
          <w:rFonts w:ascii="Times New Roman" w:hAnsi="Times New Roman" w:cs="Times New Roman"/>
          <w:sz w:val="24"/>
          <w:szCs w:val="24"/>
        </w:rPr>
        <w:t>The homicide rates in UK are increasing significantly in the last decade. The essay will identify the current law that governs homicide cases in England and Wales. In the study, the key issues in the law will also be identified. The study will also highlight the reforms that is proposed by the Law commission. The thesis statement of the study is “</w:t>
      </w:r>
      <w:r>
        <w:rPr>
          <w:rFonts w:ascii="Times New Roman" w:hAnsi="Times New Roman" w:cs="Times New Roman"/>
          <w:b/>
          <w:i/>
          <w:sz w:val="24"/>
          <w:szCs w:val="24"/>
        </w:rPr>
        <w:t xml:space="preserve">'The law governing homicide in England and Wales is a rickety structure set upon shaky foundations. Some of its rules have been unaltered since the seventeenth century, even though it has long been acknowledged that they are in dire need of reform”. </w:t>
      </w:r>
    </w:p>
    <w:p>
      <w:pPr>
        <w:pStyle w:val="2"/>
        <w:jc w:val="center"/>
      </w:pPr>
      <w:bookmarkStart w:id="1" w:name="_Toc139546554"/>
      <w:r>
        <w:t>Discussion</w:t>
      </w:r>
      <w:bookmarkEnd w:id="1"/>
    </w:p>
    <w:p>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The current law that is governing homicide in England and Wales is Homicide Act 1957. The Homicide Act 1957 came into action in the form of partial reform. It was responsible in abolishment of the doctrine in terms of constructive malice. The law lays emphasis on defence of provocation. After the Royal commission on Capital Punishment in 1953 settled, the recommendation from this session was integrated within the Homicide Act 1957. It is because in the case of</w:t>
      </w:r>
      <w:r>
        <w:rPr>
          <w:rFonts w:ascii="Times New Roman" w:hAnsi="Times New Roman" w:cs="Times New Roman"/>
          <w:b/>
          <w:i/>
          <w:sz w:val="24"/>
          <w:szCs w:val="24"/>
        </w:rPr>
        <w:t xml:space="preserve"> Ellis vs R [1955],</w:t>
      </w:r>
      <w:r>
        <w:rPr>
          <w:rFonts w:ascii="Times New Roman" w:hAnsi="Times New Roman" w:cs="Times New Roman"/>
          <w:sz w:val="24"/>
          <w:szCs w:val="24"/>
        </w:rPr>
        <w:t xml:space="preserve"> Ruth was hanged to death even though she had potentially strong defence for diminished responsibility, however, the existing law did not have the provisions for covering such defence to murder charges (</w:t>
      </w:r>
      <w:r>
        <w:rPr>
          <w:rFonts w:ascii="Times New Roman" w:hAnsi="Times New Roman" w:eastAsia="Times New Roman" w:cs="Times New Roman"/>
          <w:iCs/>
          <w:color w:val="000000"/>
          <w:sz w:val="24"/>
          <w:szCs w:val="24"/>
          <w:lang w:val="en-IN" w:eastAsia="en-IN"/>
        </w:rPr>
        <w:t>Campbell, 2018)</w:t>
      </w:r>
      <w:r>
        <w:rPr>
          <w:rFonts w:ascii="Times New Roman" w:hAnsi="Times New Roman" w:cs="Times New Roman"/>
          <w:sz w:val="24"/>
          <w:szCs w:val="24"/>
        </w:rPr>
        <w:t xml:space="preserve">. Furthemore, the Royal Commission emphasised to abolish capital punishment. In an attempt to address such increasing pressure from the Royal Commission and absence of provisions in diminished responsibility pushed the government to introduce Homicide Act 1957. The main responsibility of the Act is to reduce the utilisation of capital punishment. The enactment of Homicide Act 1957 is associated with the reduced number of verdicts that has resulted in the death penalty for murder. In the findings of </w:t>
      </w:r>
      <w:r>
        <w:rPr>
          <w:rFonts w:ascii="Times New Roman" w:hAnsi="Times New Roman" w:cs="Times New Roman"/>
          <w:color w:val="222222"/>
          <w:sz w:val="24"/>
          <w:szCs w:val="24"/>
          <w:shd w:val="clear" w:color="auto" w:fill="FFFFFF"/>
        </w:rPr>
        <w:t>Koessler (1960)</w:t>
      </w:r>
      <w:r>
        <w:rPr>
          <w:rFonts w:ascii="Times New Roman" w:hAnsi="Times New Roman" w:cs="Times New Roman"/>
          <w:sz w:val="24"/>
          <w:szCs w:val="24"/>
        </w:rPr>
        <w:t xml:space="preserve">, it is supported that the adoption of the Homicide Act 1957 has a positive association with the decreased death penalty sentences. Furthermore, </w:t>
      </w:r>
      <w:r>
        <w:rPr>
          <w:rFonts w:ascii="Times New Roman" w:hAnsi="Times New Roman" w:cs="Times New Roman"/>
          <w:color w:val="222222"/>
          <w:sz w:val="24"/>
          <w:szCs w:val="24"/>
          <w:shd w:val="clear" w:color="auto" w:fill="FFFFFF"/>
        </w:rPr>
        <w:t>Egwea</w:t>
      </w:r>
      <w:r>
        <w:rPr>
          <w:rFonts w:ascii="Times New Roman" w:hAnsi="Times New Roman" w:cs="Times New Roman"/>
          <w:sz w:val="24"/>
          <w:szCs w:val="24"/>
        </w:rPr>
        <w:t xml:space="preserve"> (2022) has suggested that the death penalty rates in UK has decreased. Therefore, it is analysed that the enactment of Homicide Act 1957 has a positive effect on the accounts of death penalty verdicts. </w:t>
      </w:r>
    </w:p>
    <w:p>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One of the major sections of the Homicide Act 1957 is the abolition of constructive malice. Section 1 is responsible in rendering the doctrine of constructive malice ineffective, except, where the intention is implicitly based on causing grevious bodily harm. As per the S(1) of Homicide Act 1957, it is stated that “</w:t>
      </w:r>
      <w:r>
        <w:rPr>
          <w:rFonts w:ascii="Times New Roman" w:hAnsi="Times New Roman" w:cs="Times New Roman"/>
          <w:b/>
          <w:i/>
          <w:color w:val="000000"/>
          <w:sz w:val="24"/>
          <w:szCs w:val="24"/>
          <w:shd w:val="clear" w:color="auto" w:fill="FFFFFF"/>
        </w:rPr>
        <w:t>Where a person kills another in the course, the killing shall not amount to murder unless done with the same malice aforethought as is required for a killing to amount to murder when not done in the course or furtherance of another offence</w:t>
      </w:r>
      <w:r>
        <w:rPr>
          <w:rFonts w:ascii="Times New Roman" w:hAnsi="Times New Roman" w:cs="Times New Roman"/>
          <w:color w:val="000000"/>
          <w:sz w:val="24"/>
          <w:szCs w:val="24"/>
          <w:shd w:val="clear" w:color="auto" w:fill="FFFFFF"/>
        </w:rPr>
        <w:t xml:space="preserve"> ” (</w:t>
      </w:r>
      <w:r>
        <w:rPr>
          <w:rFonts w:ascii="Times New Roman" w:hAnsi="Times New Roman" w:cs="Times New Roman"/>
          <w:bCs/>
          <w:color w:val="000000"/>
          <w:sz w:val="24"/>
          <w:szCs w:val="24"/>
        </w:rPr>
        <w:t>Gov, 2023)</w:t>
      </w:r>
      <w:r>
        <w:rPr>
          <w:rFonts w:ascii="Times New Roman" w:hAnsi="Times New Roman" w:cs="Times New Roman"/>
          <w:color w:val="000000"/>
          <w:sz w:val="24"/>
          <w:szCs w:val="24"/>
          <w:shd w:val="clear" w:color="auto" w:fill="FFFFFF"/>
        </w:rPr>
        <w:t xml:space="preserve">. </w:t>
      </w:r>
    </w:p>
    <w:p>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key issues in the Homicide Act 1957 is the partial defences to murder. It is because the partial defences to murder is somewhat compromised by the ambiguous depiction of provocation defence in the section 3 of 1957 as it indicates no limitation for conduct that is capable for provoking a defendant to kill. This implies that the absolutely innocent conduct performed by the deceased can also be raised as a provocative intent by the defence.  Similar observation can be made in the case of </w:t>
      </w:r>
      <w:r>
        <w:rPr>
          <w:rFonts w:ascii="Times New Roman" w:hAnsi="Times New Roman" w:cs="Times New Roman"/>
          <w:b/>
          <w:i/>
          <w:sz w:val="24"/>
          <w:szCs w:val="24"/>
        </w:rPr>
        <w:t>Regina vs Doughty (2006)</w:t>
      </w:r>
      <w:r>
        <w:rPr>
          <w:rFonts w:ascii="Times New Roman" w:hAnsi="Times New Roman" w:cs="Times New Roman"/>
          <w:sz w:val="24"/>
          <w:szCs w:val="24"/>
        </w:rPr>
        <w:t xml:space="preserve"> as the defendant, Regina raised the child’s constant crying as an act of provocation, which drove her to kill the child by strangling her (</w:t>
      </w:r>
      <w:r>
        <w:rPr>
          <w:rFonts w:ascii="Times New Roman" w:hAnsi="Times New Roman" w:cs="Times New Roman"/>
          <w:bCs/>
          <w:color w:val="000000"/>
          <w:sz w:val="24"/>
          <w:szCs w:val="24"/>
        </w:rPr>
        <w:t>Lawresources, 2023)</w:t>
      </w:r>
      <w:r>
        <w:rPr>
          <w:rFonts w:ascii="Times New Roman" w:hAnsi="Times New Roman" w:cs="Times New Roman"/>
          <w:sz w:val="24"/>
          <w:szCs w:val="24"/>
        </w:rPr>
        <w:t xml:space="preserve">. This shows how a completely innocent of conduct of crying was raised as a provocation to kill and illustrates a major gap in the   Homicide Act 1957. Furthermore, this ambigious definition of provocation also opposes the basic cornerstone of defence. It is because it suggest that a defence can never be established by stating that a victim’s behaviour contributed to the loss of temper of defendant, which, in turn, influenced him/her to commit the particular crime. In the findings of Hughes (2023) , it is supported that the implications of the Homicide Act 1957 has been culpable when it comes to defining partial defence to murder due to fallacies in the section 3 of Homicide Act 1957. On the contrary, </w:t>
      </w:r>
      <w:r>
        <w:rPr>
          <w:rFonts w:ascii="Times New Roman" w:hAnsi="Times New Roman" w:cs="Times New Roman"/>
          <w:bCs/>
          <w:color w:val="000000"/>
          <w:sz w:val="24"/>
          <w:szCs w:val="24"/>
        </w:rPr>
        <w:t>Dix</w:t>
      </w:r>
      <w:r>
        <w:rPr>
          <w:rFonts w:ascii="Times New Roman" w:hAnsi="Times New Roman" w:cs="Times New Roman"/>
          <w:sz w:val="24"/>
          <w:szCs w:val="24"/>
        </w:rPr>
        <w:t xml:space="preserve"> (2012) has argued that the Homicide Act 1957 has been influential in reducing crime rates. The previous finding has its own limitation as the researcher has not considered the scope of performing validity and reliability test for the research variables which undermine the quality of the research findings significantly. Therefore, it is analysed that the key issue of partial defences to murder in Homicide Act 1957 is driven by the ambiguous demonstration of provocation of defence in the section 3 of the law. One of the major reasons behind such weakness is the lack of reform. In the works of, it is observed that the wrong verdicts in homicide cases is due to the lack of reforms in the legislation.  Hence, it is observed that the reform of partial defences to murder in Homicide Act 1957 emerges to be a necessity.  </w:t>
      </w:r>
    </w:p>
    <w:p>
      <w:pPr>
        <w:spacing w:line="360" w:lineRule="auto"/>
        <w:ind w:firstLine="720"/>
        <w:jc w:val="both"/>
        <w:rPr>
          <w:rFonts w:ascii="Times New Roman" w:hAnsi="Times New Roman" w:cs="Times New Roman"/>
          <w:b/>
          <w:bCs/>
          <w:sz w:val="24"/>
          <w:szCs w:val="24"/>
          <w:lang w:val="en-IN"/>
        </w:rPr>
      </w:pPr>
      <w:r>
        <w:rPr>
          <w:rFonts w:ascii="Times New Roman" w:hAnsi="Times New Roman" w:cs="Times New Roman"/>
          <w:sz w:val="24"/>
          <w:szCs w:val="24"/>
        </w:rPr>
        <w:t xml:space="preserve">Another key issue that has been observed in the Homicide Act 1957 is the lack of specificity while defining the intent to murder. It is because the express and implied malice, which is described by the section 1 of the law as an intent to murder, are not reliable and results in unjustified imprisonment terms. It is because the implied malice is associated with involuntary manslaughter, which accounts for 11 years in prison whereas express malice is defined by voluntary manslaughter, which accounts for 4 years prison sentence. This difference exists due to the fact that the expressed malice indicate an intent of the individual to incur a bodily damage whereas the implied malice suggest the killing of an individual while performing a felony or depraved negligence to human life. However, this should not be in the case as the punishment should be equal for both the instances since both of these activities results in loss of life irrespective of what their intent was driven by to commit such crime. Similar questions was raised in the case of </w:t>
      </w:r>
      <w:r>
        <w:rPr>
          <w:rFonts w:ascii="Times New Roman" w:hAnsi="Times New Roman" w:cs="Times New Roman"/>
          <w:b/>
          <w:bCs/>
          <w:i/>
          <w:sz w:val="24"/>
          <w:szCs w:val="24"/>
          <w:lang w:val="en-IN"/>
        </w:rPr>
        <w:t>People v. Poddar [1974]</w:t>
      </w:r>
      <w:r>
        <w:rPr>
          <w:rFonts w:ascii="Times New Roman" w:hAnsi="Times New Roman" w:cs="Times New Roman"/>
          <w:b/>
          <w:bCs/>
          <w:sz w:val="24"/>
          <w:szCs w:val="24"/>
          <w:lang w:val="en-IN"/>
        </w:rPr>
        <w:t xml:space="preserve"> </w:t>
      </w:r>
      <w:r>
        <w:rPr>
          <w:rFonts w:ascii="Times New Roman" w:hAnsi="Times New Roman" w:cs="Times New Roman"/>
          <w:bCs/>
          <w:sz w:val="24"/>
          <w:szCs w:val="24"/>
          <w:lang w:val="en-IN"/>
        </w:rPr>
        <w:t>as the defendant appealed that his conduct of murdering Tatiyana was due to implied malice instead of express malice and should be reduced to second degree murder (</w:t>
      </w:r>
      <w:r>
        <w:rPr>
          <w:rFonts w:ascii="Times New Roman" w:hAnsi="Times New Roman" w:cs="Times New Roman"/>
          <w:bCs/>
          <w:color w:val="000000"/>
          <w:sz w:val="24"/>
          <w:szCs w:val="24"/>
        </w:rPr>
        <w:t>Justia, 2023)</w:t>
      </w:r>
      <w:r>
        <w:rPr>
          <w:rFonts w:ascii="Times New Roman" w:hAnsi="Times New Roman" w:cs="Times New Roman"/>
          <w:bCs/>
          <w:sz w:val="24"/>
          <w:szCs w:val="24"/>
          <w:lang w:val="en-IN"/>
        </w:rPr>
        <w:t>. The court accepted the appeal of second-degree murder, reduced prison term and the court verdict, Homicide</w:t>
      </w:r>
      <w:r>
        <w:rPr>
          <w:rFonts w:ascii="Times New Roman" w:hAnsi="Times New Roman" w:cs="Times New Roman"/>
          <w:sz w:val="24"/>
          <w:szCs w:val="24"/>
        </w:rPr>
        <w:t xml:space="preserve"> Act </w:t>
      </w:r>
      <w:r>
        <w:rPr>
          <w:rFonts w:ascii="Times New Roman" w:hAnsi="Times New Roman" w:cs="Times New Roman"/>
          <w:bCs/>
          <w:sz w:val="24"/>
          <w:szCs w:val="24"/>
          <w:lang w:val="en-IN"/>
        </w:rPr>
        <w:t xml:space="preserve">was subjected to controversy. In the findings of </w:t>
      </w:r>
      <w:r>
        <w:rPr>
          <w:rFonts w:ascii="Times New Roman" w:hAnsi="Times New Roman" w:cs="Times New Roman"/>
          <w:sz w:val="24"/>
          <w:szCs w:val="24"/>
        </w:rPr>
        <w:t>Hughes (2023)</w:t>
      </w:r>
      <w:r>
        <w:rPr>
          <w:rFonts w:ascii="Times New Roman" w:hAnsi="Times New Roman" w:cs="Times New Roman"/>
          <w:bCs/>
          <w:sz w:val="24"/>
          <w:szCs w:val="24"/>
          <w:lang w:val="en-IN"/>
        </w:rPr>
        <w:t xml:space="preserve">, it is observed that the </w:t>
      </w:r>
      <w:r>
        <w:rPr>
          <w:rFonts w:ascii="Times New Roman" w:hAnsi="Times New Roman" w:cs="Times New Roman"/>
          <w:sz w:val="24"/>
          <w:szCs w:val="24"/>
        </w:rPr>
        <w:t xml:space="preserve">express and implied malice has been an area of dispute in the </w:t>
      </w:r>
      <w:r>
        <w:rPr>
          <w:rFonts w:ascii="Times New Roman" w:hAnsi="Times New Roman" w:cs="Times New Roman"/>
          <w:bCs/>
          <w:sz w:val="24"/>
          <w:szCs w:val="24"/>
          <w:lang w:val="en-IN"/>
        </w:rPr>
        <w:t>Homicide</w:t>
      </w:r>
      <w:r>
        <w:rPr>
          <w:rFonts w:ascii="Times New Roman" w:hAnsi="Times New Roman" w:cs="Times New Roman"/>
          <w:sz w:val="24"/>
          <w:szCs w:val="24"/>
        </w:rPr>
        <w:t xml:space="preserve"> Act 1957. On the contrary, </w:t>
      </w:r>
      <w:r>
        <w:rPr>
          <w:rFonts w:ascii="Times New Roman" w:hAnsi="Times New Roman" w:cs="Times New Roman"/>
          <w:color w:val="222222"/>
          <w:sz w:val="24"/>
          <w:szCs w:val="24"/>
          <w:shd w:val="clear" w:color="auto" w:fill="FFFFFF"/>
        </w:rPr>
        <w:t>Hossain and Rahi (2018)</w:t>
      </w:r>
      <w:r>
        <w:rPr>
          <w:rFonts w:ascii="Times New Roman" w:hAnsi="Times New Roman" w:cs="Times New Roman"/>
          <w:sz w:val="24"/>
          <w:szCs w:val="24"/>
        </w:rPr>
        <w:t xml:space="preserve"> has opposed that the </w:t>
      </w:r>
      <w:r>
        <w:rPr>
          <w:rFonts w:ascii="Times New Roman" w:hAnsi="Times New Roman" w:cs="Times New Roman"/>
          <w:bCs/>
          <w:sz w:val="24"/>
          <w:szCs w:val="24"/>
          <w:lang w:val="en-IN"/>
        </w:rPr>
        <w:t>Homicide</w:t>
      </w:r>
      <w:r>
        <w:rPr>
          <w:rFonts w:ascii="Times New Roman" w:hAnsi="Times New Roman" w:cs="Times New Roman"/>
          <w:sz w:val="24"/>
          <w:szCs w:val="24"/>
        </w:rPr>
        <w:t xml:space="preserve"> Act 1957 has been influential in addressing the murder case with appropriate deployment of express and implied malice. The previous statement have severe limitations in the aspects of credibility as the researcher have considered a small sample size, which limits the authenticity of the opinion significantly. Therefore, it is analysed that the assumptions of express and implied malice has posed as major weaknesses in the Homicide Act 1957. Hence, it indicates that the Homicide Act 1957 needs extensive reform in terms of defining the intent to murder. </w:t>
      </w:r>
    </w:p>
    <w:p>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One of the major proposals of reform that has been put forward by the Law Commission in an attempt to improve the Homicide Act 1957 is the provision of clear definition to intent of murder and partial defence to murder (Hughes, 2022). It is because the  Homicide Act 1957 focuses on implied and express malice to define the intent to murder which decreases the criminal perception of the committing a murder. Furthermore, Homicide Act 1957 fails to provide concrete explanation for provocative activities while judging murder cases and, thus, have resulted in the submission of the proposal that focuses on describing partial defence to murder. Another proposal of reform that is brought up by the Law commission is the use of ladder principle to define murder, partial murder defence and manslaughter. This principle suggest that particular crimes of homicide and partial murder defence must reside in an offence hierarchy or graduation system. The system should highlight on the extent of mitigation in case of partial defence and extent of seriousness in the case of offence. This initiative is aimed to reduce the coverage and breadth of manslaughter.  </w:t>
      </w:r>
    </w:p>
    <w:p>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The government has accepted the proposal of clear definition to intent of murder. In 2006, the government has accepted a reformation of the clauses that define ial system is vast and application of the new reform in criminal courts in UK might delay the verdict of pending homicide cases. </w:t>
      </w:r>
    </w:p>
    <w:p>
      <w:pPr>
        <w:pStyle w:val="2"/>
        <w:jc w:val="center"/>
      </w:pPr>
      <w:bookmarkStart w:id="2" w:name="_Toc139546555"/>
      <w:r>
        <w:t>Conclusion</w:t>
      </w:r>
      <w:bookmarkEnd w:id="2"/>
    </w:p>
    <w:p>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 xml:space="preserve">From the study, it is concluded that the Homicide Act 1957 is the legislation that is followed for Homicide in England and Wales. The findings of the study indicate that the partial defences to murder and definition of intent to murder are the major weakness of the Homicide Act 1957. The results also illustrate that the extensive reforms for making amendments to the Homicide Act 1957 has been proposed by Law commission. </w:t>
      </w:r>
    </w:p>
    <w:p/>
    <w:sectPr>
      <w:pgSz w:w="11906" w:h="16838"/>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720"/>
  <w:drawingGridVerticalSpacing w:val="156"/>
  <w:displayHorizontalDrawingGridEvery w:val="1"/>
  <w:displayVerticalDrawingGridEvery w:val="1"/>
  <w:noPunctuationKerning w:val="1"/>
  <w:characterSpacingControl w:val="doNotCompress"/>
  <w:footnotePr>
    <w:footnote w:id="0"/>
    <w:footnote w:id="1"/>
  </w:footnotePr>
  <w:endnotePr>
    <w:endnote w:id="0"/>
    <w:endnote w:id="1"/>
  </w:endnotePr>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6913A60"/>
    <w:rsid w:val="3924195C"/>
    <w:rsid w:val="66913A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qFormat/>
    <w:uiPriority w:val="9"/>
    <w:pPr>
      <w:keepNext/>
      <w:keepLines/>
      <w:spacing w:before="240" w:after="0" w:line="360" w:lineRule="auto"/>
      <w:jc w:val="both"/>
      <w:outlineLvl w:val="0"/>
    </w:pPr>
    <w:rPr>
      <w:rFonts w:ascii="Times New Roman" w:hAnsi="Times New Roman" w:eastAsiaTheme="majorEastAsia" w:cstheme="majorBidi"/>
      <w:b/>
      <w:sz w:val="28"/>
      <w:szCs w:val="32"/>
    </w:rPr>
  </w:style>
  <w:style w:type="character" w:default="1" w:styleId="3">
    <w:name w:val="Default Paragraph Font"/>
    <w:semiHidden/>
    <w:qFormat/>
    <w:uiPriority w:val="0"/>
  </w:style>
  <w:style w:type="table" w:default="1" w:styleId="4">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2023-07-07T21:24:00Z</dcterms:created>
  <dc:creator>google1578264061</dc:creator>
  <cp:lastModifiedBy>google1578264061</cp:lastModifiedBy>
  <dcterms:modified xsi:type="dcterms:W3CDTF">2023-07-07T21:31:27Z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2057-11.2.0.11537</vt:lpwstr>
  </property>
  <property fmtid="{D5CDD505-2E9C-101B-9397-08002B2CF9AE}" pid="3" name="ICV">
    <vt:lpwstr>E635DD60A0714370B6462879A4245539</vt:lpwstr>
  </property>
</Properties>
</file>