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7A35848" w14:textId="4334A393" w:rsidR="008F1E07" w:rsidRPr="00AE05EB" w:rsidRDefault="008A18D6" w:rsidP="00AE05EB">
      <w:pPr>
        <w:spacing w:line="360" w:lineRule="auto"/>
        <w:jc w:val="both"/>
        <w:rPr>
          <w:rFonts w:ascii="Times New Roman" w:hAnsi="Times New Roman" w:cs="Times New Roman"/>
          <w:color w:val="000000" w:themeColor="text1"/>
        </w:rPr>
      </w:pPr>
      <w:r w:rsidRPr="00AE05EB">
        <w:rPr>
          <w:rFonts w:ascii="Times New Roman" w:hAnsi="Times New Roman" w:cs="Times New Roman"/>
          <w:color w:val="000000" w:themeColor="text1"/>
        </w:rPr>
        <w:t>The purpose of the article in question is to explore the experiences of bilingual learners, as they engage in learning through the medium of a second or foreign languag</w:t>
      </w:r>
      <w:r w:rsidR="00024C93" w:rsidRPr="00AE05EB">
        <w:rPr>
          <w:rFonts w:ascii="Times New Roman" w:hAnsi="Times New Roman" w:cs="Times New Roman"/>
          <w:color w:val="000000" w:themeColor="text1"/>
        </w:rPr>
        <w:t>e</w:t>
      </w:r>
      <w:r w:rsidRPr="00AE05EB">
        <w:rPr>
          <w:rFonts w:ascii="Times New Roman" w:hAnsi="Times New Roman" w:cs="Times New Roman"/>
          <w:color w:val="000000" w:themeColor="text1"/>
        </w:rPr>
        <w:t xml:space="preserve">, thereby complementing other studies that have focused on the effects of language immersion </w:t>
      </w:r>
      <w:r w:rsidRPr="00634CE2">
        <w:rPr>
          <w:rFonts w:ascii="Times New Roman" w:hAnsi="Times New Roman" w:cs="Times New Roman"/>
          <w:color w:val="000000" w:themeColor="text1"/>
        </w:rPr>
        <w:t>(</w:t>
      </w:r>
      <w:proofErr w:type="spellStart"/>
      <w:r w:rsidRPr="00634CE2">
        <w:rPr>
          <w:rFonts w:ascii="Times New Roman" w:hAnsi="Times New Roman" w:cs="Times New Roman"/>
          <w:color w:val="000000" w:themeColor="text1"/>
        </w:rPr>
        <w:t>Burkhauser</w:t>
      </w:r>
      <w:proofErr w:type="spellEnd"/>
      <w:r w:rsidRPr="00634CE2">
        <w:rPr>
          <w:rFonts w:ascii="Times New Roman" w:hAnsi="Times New Roman" w:cs="Times New Roman"/>
          <w:color w:val="000000" w:themeColor="text1"/>
        </w:rPr>
        <w:t xml:space="preserve"> et al., 2016) or</w:t>
      </w:r>
      <w:r w:rsidRPr="00AE05EB">
        <w:rPr>
          <w:rFonts w:ascii="Times New Roman" w:hAnsi="Times New Roman" w:cs="Times New Roman"/>
          <w:color w:val="000000" w:themeColor="text1"/>
        </w:rPr>
        <w:t xml:space="preserve"> content and language integrated </w:t>
      </w:r>
      <w:r w:rsidRPr="001828C7">
        <w:rPr>
          <w:rFonts w:ascii="Times New Roman" w:hAnsi="Times New Roman" w:cs="Times New Roman"/>
          <w:color w:val="000000" w:themeColor="text1"/>
        </w:rPr>
        <w:t>learning (Fitzpatrick et al., 2018).</w:t>
      </w:r>
      <w:r w:rsidRPr="00AE05EB">
        <w:rPr>
          <w:rFonts w:ascii="Times New Roman" w:hAnsi="Times New Roman" w:cs="Times New Roman"/>
          <w:color w:val="000000" w:themeColor="text1"/>
        </w:rPr>
        <w:t xml:space="preserve"> </w:t>
      </w:r>
      <w:r w:rsidRPr="00AE05EB">
        <w:rPr>
          <w:rFonts w:ascii="Times New Roman" w:hAnsi="Times New Roman" w:cs="Times New Roman"/>
          <w:color w:val="000000" w:themeColor="text1"/>
        </w:rPr>
        <w:t>However, it is emphasised within the article that the central theme in question is not how the students acquire English as a second language, but instead how they develop within their other subject areas, particularly those that are non-language focused subjects, when taught through the medium of English as a second or foreign language</w:t>
      </w:r>
      <w:r w:rsidR="00A81B7F" w:rsidRPr="00AE05EB">
        <w:rPr>
          <w:rFonts w:ascii="Times New Roman" w:hAnsi="Times New Roman" w:cs="Times New Roman"/>
          <w:color w:val="000000" w:themeColor="text1"/>
        </w:rPr>
        <w:t>. Furthermore, there is</w:t>
      </w:r>
      <w:r w:rsidR="008F1E07" w:rsidRPr="00AE05EB">
        <w:rPr>
          <w:rFonts w:ascii="Times New Roman" w:hAnsi="Times New Roman" w:cs="Times New Roman"/>
          <w:color w:val="000000" w:themeColor="text1"/>
        </w:rPr>
        <w:t xml:space="preserve"> an additional focus on the effect </w:t>
      </w:r>
      <w:r w:rsidR="006675F2">
        <w:rPr>
          <w:rFonts w:ascii="Times New Roman" w:hAnsi="Times New Roman" w:cs="Times New Roman"/>
          <w:color w:val="000000" w:themeColor="text1"/>
        </w:rPr>
        <w:t xml:space="preserve">that </w:t>
      </w:r>
      <w:r w:rsidR="008F1E07" w:rsidRPr="00AE05EB">
        <w:rPr>
          <w:rFonts w:ascii="Times New Roman" w:hAnsi="Times New Roman" w:cs="Times New Roman"/>
          <w:color w:val="000000" w:themeColor="text1"/>
        </w:rPr>
        <w:t xml:space="preserve">this may have on learners’ cognitive activity. </w:t>
      </w:r>
    </w:p>
    <w:p w14:paraId="305513DD" w14:textId="77777777" w:rsidR="008F1E07" w:rsidRPr="00AE05EB" w:rsidRDefault="008F1E07" w:rsidP="00AE05EB">
      <w:pPr>
        <w:spacing w:line="360" w:lineRule="auto"/>
        <w:jc w:val="both"/>
        <w:rPr>
          <w:rFonts w:ascii="Times New Roman" w:hAnsi="Times New Roman" w:cs="Times New Roman"/>
          <w:color w:val="000000" w:themeColor="text1"/>
        </w:rPr>
      </w:pPr>
    </w:p>
    <w:p w14:paraId="7D85540B" w14:textId="467E2419" w:rsidR="00F960EF" w:rsidRDefault="008F1E07" w:rsidP="00F960EF">
      <w:pPr>
        <w:spacing w:line="360" w:lineRule="auto"/>
        <w:jc w:val="both"/>
        <w:rPr>
          <w:rFonts w:ascii="Times New Roman" w:hAnsi="Times New Roman" w:cs="Times New Roman"/>
          <w:color w:val="000000" w:themeColor="text1"/>
        </w:rPr>
      </w:pPr>
      <w:r w:rsidRPr="00AE05EB">
        <w:rPr>
          <w:rFonts w:ascii="Times New Roman" w:hAnsi="Times New Roman" w:cs="Times New Roman"/>
          <w:color w:val="000000" w:themeColor="text1"/>
        </w:rPr>
        <w:t xml:space="preserve">The research for this article was primarily conducted within Philippine schools, with the </w:t>
      </w:r>
      <w:r w:rsidR="001B59CB" w:rsidRPr="00AE05EB">
        <w:rPr>
          <w:rFonts w:ascii="Times New Roman" w:hAnsi="Times New Roman" w:cs="Times New Roman"/>
          <w:color w:val="000000" w:themeColor="text1"/>
        </w:rPr>
        <w:t xml:space="preserve">main </w:t>
      </w:r>
      <w:r w:rsidRPr="00AE05EB">
        <w:rPr>
          <w:rFonts w:ascii="Times New Roman" w:hAnsi="Times New Roman" w:cs="Times New Roman"/>
          <w:color w:val="000000" w:themeColor="text1"/>
        </w:rPr>
        <w:t xml:space="preserve">focus </w:t>
      </w:r>
      <w:r w:rsidR="006675F2">
        <w:rPr>
          <w:rFonts w:ascii="Times New Roman" w:hAnsi="Times New Roman" w:cs="Times New Roman"/>
          <w:color w:val="000000" w:themeColor="text1"/>
        </w:rPr>
        <w:t>centralising</w:t>
      </w:r>
      <w:r w:rsidRPr="00AE05EB">
        <w:rPr>
          <w:rFonts w:ascii="Times New Roman" w:hAnsi="Times New Roman" w:cs="Times New Roman"/>
          <w:color w:val="000000" w:themeColor="text1"/>
        </w:rPr>
        <w:t xml:space="preserve"> on how Filipino students learn and perform mathematics when taught in </w:t>
      </w:r>
      <w:r w:rsidRPr="001828C7">
        <w:rPr>
          <w:rFonts w:ascii="Times New Roman" w:hAnsi="Times New Roman" w:cs="Times New Roman"/>
          <w:color w:val="000000" w:themeColor="text1"/>
        </w:rPr>
        <w:t>English</w:t>
      </w:r>
      <w:r w:rsidR="001B59CB" w:rsidRPr="001828C7">
        <w:rPr>
          <w:rFonts w:ascii="Times New Roman" w:hAnsi="Times New Roman" w:cs="Times New Roman"/>
          <w:color w:val="000000" w:themeColor="text1"/>
        </w:rPr>
        <w:t>, with other general learning experiences also being included</w:t>
      </w:r>
      <w:r w:rsidR="00024C93" w:rsidRPr="001828C7">
        <w:rPr>
          <w:rFonts w:ascii="Times New Roman" w:hAnsi="Times New Roman" w:cs="Times New Roman"/>
          <w:color w:val="000000" w:themeColor="text1"/>
        </w:rPr>
        <w:t xml:space="preserve"> (Bernardo and </w:t>
      </w:r>
      <w:proofErr w:type="spellStart"/>
      <w:r w:rsidR="00024C93" w:rsidRPr="001828C7">
        <w:rPr>
          <w:rFonts w:ascii="Times New Roman" w:hAnsi="Times New Roman" w:cs="Times New Roman"/>
          <w:color w:val="000000" w:themeColor="text1"/>
        </w:rPr>
        <w:t>Gaerlan</w:t>
      </w:r>
      <w:proofErr w:type="spellEnd"/>
      <w:r w:rsidR="00024C93" w:rsidRPr="001828C7">
        <w:rPr>
          <w:rFonts w:ascii="Times New Roman" w:hAnsi="Times New Roman" w:cs="Times New Roman"/>
          <w:color w:val="000000" w:themeColor="text1"/>
        </w:rPr>
        <w:t>, 2011)</w:t>
      </w:r>
      <w:r w:rsidRPr="001828C7">
        <w:rPr>
          <w:rFonts w:ascii="Times New Roman" w:hAnsi="Times New Roman" w:cs="Times New Roman"/>
          <w:color w:val="000000" w:themeColor="text1"/>
        </w:rPr>
        <w:t>. There</w:t>
      </w:r>
      <w:r w:rsidRPr="00AE05EB">
        <w:rPr>
          <w:rFonts w:ascii="Times New Roman" w:hAnsi="Times New Roman" w:cs="Times New Roman"/>
          <w:color w:val="000000" w:themeColor="text1"/>
        </w:rPr>
        <w:t xml:space="preserve"> was in addition to this, research collated from studies regarding bilingual learners in the United States of America</w:t>
      </w:r>
      <w:r w:rsidR="00024C93" w:rsidRPr="00AE05EB">
        <w:rPr>
          <w:rFonts w:ascii="Times New Roman" w:hAnsi="Times New Roman" w:cs="Times New Roman"/>
          <w:color w:val="000000" w:themeColor="text1"/>
        </w:rPr>
        <w:t xml:space="preserve"> (Bernardo and </w:t>
      </w:r>
      <w:proofErr w:type="spellStart"/>
      <w:r w:rsidR="00024C93" w:rsidRPr="00AE05EB">
        <w:rPr>
          <w:rFonts w:ascii="Times New Roman" w:hAnsi="Times New Roman" w:cs="Times New Roman"/>
          <w:color w:val="000000" w:themeColor="text1"/>
        </w:rPr>
        <w:t>Gaerlan</w:t>
      </w:r>
      <w:proofErr w:type="spellEnd"/>
      <w:r w:rsidR="00024C93" w:rsidRPr="00AE05EB">
        <w:rPr>
          <w:rFonts w:ascii="Times New Roman" w:hAnsi="Times New Roman" w:cs="Times New Roman"/>
          <w:color w:val="000000" w:themeColor="text1"/>
        </w:rPr>
        <w:t>, 2011).</w:t>
      </w:r>
      <w:r w:rsidRPr="00AE05EB">
        <w:rPr>
          <w:rFonts w:ascii="Times New Roman" w:hAnsi="Times New Roman" w:cs="Times New Roman"/>
          <w:color w:val="000000" w:themeColor="text1"/>
        </w:rPr>
        <w:t xml:space="preserve"> </w:t>
      </w:r>
      <w:r w:rsidR="001B59CB" w:rsidRPr="00AE05EB">
        <w:rPr>
          <w:rFonts w:ascii="Times New Roman" w:hAnsi="Times New Roman" w:cs="Times New Roman"/>
          <w:color w:val="000000" w:themeColor="text1"/>
        </w:rPr>
        <w:t>This shows the intention of the authors to enable the suggestions and observations made within the article to be applicable to various domains of learning</w:t>
      </w:r>
      <w:r w:rsidR="006675F2">
        <w:rPr>
          <w:rFonts w:ascii="Times New Roman" w:hAnsi="Times New Roman" w:cs="Times New Roman"/>
          <w:color w:val="000000" w:themeColor="text1"/>
        </w:rPr>
        <w:t xml:space="preserve"> (Bernardo and </w:t>
      </w:r>
      <w:proofErr w:type="spellStart"/>
      <w:r w:rsidR="006675F2">
        <w:rPr>
          <w:rFonts w:ascii="Times New Roman" w:hAnsi="Times New Roman" w:cs="Times New Roman"/>
          <w:color w:val="000000" w:themeColor="text1"/>
        </w:rPr>
        <w:t>Gaerlan</w:t>
      </w:r>
      <w:proofErr w:type="spellEnd"/>
      <w:r w:rsidR="006675F2">
        <w:rPr>
          <w:rFonts w:ascii="Times New Roman" w:hAnsi="Times New Roman" w:cs="Times New Roman"/>
          <w:color w:val="000000" w:themeColor="text1"/>
        </w:rPr>
        <w:t>, 2011)</w:t>
      </w:r>
      <w:r w:rsidR="001B59CB" w:rsidRPr="00AE05EB">
        <w:rPr>
          <w:rFonts w:ascii="Times New Roman" w:hAnsi="Times New Roman" w:cs="Times New Roman"/>
          <w:color w:val="000000" w:themeColor="text1"/>
        </w:rPr>
        <w:t>. However, the limited geographical scope given by the article, w</w:t>
      </w:r>
      <w:r w:rsidR="003A14BF" w:rsidRPr="00AE05EB">
        <w:rPr>
          <w:rFonts w:ascii="Times New Roman" w:hAnsi="Times New Roman" w:cs="Times New Roman"/>
          <w:color w:val="000000" w:themeColor="text1"/>
        </w:rPr>
        <w:t xml:space="preserve">ith the main context of the study being the Philippine education system, and the study of mainly Filipino students, may lend itself to giving a narrow focus </w:t>
      </w:r>
      <w:r w:rsidR="003A14BF" w:rsidRPr="001828C7">
        <w:rPr>
          <w:rFonts w:ascii="Times New Roman" w:hAnsi="Times New Roman" w:cs="Times New Roman"/>
          <w:color w:val="000000" w:themeColor="text1"/>
        </w:rPr>
        <w:t>(</w:t>
      </w:r>
      <w:proofErr w:type="spellStart"/>
      <w:r w:rsidR="003A14BF" w:rsidRPr="001828C7">
        <w:rPr>
          <w:rFonts w:ascii="Times New Roman" w:hAnsi="Times New Roman" w:cs="Times New Roman"/>
          <w:color w:val="000000" w:themeColor="text1"/>
        </w:rPr>
        <w:t>Pyrczak</w:t>
      </w:r>
      <w:proofErr w:type="spellEnd"/>
      <w:r w:rsidR="003A14BF" w:rsidRPr="001828C7">
        <w:rPr>
          <w:rFonts w:ascii="Times New Roman" w:hAnsi="Times New Roman" w:cs="Times New Roman"/>
          <w:color w:val="000000" w:themeColor="text1"/>
        </w:rPr>
        <w:t>, 2017) in</w:t>
      </w:r>
      <w:r w:rsidR="003A14BF" w:rsidRPr="00AE05EB">
        <w:rPr>
          <w:rFonts w:ascii="Times New Roman" w:hAnsi="Times New Roman" w:cs="Times New Roman"/>
          <w:color w:val="000000" w:themeColor="text1"/>
        </w:rPr>
        <w:t xml:space="preserve"> regard to how students from other cultural backgrounds, with other native languages, may utilise a foreign language within their learning. Furthermore, due to the historical linguistic relations between </w:t>
      </w:r>
      <w:r w:rsidR="003A14BF" w:rsidRPr="001828C7">
        <w:rPr>
          <w:rFonts w:ascii="Times New Roman" w:hAnsi="Times New Roman" w:cs="Times New Roman"/>
          <w:color w:val="000000" w:themeColor="text1"/>
        </w:rPr>
        <w:t xml:space="preserve">languages, some languages </w:t>
      </w:r>
      <w:r w:rsidR="00437033" w:rsidRPr="001828C7">
        <w:rPr>
          <w:rFonts w:ascii="Times New Roman" w:hAnsi="Times New Roman" w:cs="Times New Roman"/>
          <w:color w:val="000000" w:themeColor="text1"/>
        </w:rPr>
        <w:t>differ in grammatical features, whilst some have similar structures (Taylor and Taylor, 1990).</w:t>
      </w:r>
      <w:r w:rsidR="00437033" w:rsidRPr="00AE05EB">
        <w:rPr>
          <w:rFonts w:ascii="Times New Roman" w:hAnsi="Times New Roman" w:cs="Times New Roman"/>
          <w:color w:val="000000" w:themeColor="text1"/>
        </w:rPr>
        <w:t xml:space="preserve"> These features have been found to affect children’s acquisition of such languages (Taylor and Taylor, 1990), therefore it may have been useful to include a greater range of languages within the </w:t>
      </w:r>
      <w:r w:rsidR="0011612D">
        <w:rPr>
          <w:rFonts w:ascii="Times New Roman" w:hAnsi="Times New Roman" w:cs="Times New Roman"/>
          <w:color w:val="000000" w:themeColor="text1"/>
        </w:rPr>
        <w:t>e</w:t>
      </w:r>
      <w:r w:rsidR="00437033" w:rsidRPr="00AE05EB">
        <w:rPr>
          <w:rFonts w:ascii="Times New Roman" w:hAnsi="Times New Roman" w:cs="Times New Roman"/>
          <w:color w:val="000000" w:themeColor="text1"/>
        </w:rPr>
        <w:t xml:space="preserve">nquiry, in order to account for such similarities or differences. </w:t>
      </w:r>
    </w:p>
    <w:p w14:paraId="703BBCCE" w14:textId="77777777" w:rsidR="00F960EF" w:rsidRPr="00AE05EB" w:rsidRDefault="00F960EF" w:rsidP="00F960EF">
      <w:pPr>
        <w:spacing w:line="360" w:lineRule="auto"/>
        <w:jc w:val="both"/>
        <w:rPr>
          <w:rFonts w:ascii="Times New Roman" w:hAnsi="Times New Roman" w:cs="Times New Roman"/>
          <w:color w:val="000000" w:themeColor="text1"/>
        </w:rPr>
      </w:pPr>
    </w:p>
    <w:p w14:paraId="46DAC160" w14:textId="59310B83" w:rsidR="00CB2637" w:rsidRPr="00AE05EB" w:rsidRDefault="00437033" w:rsidP="00F960EF">
      <w:pPr>
        <w:spacing w:line="360" w:lineRule="auto"/>
        <w:jc w:val="both"/>
        <w:rPr>
          <w:rFonts w:ascii="Times New Roman" w:hAnsi="Times New Roman" w:cs="Times New Roman"/>
          <w:color w:val="000000" w:themeColor="text1"/>
        </w:rPr>
      </w:pPr>
      <w:r w:rsidRPr="00AE05EB">
        <w:rPr>
          <w:rFonts w:ascii="Times New Roman" w:hAnsi="Times New Roman" w:cs="Times New Roman"/>
          <w:color w:val="000000" w:themeColor="text1"/>
        </w:rPr>
        <w:t>However, w</w:t>
      </w:r>
      <w:r w:rsidR="008F1E07" w:rsidRPr="00AE05EB">
        <w:rPr>
          <w:rFonts w:ascii="Times New Roman" w:hAnsi="Times New Roman" w:cs="Times New Roman"/>
          <w:color w:val="000000" w:themeColor="text1"/>
        </w:rPr>
        <w:t>ithin this exploration, a psycholinguistic approach is utilised, with the term approach in this context being defined as the “set of values, principles, and beliefs about factors that drive learning” (Fitzpatrick et al., 2018, p.10).</w:t>
      </w:r>
      <w:r w:rsidR="008F1E07" w:rsidRPr="00AE05EB">
        <w:rPr>
          <w:rFonts w:ascii="Times New Roman" w:hAnsi="Times New Roman" w:cs="Times New Roman"/>
          <w:color w:val="000000" w:themeColor="text1"/>
        </w:rPr>
        <w:t xml:space="preserve"> </w:t>
      </w:r>
      <w:r w:rsidR="008A18D6" w:rsidRPr="00AE05EB">
        <w:rPr>
          <w:rFonts w:ascii="Times New Roman" w:hAnsi="Times New Roman" w:cs="Times New Roman"/>
          <w:color w:val="000000" w:themeColor="text1"/>
        </w:rPr>
        <w:t>Psycholinguistic approaches use an interconnected approach between psychology and linguistics to study language behaviour, with a central component of such an approach being to enquire as to whether learning and using a language involves the same universal pattern, regardless of differences being held between languages (Taylor and Taylor, 1990). With this in mind</w:t>
      </w:r>
      <w:r w:rsidRPr="00AE05EB">
        <w:rPr>
          <w:rFonts w:ascii="Times New Roman" w:hAnsi="Times New Roman" w:cs="Times New Roman"/>
          <w:color w:val="000000" w:themeColor="text1"/>
        </w:rPr>
        <w:t>,</w:t>
      </w:r>
      <w:r w:rsidR="008A18D6" w:rsidRPr="00AE05EB">
        <w:rPr>
          <w:rFonts w:ascii="Times New Roman" w:hAnsi="Times New Roman" w:cs="Times New Roman"/>
          <w:color w:val="000000" w:themeColor="text1"/>
        </w:rPr>
        <w:t xml:space="preserve"> it may be suggested that the proposals </w:t>
      </w:r>
      <w:r w:rsidR="008A18D6" w:rsidRPr="00AE05EB">
        <w:rPr>
          <w:rFonts w:ascii="Times New Roman" w:hAnsi="Times New Roman" w:cs="Times New Roman"/>
          <w:color w:val="000000" w:themeColor="text1"/>
        </w:rPr>
        <w:lastRenderedPageBreak/>
        <w:t xml:space="preserve">put forward by Bernardo and </w:t>
      </w:r>
      <w:proofErr w:type="spellStart"/>
      <w:r w:rsidR="008A18D6" w:rsidRPr="00AE05EB">
        <w:rPr>
          <w:rFonts w:ascii="Times New Roman" w:hAnsi="Times New Roman" w:cs="Times New Roman"/>
          <w:color w:val="000000" w:themeColor="text1"/>
        </w:rPr>
        <w:t>Gaerlan</w:t>
      </w:r>
      <w:proofErr w:type="spellEnd"/>
      <w:r w:rsidR="0095232F" w:rsidRPr="00AE05EB">
        <w:rPr>
          <w:rFonts w:ascii="Times New Roman" w:hAnsi="Times New Roman" w:cs="Times New Roman"/>
          <w:color w:val="000000" w:themeColor="text1"/>
        </w:rPr>
        <w:t xml:space="preserve"> (2011)</w:t>
      </w:r>
      <w:r w:rsidR="008A18D6" w:rsidRPr="00AE05EB">
        <w:rPr>
          <w:rFonts w:ascii="Times New Roman" w:hAnsi="Times New Roman" w:cs="Times New Roman"/>
          <w:color w:val="000000" w:themeColor="text1"/>
        </w:rPr>
        <w:t xml:space="preserve"> within the article should be applicable to the acquisition of all languages. </w:t>
      </w:r>
    </w:p>
    <w:p w14:paraId="219AE2FD" w14:textId="494AE49C" w:rsidR="00CB2637" w:rsidRPr="00AE05EB" w:rsidRDefault="00D91564" w:rsidP="00AE05EB">
      <w:pPr>
        <w:spacing w:before="100" w:beforeAutospacing="1" w:after="100" w:afterAutospacing="1" w:line="360" w:lineRule="auto"/>
        <w:jc w:val="both"/>
        <w:rPr>
          <w:rFonts w:ascii="Times New Roman" w:eastAsia="Times New Roman" w:hAnsi="Times New Roman" w:cs="Times New Roman"/>
        </w:rPr>
      </w:pPr>
      <w:r w:rsidRPr="00AE05EB">
        <w:rPr>
          <w:rFonts w:ascii="Times New Roman" w:eastAsia="Times New Roman" w:hAnsi="Times New Roman" w:cs="Times New Roman"/>
        </w:rPr>
        <w:t>Whil</w:t>
      </w:r>
      <w:r w:rsidRPr="00AE05EB">
        <w:rPr>
          <w:rFonts w:ascii="Times New Roman" w:eastAsia="Times New Roman" w:hAnsi="Times New Roman" w:cs="Times New Roman"/>
        </w:rPr>
        <w:t xml:space="preserve">st </w:t>
      </w:r>
      <w:r w:rsidRPr="00AE05EB">
        <w:rPr>
          <w:rFonts w:ascii="Times New Roman" w:eastAsia="Times New Roman" w:hAnsi="Times New Roman" w:cs="Times New Roman"/>
        </w:rPr>
        <w:t xml:space="preserve">the article in question refers </w:t>
      </w:r>
      <w:r w:rsidRPr="00AE05EB">
        <w:rPr>
          <w:rFonts w:ascii="Times New Roman" w:eastAsia="Times New Roman" w:hAnsi="Times New Roman" w:cs="Times New Roman"/>
        </w:rPr>
        <w:t xml:space="preserve">mainly to the utilisation of English as a second or foreign language within a child’s learning (Bernardo and </w:t>
      </w:r>
      <w:proofErr w:type="spellStart"/>
      <w:r w:rsidRPr="00AE05EB">
        <w:rPr>
          <w:rFonts w:ascii="Times New Roman" w:eastAsia="Times New Roman" w:hAnsi="Times New Roman" w:cs="Times New Roman"/>
        </w:rPr>
        <w:t>Gaerlan</w:t>
      </w:r>
      <w:proofErr w:type="spellEnd"/>
      <w:r w:rsidRPr="00AE05EB">
        <w:rPr>
          <w:rFonts w:ascii="Times New Roman" w:eastAsia="Times New Roman" w:hAnsi="Times New Roman" w:cs="Times New Roman"/>
        </w:rPr>
        <w:t xml:space="preserve">, 2011), </w:t>
      </w:r>
      <w:r w:rsidRPr="00AE05EB">
        <w:rPr>
          <w:rFonts w:ascii="Times New Roman" w:eastAsia="Times New Roman" w:hAnsi="Times New Roman" w:cs="Times New Roman"/>
        </w:rPr>
        <w:t>it may</w:t>
      </w:r>
      <w:r w:rsidRPr="00AE05EB">
        <w:rPr>
          <w:rFonts w:ascii="Times New Roman" w:eastAsia="Times New Roman" w:hAnsi="Times New Roman" w:cs="Times New Roman"/>
        </w:rPr>
        <w:t xml:space="preserve"> also</w:t>
      </w:r>
      <w:r w:rsidRPr="00AE05EB">
        <w:rPr>
          <w:rFonts w:ascii="Times New Roman" w:eastAsia="Times New Roman" w:hAnsi="Times New Roman" w:cs="Times New Roman"/>
        </w:rPr>
        <w:t xml:space="preserve"> be applicable within </w:t>
      </w:r>
      <w:r w:rsidRPr="001828C7">
        <w:rPr>
          <w:rFonts w:ascii="Times New Roman" w:eastAsia="Times New Roman" w:hAnsi="Times New Roman" w:cs="Times New Roman"/>
        </w:rPr>
        <w:t>the context of Wales, as “the role of multiple language learning is particularly important in Wales” (Donaldson, 2015,</w:t>
      </w:r>
      <w:r w:rsidRPr="00AE05EB">
        <w:rPr>
          <w:rFonts w:ascii="Times New Roman" w:eastAsia="Times New Roman" w:hAnsi="Times New Roman" w:cs="Times New Roman"/>
        </w:rPr>
        <w:t xml:space="preserve"> p. 48), which is made evident within the Welsh National Mission</w:t>
      </w:r>
      <w:r w:rsidR="00016A55">
        <w:rPr>
          <w:rFonts w:ascii="Times New Roman" w:eastAsia="Times New Roman" w:hAnsi="Times New Roman" w:cs="Times New Roman"/>
        </w:rPr>
        <w:t xml:space="preserve"> </w:t>
      </w:r>
      <w:r w:rsidRPr="00AE05EB">
        <w:rPr>
          <w:rFonts w:ascii="Times New Roman" w:eastAsia="Times New Roman" w:hAnsi="Times New Roman" w:cs="Times New Roman"/>
        </w:rPr>
        <w:t xml:space="preserve">as outlined by the Welsh Government, which states their </w:t>
      </w:r>
      <w:r w:rsidR="00016A55">
        <w:rPr>
          <w:rFonts w:ascii="Times New Roman" w:eastAsia="Times New Roman" w:hAnsi="Times New Roman" w:cs="Times New Roman"/>
        </w:rPr>
        <w:t>objective</w:t>
      </w:r>
      <w:r w:rsidRPr="00AE05EB">
        <w:rPr>
          <w:rFonts w:ascii="Times New Roman" w:eastAsia="Times New Roman" w:hAnsi="Times New Roman" w:cs="Times New Roman"/>
        </w:rPr>
        <w:t xml:space="preserve"> </w:t>
      </w:r>
      <w:r w:rsidR="00016A55">
        <w:rPr>
          <w:rFonts w:ascii="Times New Roman" w:eastAsia="Times New Roman" w:hAnsi="Times New Roman" w:cs="Times New Roman"/>
        </w:rPr>
        <w:t>to</w:t>
      </w:r>
      <w:r w:rsidRPr="00AE05EB">
        <w:rPr>
          <w:rFonts w:ascii="Times New Roman" w:eastAsia="Times New Roman" w:hAnsi="Times New Roman" w:cs="Times New Roman"/>
        </w:rPr>
        <w:t xml:space="preserve"> develop learners to be “increasingly bilingual with a strong grasp of other </w:t>
      </w:r>
      <w:r w:rsidRPr="00C854DC">
        <w:rPr>
          <w:rFonts w:ascii="Times New Roman" w:eastAsia="Times New Roman" w:hAnsi="Times New Roman" w:cs="Times New Roman"/>
        </w:rPr>
        <w:t>languages” (Welsh Government, 2017a, p.11). The growth in the number of children who are bilingual in Wales has increased greatly in the last quarter of a century (Welsh Government, 2017b), supported by the rapid growth of Welsh medium education, which has utilised immersion techniques of language</w:t>
      </w:r>
      <w:r w:rsidRPr="00AE05EB">
        <w:rPr>
          <w:rFonts w:ascii="Times New Roman" w:eastAsia="Times New Roman" w:hAnsi="Times New Roman" w:cs="Times New Roman"/>
        </w:rPr>
        <w:t xml:space="preserve"> acquisition within its approach </w:t>
      </w:r>
      <w:r w:rsidRPr="00592290">
        <w:rPr>
          <w:rFonts w:ascii="Times New Roman" w:eastAsia="Times New Roman" w:hAnsi="Times New Roman" w:cs="Times New Roman"/>
        </w:rPr>
        <w:t>(W</w:t>
      </w:r>
      <w:r w:rsidR="0011612D" w:rsidRPr="00592290">
        <w:rPr>
          <w:rFonts w:ascii="Times New Roman" w:eastAsia="Times New Roman" w:hAnsi="Times New Roman" w:cs="Times New Roman"/>
        </w:rPr>
        <w:t xml:space="preserve">elsh </w:t>
      </w:r>
      <w:r w:rsidRPr="00592290">
        <w:rPr>
          <w:rFonts w:ascii="Times New Roman" w:eastAsia="Times New Roman" w:hAnsi="Times New Roman" w:cs="Times New Roman"/>
        </w:rPr>
        <w:t>G</w:t>
      </w:r>
      <w:r w:rsidR="0011612D" w:rsidRPr="00592290">
        <w:rPr>
          <w:rFonts w:ascii="Times New Roman" w:eastAsia="Times New Roman" w:hAnsi="Times New Roman" w:cs="Times New Roman"/>
        </w:rPr>
        <w:t>overnment</w:t>
      </w:r>
      <w:r w:rsidRPr="00592290">
        <w:rPr>
          <w:rFonts w:ascii="Times New Roman" w:eastAsia="Times New Roman" w:hAnsi="Times New Roman" w:cs="Times New Roman"/>
        </w:rPr>
        <w:t>, 2010).</w:t>
      </w:r>
      <w:r w:rsidRPr="00AE05EB">
        <w:rPr>
          <w:rFonts w:ascii="Times New Roman" w:eastAsia="Times New Roman" w:hAnsi="Times New Roman" w:cs="Times New Roman"/>
        </w:rPr>
        <w:t xml:space="preserve"> The success of such growth has caused the Welsh education system to be recognised by other bilingual and multilingual communities as an example of best practice (WG, 2010). </w:t>
      </w:r>
    </w:p>
    <w:p w14:paraId="7213D593" w14:textId="7DF55F03" w:rsidR="00F960EF" w:rsidRPr="00F960EF" w:rsidRDefault="00D91564" w:rsidP="00AE05EB">
      <w:pPr>
        <w:spacing w:line="360" w:lineRule="auto"/>
        <w:jc w:val="both"/>
        <w:rPr>
          <w:rFonts w:ascii="Times New Roman" w:eastAsia="Times New Roman" w:hAnsi="Times New Roman" w:cs="Times New Roman"/>
        </w:rPr>
      </w:pPr>
      <w:r w:rsidRPr="00AE05EB">
        <w:rPr>
          <w:rFonts w:ascii="Times New Roman" w:eastAsia="Times New Roman" w:hAnsi="Times New Roman" w:cs="Times New Roman"/>
        </w:rPr>
        <w:t xml:space="preserve">However, increasing the number of Welsh speakers remains a priority for the Welsh Government, as is reflected in the Welsh language </w:t>
      </w:r>
      <w:r w:rsidRPr="00592290">
        <w:rPr>
          <w:rFonts w:ascii="Times New Roman" w:eastAsia="Times New Roman" w:hAnsi="Times New Roman" w:cs="Times New Roman"/>
        </w:rPr>
        <w:t>strategy (W</w:t>
      </w:r>
      <w:r w:rsidR="0011612D" w:rsidRPr="00592290">
        <w:rPr>
          <w:rFonts w:ascii="Times New Roman" w:eastAsia="Times New Roman" w:hAnsi="Times New Roman" w:cs="Times New Roman"/>
        </w:rPr>
        <w:t xml:space="preserve">elsh </w:t>
      </w:r>
      <w:r w:rsidRPr="00592290">
        <w:rPr>
          <w:rFonts w:ascii="Times New Roman" w:eastAsia="Times New Roman" w:hAnsi="Times New Roman" w:cs="Times New Roman"/>
        </w:rPr>
        <w:t>G</w:t>
      </w:r>
      <w:r w:rsidR="0011612D" w:rsidRPr="00592290">
        <w:rPr>
          <w:rFonts w:ascii="Times New Roman" w:eastAsia="Times New Roman" w:hAnsi="Times New Roman" w:cs="Times New Roman"/>
        </w:rPr>
        <w:t>overnment</w:t>
      </w:r>
      <w:r w:rsidRPr="00592290">
        <w:rPr>
          <w:rFonts w:ascii="Times New Roman" w:eastAsia="Times New Roman" w:hAnsi="Times New Roman" w:cs="Times New Roman"/>
        </w:rPr>
        <w:t>, 2012),</w:t>
      </w:r>
      <w:r w:rsidRPr="00AE05EB">
        <w:rPr>
          <w:rFonts w:ascii="Times New Roman" w:eastAsia="Times New Roman" w:hAnsi="Times New Roman" w:cs="Times New Roman"/>
        </w:rPr>
        <w:t xml:space="preserve"> with them also aiming to increase not simply people’s ability to speak Welsh, but also the amount of the Welsh language that people use in their daily lives </w:t>
      </w:r>
      <w:r w:rsidRPr="00592290">
        <w:rPr>
          <w:rFonts w:ascii="Times New Roman" w:eastAsia="Times New Roman" w:hAnsi="Times New Roman" w:cs="Times New Roman"/>
        </w:rPr>
        <w:t>(Estyn, 2017).</w:t>
      </w:r>
      <w:r w:rsidRPr="00AE05EB">
        <w:rPr>
          <w:rFonts w:ascii="Times New Roman" w:eastAsia="Times New Roman" w:hAnsi="Times New Roman" w:cs="Times New Roman"/>
        </w:rPr>
        <w:t xml:space="preserve"> These two complementary components were defined by the linguist Chomsky (1970 as cited in Taylor and Taylor, 1990, p.2) as competence and performance, with competence being “the idealized knowledge a speaker or hearer has of a particular language system, and performance, the actual use to which a speaker-hearer puts his competence”.</w:t>
      </w:r>
    </w:p>
    <w:p w14:paraId="3359D704" w14:textId="66B92A5E" w:rsidR="00FC32C8" w:rsidRPr="00AE05EB" w:rsidRDefault="00C61128" w:rsidP="00AE05EB">
      <w:pPr>
        <w:pStyle w:val="NormalWeb"/>
        <w:spacing w:line="360" w:lineRule="auto"/>
        <w:jc w:val="both"/>
        <w:rPr>
          <w:color w:val="000000" w:themeColor="text1"/>
        </w:rPr>
      </w:pPr>
      <w:r w:rsidRPr="00AE05EB">
        <w:rPr>
          <w:color w:val="000000" w:themeColor="text1"/>
        </w:rPr>
        <w:t xml:space="preserve">Bernardo and </w:t>
      </w:r>
      <w:proofErr w:type="spellStart"/>
      <w:r w:rsidRPr="00AE05EB">
        <w:rPr>
          <w:color w:val="000000" w:themeColor="text1"/>
        </w:rPr>
        <w:t>Gaerlan</w:t>
      </w:r>
      <w:proofErr w:type="spellEnd"/>
      <w:r w:rsidR="007F047A" w:rsidRPr="00AE05EB">
        <w:rPr>
          <w:color w:val="000000" w:themeColor="text1"/>
        </w:rPr>
        <w:t xml:space="preserve"> (</w:t>
      </w:r>
      <w:r w:rsidR="0095232F" w:rsidRPr="00AE05EB">
        <w:rPr>
          <w:color w:val="000000" w:themeColor="text1"/>
        </w:rPr>
        <w:t>2011</w:t>
      </w:r>
      <w:r w:rsidR="007F047A" w:rsidRPr="00AE05EB">
        <w:rPr>
          <w:color w:val="000000" w:themeColor="text1"/>
        </w:rPr>
        <w:t>, p.3)</w:t>
      </w:r>
      <w:r w:rsidRPr="00AE05EB">
        <w:rPr>
          <w:color w:val="000000" w:themeColor="text1"/>
        </w:rPr>
        <w:t xml:space="preserve"> </w:t>
      </w:r>
      <w:r w:rsidR="0083483A" w:rsidRPr="00AE05EB">
        <w:rPr>
          <w:color w:val="000000" w:themeColor="text1"/>
        </w:rPr>
        <w:t xml:space="preserve">give </w:t>
      </w:r>
      <w:r w:rsidR="00EE58E6">
        <w:rPr>
          <w:color w:val="000000" w:themeColor="text1"/>
        </w:rPr>
        <w:t xml:space="preserve">an </w:t>
      </w:r>
      <w:r w:rsidR="0083483A" w:rsidRPr="00AE05EB">
        <w:rPr>
          <w:color w:val="000000" w:themeColor="text1"/>
        </w:rPr>
        <w:t xml:space="preserve">explanation for identifying the nature of their review as psycholinguistic, </w:t>
      </w:r>
      <w:r w:rsidR="007F047A" w:rsidRPr="00AE05EB">
        <w:rPr>
          <w:color w:val="000000" w:themeColor="text1"/>
        </w:rPr>
        <w:t>by stating their objective</w:t>
      </w:r>
      <w:r w:rsidR="0083483A" w:rsidRPr="00AE05EB">
        <w:rPr>
          <w:color w:val="000000" w:themeColor="text1"/>
        </w:rPr>
        <w:t xml:space="preserve"> </w:t>
      </w:r>
      <w:r w:rsidR="007F047A" w:rsidRPr="00AE05EB">
        <w:rPr>
          <w:color w:val="000000" w:themeColor="text1"/>
        </w:rPr>
        <w:t>to explore the “underlying cognitive psychological processes that underlie or that relate to language-related behaviours”</w:t>
      </w:r>
      <w:r w:rsidR="00670E36" w:rsidRPr="00AE05EB">
        <w:rPr>
          <w:color w:val="000000" w:themeColor="text1"/>
        </w:rPr>
        <w:t xml:space="preserve">, with the findings presented revealing that utilising English within </w:t>
      </w:r>
      <w:r w:rsidR="00EF6261" w:rsidRPr="00AE05EB">
        <w:rPr>
          <w:color w:val="000000" w:themeColor="text1"/>
        </w:rPr>
        <w:t>different</w:t>
      </w:r>
      <w:r w:rsidR="00670E36" w:rsidRPr="00AE05EB">
        <w:rPr>
          <w:color w:val="000000" w:themeColor="text1"/>
        </w:rPr>
        <w:t xml:space="preserve"> cognitive processes had a number of effects on the performance of bilingual learner</w:t>
      </w:r>
      <w:r w:rsidR="00EF6261" w:rsidRPr="00AE05EB">
        <w:rPr>
          <w:color w:val="000000" w:themeColor="text1"/>
        </w:rPr>
        <w:t>s</w:t>
      </w:r>
      <w:r w:rsidR="00670E36" w:rsidRPr="00AE05EB">
        <w:rPr>
          <w:color w:val="000000" w:themeColor="text1"/>
        </w:rPr>
        <w:t>.</w:t>
      </w:r>
      <w:r w:rsidR="00EF6261" w:rsidRPr="00AE05EB">
        <w:rPr>
          <w:color w:val="000000" w:themeColor="text1"/>
        </w:rPr>
        <w:t xml:space="preserve"> </w:t>
      </w:r>
      <w:r w:rsidR="0095232F" w:rsidRPr="00AE05EB">
        <w:rPr>
          <w:color w:val="000000" w:themeColor="text1"/>
        </w:rPr>
        <w:t xml:space="preserve">Furthermore, the authors highlight other studies that suggest </w:t>
      </w:r>
      <w:r w:rsidR="007D4229" w:rsidRPr="00AE05EB">
        <w:rPr>
          <w:color w:val="000000" w:themeColor="text1"/>
        </w:rPr>
        <w:t xml:space="preserve">that bilinguals may possess some enhanced cognitive functions in comparison </w:t>
      </w:r>
      <w:r w:rsidR="00961470">
        <w:rPr>
          <w:color w:val="000000" w:themeColor="text1"/>
        </w:rPr>
        <w:t>to</w:t>
      </w:r>
      <w:r w:rsidR="007D4229" w:rsidRPr="00AE05EB">
        <w:rPr>
          <w:color w:val="000000" w:themeColor="text1"/>
        </w:rPr>
        <w:t xml:space="preserve"> their monolingual counterparts (</w:t>
      </w:r>
      <w:r w:rsidR="007D4229" w:rsidRPr="00592290">
        <w:rPr>
          <w:color w:val="000000" w:themeColor="text1"/>
        </w:rPr>
        <w:t xml:space="preserve">Bernardo and </w:t>
      </w:r>
      <w:proofErr w:type="spellStart"/>
      <w:r w:rsidR="007D4229" w:rsidRPr="00592290">
        <w:rPr>
          <w:color w:val="000000" w:themeColor="text1"/>
        </w:rPr>
        <w:t>Gaerlan</w:t>
      </w:r>
      <w:proofErr w:type="spellEnd"/>
      <w:r w:rsidR="007D4229" w:rsidRPr="00592290">
        <w:rPr>
          <w:color w:val="000000" w:themeColor="text1"/>
        </w:rPr>
        <w:t xml:space="preserve">, 2011). </w:t>
      </w:r>
      <w:r w:rsidR="00FC32C8" w:rsidRPr="00592290">
        <w:rPr>
          <w:color w:val="000000" w:themeColor="text1"/>
        </w:rPr>
        <w:t>This notion is supported by the psychologist Berk (2012, as cited in Doherty and Hughes, 2014, p</w:t>
      </w:r>
      <w:r w:rsidR="00FC32C8" w:rsidRPr="00AE05EB">
        <w:rPr>
          <w:color w:val="000000" w:themeColor="text1"/>
        </w:rPr>
        <w:t xml:space="preserve">.316), who states, “the benefits of being bilingual are so significant that goals of schooling should aim to make all children bilingual through systematic bilingual education”. </w:t>
      </w:r>
    </w:p>
    <w:p w14:paraId="59AD6B94" w14:textId="1674EC5B" w:rsidR="0000133C" w:rsidRPr="00AE05EB" w:rsidRDefault="007D4229" w:rsidP="00AE05EB">
      <w:pPr>
        <w:pStyle w:val="NormalWeb"/>
        <w:spacing w:line="360" w:lineRule="auto"/>
        <w:jc w:val="both"/>
        <w:rPr>
          <w:color w:val="000000" w:themeColor="text1"/>
        </w:rPr>
      </w:pPr>
      <w:r w:rsidRPr="00AE05EB">
        <w:rPr>
          <w:color w:val="000000" w:themeColor="text1"/>
        </w:rPr>
        <w:lastRenderedPageBreak/>
        <w:t xml:space="preserve">Such suggestions have formed part of a long historical debate as to whether bilingualism is related to intelligence, cognitive resilience and cognitive intelligence (Fitzpatrick et al., 2018). </w:t>
      </w:r>
      <w:r w:rsidR="00505CD0" w:rsidRPr="00AE05EB">
        <w:rPr>
          <w:color w:val="000000" w:themeColor="text1"/>
        </w:rPr>
        <w:t>Within this argument, t</w:t>
      </w:r>
      <w:r w:rsidR="00FC32C8" w:rsidRPr="00AE05EB">
        <w:rPr>
          <w:color w:val="000000" w:themeColor="text1"/>
        </w:rPr>
        <w:t xml:space="preserve">here is evidence </w:t>
      </w:r>
      <w:r w:rsidR="00505CD0" w:rsidRPr="00AE05EB">
        <w:rPr>
          <w:color w:val="000000" w:themeColor="text1"/>
        </w:rPr>
        <w:t xml:space="preserve">to suggest that the requirement of bilingual children to switch from one representational system to another may positively affect their learning (Bialystok and Craik, 2010, as cited in </w:t>
      </w:r>
      <w:proofErr w:type="spellStart"/>
      <w:r w:rsidR="00505CD0" w:rsidRPr="00AE05EB">
        <w:rPr>
          <w:color w:val="000000" w:themeColor="text1"/>
        </w:rPr>
        <w:t>Burkhauser</w:t>
      </w:r>
      <w:proofErr w:type="spellEnd"/>
      <w:r w:rsidR="00505CD0" w:rsidRPr="00AE05EB">
        <w:rPr>
          <w:color w:val="000000" w:themeColor="text1"/>
        </w:rPr>
        <w:t xml:space="preserve"> et al., 2016), thereby supporting the authors’ claim that alternating between language codes enables bilingual learners to utilise a greater range of knowledge representations, thereby supporting them in performing cognitive tasks (Bernardo and </w:t>
      </w:r>
      <w:proofErr w:type="spellStart"/>
      <w:r w:rsidR="00505CD0" w:rsidRPr="00AE05EB">
        <w:rPr>
          <w:color w:val="000000" w:themeColor="text1"/>
        </w:rPr>
        <w:t>Gaerlan</w:t>
      </w:r>
      <w:proofErr w:type="spellEnd"/>
      <w:r w:rsidR="00505CD0" w:rsidRPr="00AE05EB">
        <w:rPr>
          <w:color w:val="000000" w:themeColor="text1"/>
        </w:rPr>
        <w:t xml:space="preserve">, 2011). The </w:t>
      </w:r>
      <w:r w:rsidR="0000133C" w:rsidRPr="00AE05EB">
        <w:rPr>
          <w:color w:val="000000" w:themeColor="text1"/>
        </w:rPr>
        <w:t>interrelatedness</w:t>
      </w:r>
      <w:r w:rsidR="00505CD0" w:rsidRPr="00AE05EB">
        <w:rPr>
          <w:color w:val="000000" w:themeColor="text1"/>
        </w:rPr>
        <w:t xml:space="preserve"> of language </w:t>
      </w:r>
      <w:r w:rsidR="0000133C" w:rsidRPr="00AE05EB">
        <w:rPr>
          <w:color w:val="000000" w:themeColor="text1"/>
        </w:rPr>
        <w:t>and</w:t>
      </w:r>
      <w:r w:rsidR="00505CD0" w:rsidRPr="00AE05EB">
        <w:rPr>
          <w:color w:val="000000" w:themeColor="text1"/>
        </w:rPr>
        <w:t xml:space="preserve"> thinking </w:t>
      </w:r>
      <w:r w:rsidR="0000133C" w:rsidRPr="00AE05EB">
        <w:rPr>
          <w:color w:val="000000" w:themeColor="text1"/>
        </w:rPr>
        <w:t xml:space="preserve">is not a new revelation however, as Vygotsky (1962 as </w:t>
      </w:r>
      <w:r w:rsidR="0000133C" w:rsidRPr="0011612D">
        <w:rPr>
          <w:color w:val="000000" w:themeColor="text1"/>
        </w:rPr>
        <w:t>cited in Pound, 2006) identified</w:t>
      </w:r>
      <w:r w:rsidR="0000133C" w:rsidRPr="00AE05EB">
        <w:rPr>
          <w:color w:val="000000" w:themeColor="text1"/>
        </w:rPr>
        <w:t xml:space="preserve"> language as being a cultural tool for thinking, which is developed and utilised through social interactions. </w:t>
      </w:r>
    </w:p>
    <w:p w14:paraId="1E9C27E4" w14:textId="043DD20D" w:rsidR="009454F1" w:rsidRPr="00AE05EB" w:rsidRDefault="009454F1" w:rsidP="00AE05EB">
      <w:pPr>
        <w:pStyle w:val="NormalWeb"/>
        <w:spacing w:line="360" w:lineRule="auto"/>
        <w:jc w:val="both"/>
      </w:pPr>
      <w:r w:rsidRPr="00AE05EB">
        <w:t>However, it ma</w:t>
      </w:r>
      <w:r w:rsidR="002C3FC7" w:rsidRPr="00AE05EB">
        <w:t>y b</w:t>
      </w:r>
      <w:r w:rsidRPr="00AE05EB">
        <w:t>e questioned</w:t>
      </w:r>
      <w:r w:rsidRPr="00AE05EB">
        <w:t xml:space="preserve">, when applying such findings to the Welsh education system, </w:t>
      </w:r>
      <w:r w:rsidRPr="00AE05EB">
        <w:t xml:space="preserve"> whether the </w:t>
      </w:r>
      <w:r w:rsidR="007A6A77" w:rsidRPr="00AE05EB">
        <w:t>Welsh Governments’ aim of increasing the number of</w:t>
      </w:r>
      <w:r w:rsidRPr="00AE05EB">
        <w:t xml:space="preserve"> </w:t>
      </w:r>
      <w:r w:rsidR="007A6A77" w:rsidRPr="00AE05EB">
        <w:t>Welsh medium schools (WG, 2010),</w:t>
      </w:r>
      <w:r w:rsidRPr="00AE05EB">
        <w:t xml:space="preserve"> would support or rather impede learners’ cognitive ability, as learning through the medium of Welsh</w:t>
      </w:r>
      <w:r w:rsidR="007A6A77" w:rsidRPr="00AE05EB">
        <w:t xml:space="preserve">, whilst supporting some in becoming bilingual, still </w:t>
      </w:r>
      <w:r w:rsidRPr="00AE05EB">
        <w:t>limit</w:t>
      </w:r>
      <w:r w:rsidR="00D34D84" w:rsidRPr="00AE05EB">
        <w:t xml:space="preserve">s </w:t>
      </w:r>
      <w:r w:rsidRPr="00AE05EB">
        <w:t>those pupils to learnin</w:t>
      </w:r>
      <w:r w:rsidR="007A6A77" w:rsidRPr="00AE05EB">
        <w:t xml:space="preserve">g </w:t>
      </w:r>
      <w:r w:rsidR="00D34D84" w:rsidRPr="00AE05EB">
        <w:t>with</w:t>
      </w:r>
      <w:r w:rsidR="007A6A77" w:rsidRPr="00AE05EB">
        <w:t>in a single</w:t>
      </w:r>
      <w:r w:rsidRPr="00AE05EB">
        <w:t xml:space="preserve"> language, which may conflict with Donaldson’s recognition of the Welsh language as a component in the development of Wales as “a bilingual nation with the strength and assurance to nurture both languages” (Donaldson, 2015, p.26). </w:t>
      </w:r>
      <w:r w:rsidR="007A6A77" w:rsidRPr="00AE05EB">
        <w:t>Th</w:t>
      </w:r>
      <w:r w:rsidR="00B67FBB" w:rsidRPr="00AE05EB">
        <w:t>is</w:t>
      </w:r>
      <w:r w:rsidR="007A6A77" w:rsidRPr="00AE05EB">
        <w:t xml:space="preserve"> restriction may</w:t>
      </w:r>
      <w:r w:rsidR="00B67FBB" w:rsidRPr="00AE05EB">
        <w:t xml:space="preserve"> also </w:t>
      </w:r>
      <w:r w:rsidR="00961470">
        <w:t>affect</w:t>
      </w:r>
      <w:r w:rsidR="007A6A77" w:rsidRPr="00AE05EB">
        <w:t xml:space="preserve"> learners’ cognitive ability to switch or alternate between languages when faced with cognitive tasks. Therefore, Welsh-medium education, when structured in a format which involves all subjects being taught in Welsh, may limit the benefits of using two languages as important resources in the children’s learning, as outlined </w:t>
      </w:r>
      <w:r w:rsidR="00884C67" w:rsidRPr="00AE05EB">
        <w:t>with</w:t>
      </w:r>
      <w:r w:rsidR="007A6A77" w:rsidRPr="00AE05EB">
        <w:t>in the article (Bernardo 2005</w:t>
      </w:r>
      <w:r w:rsidR="00EA4394" w:rsidRPr="00AE05EB">
        <w:t xml:space="preserve"> as cited in Bernardo</w:t>
      </w:r>
      <w:r w:rsidR="007A6A77" w:rsidRPr="00AE05EB">
        <w:t xml:space="preserve"> and </w:t>
      </w:r>
      <w:proofErr w:type="spellStart"/>
      <w:r w:rsidR="007A6A77" w:rsidRPr="00AE05EB">
        <w:t>Gaerlan</w:t>
      </w:r>
      <w:proofErr w:type="spellEnd"/>
      <w:r w:rsidR="007A6A77" w:rsidRPr="00AE05EB">
        <w:t>, 2011)</w:t>
      </w:r>
      <w:r w:rsidR="00EA4394" w:rsidRPr="00AE05EB">
        <w:t>.</w:t>
      </w:r>
    </w:p>
    <w:p w14:paraId="75B97D93" w14:textId="25107CAE" w:rsidR="00114FD9" w:rsidRPr="00AE05EB" w:rsidRDefault="009454F1" w:rsidP="00AE05EB">
      <w:pPr>
        <w:pStyle w:val="NormalWeb"/>
        <w:spacing w:line="360" w:lineRule="auto"/>
        <w:jc w:val="both"/>
      </w:pPr>
      <w:r w:rsidRPr="00AE05EB">
        <w:rPr>
          <w:color w:val="000000" w:themeColor="text1"/>
        </w:rPr>
        <w:t>Furthermore</w:t>
      </w:r>
      <w:r w:rsidR="00505CD0" w:rsidRPr="00AE05EB">
        <w:rPr>
          <w:color w:val="000000" w:themeColor="text1"/>
        </w:rPr>
        <w:t xml:space="preserve">, </w:t>
      </w:r>
      <w:r w:rsidR="0000133C" w:rsidRPr="00AE05EB">
        <w:rPr>
          <w:color w:val="000000" w:themeColor="text1"/>
        </w:rPr>
        <w:t xml:space="preserve">in contrast to this notion, </w:t>
      </w:r>
      <w:r w:rsidR="00505CD0" w:rsidRPr="00AE05EB">
        <w:rPr>
          <w:color w:val="000000" w:themeColor="text1"/>
        </w:rPr>
        <w:t>research studies</w:t>
      </w:r>
      <w:r w:rsidR="0000133C" w:rsidRPr="00AE05EB">
        <w:rPr>
          <w:color w:val="000000" w:themeColor="text1"/>
        </w:rPr>
        <w:t xml:space="preserve"> suggest that there is “no clear cognitive advantage for bilinguals” (Gathercole et al., 2014 as cited in Fitzpatrick et al., 2018, p.62), with others suggesting that the apparent cognitive advantage of bilingual persons may be correlational rather than causal</w:t>
      </w:r>
      <w:r w:rsidR="00114FD9" w:rsidRPr="00AE05EB">
        <w:rPr>
          <w:color w:val="000000" w:themeColor="text1"/>
        </w:rPr>
        <w:t>, possibly resulting from social factors or publication bias (Fitzpatrick et al., 2018)</w:t>
      </w:r>
      <w:r w:rsidR="00D12C7D" w:rsidRPr="00AE05EB">
        <w:rPr>
          <w:color w:val="000000" w:themeColor="text1"/>
        </w:rPr>
        <w:t xml:space="preserve">. </w:t>
      </w:r>
      <w:r w:rsidR="00114FD9" w:rsidRPr="00AE05EB">
        <w:rPr>
          <w:color w:val="000000" w:themeColor="text1"/>
        </w:rPr>
        <w:t>The authors, however, have recognised the possible interaction of these factors in the outcomes presented</w:t>
      </w:r>
      <w:r w:rsidR="00B004B6">
        <w:rPr>
          <w:color w:val="000000" w:themeColor="text1"/>
        </w:rPr>
        <w:t>,</w:t>
      </w:r>
      <w:r w:rsidR="00114FD9" w:rsidRPr="00AE05EB">
        <w:rPr>
          <w:color w:val="000000" w:themeColor="text1"/>
        </w:rPr>
        <w:t xml:space="preserve"> as they acknowledge “</w:t>
      </w:r>
      <w:r w:rsidR="00114FD9" w:rsidRPr="00AE05EB">
        <w:t>the sociolinguistic approaches also bring to light the range of personal, affective, social, and relational factors that are important in characterising the full experience of these bilingual learners</w:t>
      </w:r>
      <w:r w:rsidR="00114FD9" w:rsidRPr="00AE05EB">
        <w:t xml:space="preserve">” (Bernardo and </w:t>
      </w:r>
      <w:proofErr w:type="spellStart"/>
      <w:r w:rsidR="00114FD9" w:rsidRPr="00AE05EB">
        <w:t>Gaerlan</w:t>
      </w:r>
      <w:proofErr w:type="spellEnd"/>
      <w:r w:rsidR="00114FD9" w:rsidRPr="00AE05EB">
        <w:t>, 2011, p.6).</w:t>
      </w:r>
      <w:r w:rsidR="00D12C7D" w:rsidRPr="00AE05EB">
        <w:t xml:space="preserve"> However, whilst this may be evidence of the authors critical approach to the </w:t>
      </w:r>
      <w:r w:rsidR="00B004B6">
        <w:t>e</w:t>
      </w:r>
      <w:r w:rsidR="00D12C7D" w:rsidRPr="00AE05EB">
        <w:t xml:space="preserve">nquiry, the overall tone of the publication is one that appears to support the learning of </w:t>
      </w:r>
      <w:r w:rsidR="00D12C7D" w:rsidRPr="00AE05EB">
        <w:lastRenderedPageBreak/>
        <w:t xml:space="preserve">subject areas within a second or foreign language, as it makes explicit the benefits of such an approach, whilst perhaps not elaborating on the challenges posed in such learning, or indeed the opposing views </w:t>
      </w:r>
      <w:r w:rsidR="00E40597" w:rsidRPr="00AE05EB">
        <w:t>to</w:t>
      </w:r>
      <w:r w:rsidR="00D12C7D" w:rsidRPr="00AE05EB">
        <w:t xml:space="preserve"> the notion that intelligence and bilingualism are interconnected. </w:t>
      </w:r>
    </w:p>
    <w:p w14:paraId="7C06A0A7" w14:textId="19832919" w:rsidR="00094D78" w:rsidRPr="00AE05EB" w:rsidRDefault="00094D78" w:rsidP="00AE05EB">
      <w:pPr>
        <w:pStyle w:val="NormalWeb"/>
        <w:spacing w:line="360" w:lineRule="auto"/>
        <w:jc w:val="both"/>
      </w:pPr>
      <w:r w:rsidRPr="00AE05EB">
        <w:t xml:space="preserve">A sociolinguistic approach, as utilised by Bernardo and </w:t>
      </w:r>
      <w:proofErr w:type="spellStart"/>
      <w:r w:rsidRPr="00AE05EB">
        <w:t>Gaerlan</w:t>
      </w:r>
      <w:proofErr w:type="spellEnd"/>
      <w:r w:rsidRPr="00AE05EB">
        <w:t xml:space="preserve"> (2011) within the second </w:t>
      </w:r>
      <w:r w:rsidR="00163F5A" w:rsidRPr="00AE05EB">
        <w:t>p</w:t>
      </w:r>
      <w:r w:rsidR="0011356A" w:rsidRPr="00AE05EB">
        <w:t>art</w:t>
      </w:r>
      <w:r w:rsidRPr="00AE05EB">
        <w:t xml:space="preserve"> of their article, allows for further insights to be made into the results of the study, by exploring the interaction between a person’s language and their identity and relationships. </w:t>
      </w:r>
      <w:r w:rsidR="00DE78A8" w:rsidRPr="00AE05EB">
        <w:t xml:space="preserve">Furthermore, the article refers to studies that </w:t>
      </w:r>
      <w:r w:rsidR="00EF28C8">
        <w:t xml:space="preserve">have </w:t>
      </w:r>
      <w:r w:rsidR="00DE78A8" w:rsidRPr="00AE05EB">
        <w:t xml:space="preserve">identified the social experiences beyond the classroom as important factors in shaping the students’ learning experiences, with family-related factors being particularly influential (Bernardo and </w:t>
      </w:r>
      <w:proofErr w:type="spellStart"/>
      <w:r w:rsidR="00DE78A8" w:rsidRPr="00AE05EB">
        <w:t>Gaerlan</w:t>
      </w:r>
      <w:proofErr w:type="spellEnd"/>
      <w:r w:rsidR="00DE78A8" w:rsidRPr="00AE05EB">
        <w:t xml:space="preserve">, 2011). Furthermore, the resources available and exposure to language within the home </w:t>
      </w:r>
      <w:r w:rsidR="00675C70">
        <w:t xml:space="preserve">may </w:t>
      </w:r>
      <w:r w:rsidR="00DE78A8" w:rsidRPr="00AE05EB">
        <w:t xml:space="preserve">also have a significant </w:t>
      </w:r>
      <w:r w:rsidR="00675C70">
        <w:t>impact</w:t>
      </w:r>
      <w:r w:rsidR="00DE78A8" w:rsidRPr="00AE05EB">
        <w:t xml:space="preserve"> on such learning (Bernardo and </w:t>
      </w:r>
      <w:proofErr w:type="spellStart"/>
      <w:r w:rsidR="00DE78A8" w:rsidRPr="00AE05EB">
        <w:t>Gaerlan</w:t>
      </w:r>
      <w:proofErr w:type="spellEnd"/>
      <w:r w:rsidR="00DE78A8" w:rsidRPr="00AE05EB">
        <w:t>, 2011).</w:t>
      </w:r>
    </w:p>
    <w:p w14:paraId="65AE0608" w14:textId="5712115E" w:rsidR="00EA4D0C" w:rsidRPr="00AE05EB" w:rsidRDefault="00EA4D0C" w:rsidP="00AE05EB">
      <w:pPr>
        <w:pStyle w:val="NormalWeb"/>
        <w:spacing w:line="360" w:lineRule="auto"/>
        <w:jc w:val="both"/>
      </w:pPr>
      <w:r w:rsidRPr="00AE05EB">
        <w:t>When applying such findings to the implementation of Welsh-medium education, t</w:t>
      </w:r>
      <w:r w:rsidR="00DE78A8" w:rsidRPr="00AE05EB">
        <w:t xml:space="preserve">his </w:t>
      </w:r>
      <w:r w:rsidRPr="00AE05EB">
        <w:t>notion</w:t>
      </w:r>
      <w:r w:rsidR="00DE78A8" w:rsidRPr="00AE05EB">
        <w:t xml:space="preserve"> may suggest that children </w:t>
      </w:r>
      <w:r w:rsidRPr="00AE05EB">
        <w:t xml:space="preserve">from an English-speaking background </w:t>
      </w:r>
      <w:r w:rsidR="00DE78A8" w:rsidRPr="00AE05EB">
        <w:t xml:space="preserve">may be disadvantaged </w:t>
      </w:r>
      <w:r w:rsidRPr="00AE05EB">
        <w:t xml:space="preserve">when compared to their peers </w:t>
      </w:r>
      <w:r w:rsidR="00DE78A8" w:rsidRPr="00AE05EB">
        <w:t>as they may not have the opportunity to use</w:t>
      </w:r>
      <w:r w:rsidRPr="00AE05EB">
        <w:t xml:space="preserve"> the Welsh language</w:t>
      </w:r>
      <w:r w:rsidR="00DE78A8" w:rsidRPr="00AE05EB">
        <w:t xml:space="preserve"> to communicate with their families, due to their families</w:t>
      </w:r>
      <w:r w:rsidR="001A1618">
        <w:t>’ inability</w:t>
      </w:r>
      <w:r w:rsidR="00DE78A8" w:rsidRPr="00AE05EB">
        <w:t xml:space="preserve"> </w:t>
      </w:r>
      <w:r w:rsidRPr="00AE05EB">
        <w:t>to engage in such dialect</w:t>
      </w:r>
      <w:r w:rsidR="00DE78A8" w:rsidRPr="00AE05EB">
        <w:t>. Therefore, the language of a child’s “community of speakers”, to include their immediate family, have an influence on the language spoken by the child (WG, 2012, p.12). This is reflected in the statement made by the Welsh Government, which argues “learning and speaking Welsh at school is not enough on its own; the language needs to be used and supported in the home</w:t>
      </w:r>
      <w:r w:rsidR="00B004B6">
        <w:t>…</w:t>
      </w:r>
      <w:r w:rsidR="00DE78A8" w:rsidRPr="00AE05EB">
        <w:t xml:space="preserve">and through wider social and cultural activities” (WG, 2012, p.12). </w:t>
      </w:r>
      <w:r w:rsidR="00491B7A" w:rsidRPr="00AE05EB">
        <w:t>However, children within Welsh-medium settings, regardless of the language used within their home environment, may still have an advantage over those who learn Welsh as a second language within English</w:t>
      </w:r>
      <w:r w:rsidR="00B004B6">
        <w:t>-</w:t>
      </w:r>
      <w:r w:rsidR="00491B7A" w:rsidRPr="00AE05EB">
        <w:t xml:space="preserve">medium </w:t>
      </w:r>
      <w:r w:rsidR="001A1618">
        <w:t>schools</w:t>
      </w:r>
      <w:r w:rsidR="00491B7A" w:rsidRPr="00AE05EB">
        <w:t xml:space="preserve"> as</w:t>
      </w:r>
      <w:r w:rsidR="00B004B6">
        <w:t xml:space="preserve">, </w:t>
      </w:r>
      <w:r w:rsidR="00491B7A" w:rsidRPr="00AE05EB">
        <w:t>“their exposure to the language and their level of fluency is likely to be limited compared to children who receive Welsh-medium education” (WG, 2012, p.8).</w:t>
      </w:r>
    </w:p>
    <w:p w14:paraId="22FCAA3E" w14:textId="70A25620" w:rsidR="00EA4D0C" w:rsidRPr="00AE05EB" w:rsidRDefault="00EA4D0C" w:rsidP="00AE05EB">
      <w:pPr>
        <w:pStyle w:val="NormalWeb"/>
        <w:spacing w:line="360" w:lineRule="auto"/>
        <w:jc w:val="both"/>
      </w:pPr>
      <w:r w:rsidRPr="00AE05EB">
        <w:t>Furthermore, the article also outlines the importance of the students’ attitudes in regard to their first or second languages</w:t>
      </w:r>
      <w:r w:rsidR="00491B7A" w:rsidRPr="00AE05EB">
        <w:t xml:space="preserve">, with many of the children </w:t>
      </w:r>
      <w:r w:rsidR="00B004B6">
        <w:t>involved within the</w:t>
      </w:r>
      <w:r w:rsidR="00491B7A" w:rsidRPr="00AE05EB">
        <w:t xml:space="preserve"> studies </w:t>
      </w:r>
      <w:r w:rsidR="00395589">
        <w:t xml:space="preserve">perceiving the </w:t>
      </w:r>
      <w:r w:rsidR="00491B7A" w:rsidRPr="00AE05EB">
        <w:t>acqu</w:t>
      </w:r>
      <w:r w:rsidR="00395589">
        <w:t>isition of</w:t>
      </w:r>
      <w:r w:rsidR="00491B7A" w:rsidRPr="00AE05EB">
        <w:t xml:space="preserve"> English as a means towards improving their learning and future career prospects (Bernardo and </w:t>
      </w:r>
      <w:proofErr w:type="spellStart"/>
      <w:r w:rsidR="00491B7A" w:rsidRPr="00AE05EB">
        <w:t>Gaerlan</w:t>
      </w:r>
      <w:proofErr w:type="spellEnd"/>
      <w:r w:rsidR="00491B7A" w:rsidRPr="00AE05EB">
        <w:t xml:space="preserve">, 2011). This may </w:t>
      </w:r>
      <w:r w:rsidR="00363E69" w:rsidRPr="00AE05EB">
        <w:t xml:space="preserve">cause discrepancies when relating the findings to the context of the Welsh education system, as evidence has shown that many students in Wales </w:t>
      </w:r>
      <w:r w:rsidR="00395589">
        <w:t>view</w:t>
      </w:r>
      <w:r w:rsidR="00363E69" w:rsidRPr="00AE05EB">
        <w:t xml:space="preserve"> the acquisition of Welsh as a tedious experience, which is not relevant or valuable to their development or </w:t>
      </w:r>
      <w:r w:rsidR="00363E69" w:rsidRPr="00C854DC">
        <w:t>prospects (W</w:t>
      </w:r>
      <w:r w:rsidR="0011612D" w:rsidRPr="00C854DC">
        <w:t xml:space="preserve">elsh </w:t>
      </w:r>
      <w:r w:rsidR="00363E69" w:rsidRPr="00C854DC">
        <w:t>G</w:t>
      </w:r>
      <w:r w:rsidR="0011612D" w:rsidRPr="00C854DC">
        <w:t>overnment</w:t>
      </w:r>
      <w:r w:rsidR="00363E69" w:rsidRPr="00C854DC">
        <w:t>, 2013).</w:t>
      </w:r>
      <w:r w:rsidR="00363E69" w:rsidRPr="00AE05EB">
        <w:t xml:space="preserve"> Furthermore, students have been found </w:t>
      </w:r>
      <w:r w:rsidR="00363E69" w:rsidRPr="00AE05EB">
        <w:lastRenderedPageBreak/>
        <w:t xml:space="preserve">to feel disconnected from the Welsh language, particularly as they advance through the later stages of education </w:t>
      </w:r>
      <w:r w:rsidR="00363E69" w:rsidRPr="00C854DC">
        <w:t>(Smith, 2016).</w:t>
      </w:r>
      <w:r w:rsidR="00363E69" w:rsidRPr="00AE05EB">
        <w:t xml:space="preserve"> Perhaps this may be a contributing factor to Estyn’s suggestion that “pupils should be aware of the advantages of learning Welsh and being bilingual” (Estyn, 2017, p.5). T</w:t>
      </w:r>
      <w:r w:rsidR="0054787B" w:rsidRPr="00AE05EB">
        <w:t xml:space="preserve">he importance of signalling to the learners the important roles of both their first and second languages, is further outlined by Bernardo and </w:t>
      </w:r>
      <w:proofErr w:type="spellStart"/>
      <w:r w:rsidR="0054787B" w:rsidRPr="00AE05EB">
        <w:t>Gaerlan</w:t>
      </w:r>
      <w:proofErr w:type="spellEnd"/>
      <w:r w:rsidR="0054787B" w:rsidRPr="00AE05EB">
        <w:t xml:space="preserve"> (2011), with them emphasising how</w:t>
      </w:r>
      <w:r w:rsidR="00105F7C">
        <w:t>,</w:t>
      </w:r>
      <w:r w:rsidR="0054787B" w:rsidRPr="00AE05EB">
        <w:t xml:space="preserve"> in addition to the impact this may have on their attitudes, such knowledge may also enable the students to choose and design how the languages may be utilised within different contexts, thus promoting dual language</w:t>
      </w:r>
      <w:r w:rsidR="00395589">
        <w:t xml:space="preserve"> use</w:t>
      </w:r>
      <w:r w:rsidR="0054787B" w:rsidRPr="00AE05EB">
        <w:t xml:space="preserve"> as a learning resource.</w:t>
      </w:r>
    </w:p>
    <w:p w14:paraId="25CEBAEA" w14:textId="6F5C2A5C" w:rsidR="00432E76" w:rsidRPr="00AE05EB" w:rsidRDefault="0054787B" w:rsidP="00AE05EB">
      <w:pPr>
        <w:pStyle w:val="NormalWeb"/>
        <w:spacing w:line="360" w:lineRule="auto"/>
        <w:jc w:val="both"/>
      </w:pPr>
      <w:r w:rsidRPr="00AE05EB">
        <w:t>When analysing this article, it may be important to consider the reliability of the sources used which may</w:t>
      </w:r>
      <w:r w:rsidR="001349D9">
        <w:t>,</w:t>
      </w:r>
      <w:r w:rsidRPr="00AE05EB">
        <w:t xml:space="preserve"> in turn</w:t>
      </w:r>
      <w:r w:rsidR="001349D9">
        <w:t>,</w:t>
      </w:r>
      <w:r w:rsidRPr="00AE05EB">
        <w:t xml:space="preserve"> impact the </w:t>
      </w:r>
      <w:r w:rsidR="00432E76" w:rsidRPr="00AE05EB">
        <w:t>credibility of</w:t>
      </w:r>
      <w:r w:rsidRPr="00AE05EB">
        <w:t xml:space="preserve"> the conten</w:t>
      </w:r>
      <w:r w:rsidR="00432E76" w:rsidRPr="00AE05EB">
        <w:t>t</w:t>
      </w:r>
      <w:r w:rsidRPr="00AE05EB">
        <w:t xml:space="preserve">. Upon observation of these sources, it may be questioned as to why the author felt to include fifteen sources </w:t>
      </w:r>
      <w:r w:rsidR="00432E76" w:rsidRPr="00AE05EB">
        <w:t xml:space="preserve">in which either Barnardo or </w:t>
      </w:r>
      <w:proofErr w:type="spellStart"/>
      <w:r w:rsidR="00432E76" w:rsidRPr="00AE05EB">
        <w:t>Gaerlan</w:t>
      </w:r>
      <w:proofErr w:type="spellEnd"/>
      <w:r w:rsidR="00432E76" w:rsidRPr="00AE05EB">
        <w:t xml:space="preserve"> featured either as sole or collaborative authors. In addition to this, two of the sources referenced within this number were not yet published upon the publication of the article in question. </w:t>
      </w:r>
    </w:p>
    <w:p w14:paraId="2C0361E3" w14:textId="29BC729E" w:rsidR="0054787B" w:rsidRPr="00AE05EB" w:rsidRDefault="0060366B" w:rsidP="002A06E6">
      <w:pPr>
        <w:pStyle w:val="NormalWeb"/>
        <w:spacing w:line="360" w:lineRule="auto"/>
        <w:jc w:val="both"/>
      </w:pPr>
      <w:r>
        <w:t>Furthermore</w:t>
      </w:r>
      <w:r w:rsidR="00432E76" w:rsidRPr="00AE05EB">
        <w:t xml:space="preserve">, </w:t>
      </w:r>
      <w:r w:rsidR="008F67EC" w:rsidRPr="00AE05EB">
        <w:t>the utilisation of a consensual qualitative research approach, as used to explore the social factors that influence successful implementation of learning through the medium of English as a second or foreign language (</w:t>
      </w:r>
      <w:proofErr w:type="spellStart"/>
      <w:r w:rsidR="008F67EC" w:rsidRPr="00AE05EB">
        <w:t>Gaerlan</w:t>
      </w:r>
      <w:proofErr w:type="spellEnd"/>
      <w:r w:rsidR="008F67EC" w:rsidRPr="00AE05EB">
        <w:t xml:space="preserve">, 2009 as cited in Bernardo and </w:t>
      </w:r>
      <w:proofErr w:type="spellStart"/>
      <w:r w:rsidR="008F67EC" w:rsidRPr="00AE05EB">
        <w:t>Gaerlan</w:t>
      </w:r>
      <w:proofErr w:type="spellEnd"/>
      <w:r w:rsidR="008F67EC" w:rsidRPr="00AE05EB">
        <w:t>, 2011), may be cause for further consideration of the validity of the publication. One possible threat to validity when utilising qualitative research is the potential for researcher bias (</w:t>
      </w:r>
      <w:proofErr w:type="spellStart"/>
      <w:r w:rsidR="008F67EC" w:rsidRPr="00AE05EB">
        <w:t>Pyrczak</w:t>
      </w:r>
      <w:proofErr w:type="spellEnd"/>
      <w:r w:rsidR="008F67EC" w:rsidRPr="00AE05EB">
        <w:t xml:space="preserve">, 2017), which may cause a greater level of concern when considering the source from which this research was taken was written by </w:t>
      </w:r>
      <w:proofErr w:type="spellStart"/>
      <w:r w:rsidR="008F67EC" w:rsidRPr="00AE05EB">
        <w:t>Gaerlan</w:t>
      </w:r>
      <w:proofErr w:type="spellEnd"/>
      <w:r w:rsidR="008F67EC" w:rsidRPr="00AE05EB">
        <w:t>. Furthermore, as this qualitative data was collected from the viewpoint of the students themselves</w:t>
      </w:r>
      <w:r w:rsidR="0060449B" w:rsidRPr="00AE05EB">
        <w:t xml:space="preserve"> (</w:t>
      </w:r>
      <w:proofErr w:type="spellStart"/>
      <w:r w:rsidR="0060449B" w:rsidRPr="00AE05EB">
        <w:t>Gaerlan</w:t>
      </w:r>
      <w:proofErr w:type="spellEnd"/>
      <w:r w:rsidR="0060449B" w:rsidRPr="00AE05EB">
        <w:t xml:space="preserve">, 2009 as cited in Bernardo and </w:t>
      </w:r>
      <w:proofErr w:type="spellStart"/>
      <w:r w:rsidR="0060449B" w:rsidRPr="00AE05EB">
        <w:t>Gaerlan</w:t>
      </w:r>
      <w:proofErr w:type="spellEnd"/>
      <w:r w:rsidR="0060449B" w:rsidRPr="00AE05EB">
        <w:t>, 2011)</w:t>
      </w:r>
      <w:r w:rsidR="008F67EC" w:rsidRPr="00AE05EB">
        <w:t>,</w:t>
      </w:r>
      <w:r w:rsidR="0060449B" w:rsidRPr="00AE05EB">
        <w:t xml:space="preserve"> the interpretive validity of the data may also be questioned, as it would depend greatly on the qualitative researcher’s ability to accurately understand and report on the participants</w:t>
      </w:r>
      <w:r w:rsidR="003B332F">
        <w:t>’</w:t>
      </w:r>
      <w:r w:rsidR="0060449B" w:rsidRPr="00AE05EB">
        <w:t xml:space="preserve"> viewpoints (</w:t>
      </w:r>
      <w:proofErr w:type="spellStart"/>
      <w:r w:rsidR="0060449B" w:rsidRPr="00AE05EB">
        <w:t>Pyrczak</w:t>
      </w:r>
      <w:proofErr w:type="spellEnd"/>
      <w:r w:rsidR="0060449B" w:rsidRPr="00AE05EB">
        <w:t>, 2017).</w:t>
      </w:r>
    </w:p>
    <w:p w14:paraId="2B1518AE" w14:textId="702BE97C" w:rsidR="00DD5A42" w:rsidRDefault="00DD5A42" w:rsidP="002A06E6">
      <w:pPr>
        <w:spacing w:before="100" w:beforeAutospacing="1" w:after="100" w:afterAutospacing="1" w:line="360" w:lineRule="auto"/>
        <w:jc w:val="both"/>
        <w:rPr>
          <w:rFonts w:ascii="Times New Roman" w:eastAsia="Times New Roman" w:hAnsi="Times New Roman" w:cs="Times New Roman"/>
        </w:rPr>
      </w:pPr>
      <w:r w:rsidRPr="00AE05EB">
        <w:rPr>
          <w:rFonts w:ascii="Times New Roman" w:eastAsia="Times New Roman" w:hAnsi="Times New Roman" w:cs="Times New Roman"/>
        </w:rPr>
        <w:t>In conclusion,</w:t>
      </w:r>
      <w:r w:rsidR="0060449B" w:rsidRPr="00AE05EB">
        <w:rPr>
          <w:rFonts w:ascii="Times New Roman" w:eastAsia="Times New Roman" w:hAnsi="Times New Roman" w:cs="Times New Roman"/>
        </w:rPr>
        <w:t xml:space="preserve"> the article in question gives an insight into how learning within a second or foreign language may impact on a learner’s cognitive use and ability</w:t>
      </w:r>
      <w:r w:rsidR="00571968" w:rsidRPr="00AE05EB">
        <w:rPr>
          <w:rFonts w:ascii="Times New Roman" w:eastAsia="Times New Roman" w:hAnsi="Times New Roman" w:cs="Times New Roman"/>
        </w:rPr>
        <w:t xml:space="preserve"> (Bernardo and </w:t>
      </w:r>
      <w:proofErr w:type="spellStart"/>
      <w:r w:rsidR="00571968" w:rsidRPr="00AE05EB">
        <w:rPr>
          <w:rFonts w:ascii="Times New Roman" w:eastAsia="Times New Roman" w:hAnsi="Times New Roman" w:cs="Times New Roman"/>
        </w:rPr>
        <w:t>Gaerlan</w:t>
      </w:r>
      <w:proofErr w:type="spellEnd"/>
      <w:r w:rsidR="00571968" w:rsidRPr="00AE05EB">
        <w:rPr>
          <w:rFonts w:ascii="Times New Roman" w:eastAsia="Times New Roman" w:hAnsi="Times New Roman" w:cs="Times New Roman"/>
        </w:rPr>
        <w:t>, 2011)</w:t>
      </w:r>
      <w:r w:rsidR="0060449B" w:rsidRPr="00AE05EB">
        <w:rPr>
          <w:rFonts w:ascii="Times New Roman" w:eastAsia="Times New Roman" w:hAnsi="Times New Roman" w:cs="Times New Roman"/>
        </w:rPr>
        <w:t>, with the findings being of possible interest and use to the Welsh</w:t>
      </w:r>
      <w:r w:rsidR="00571968" w:rsidRPr="00AE05EB">
        <w:rPr>
          <w:rFonts w:ascii="Times New Roman" w:eastAsia="Times New Roman" w:hAnsi="Times New Roman" w:cs="Times New Roman"/>
        </w:rPr>
        <w:t xml:space="preserve"> </w:t>
      </w:r>
      <w:r w:rsidR="0060449B" w:rsidRPr="00AE05EB">
        <w:rPr>
          <w:rFonts w:ascii="Times New Roman" w:eastAsia="Times New Roman" w:hAnsi="Times New Roman" w:cs="Times New Roman"/>
        </w:rPr>
        <w:t xml:space="preserve">education </w:t>
      </w:r>
      <w:r w:rsidR="00571968" w:rsidRPr="00AE05EB">
        <w:rPr>
          <w:rFonts w:ascii="Times New Roman" w:eastAsia="Times New Roman" w:hAnsi="Times New Roman" w:cs="Times New Roman"/>
        </w:rPr>
        <w:t>system</w:t>
      </w:r>
      <w:r w:rsidR="0060449B" w:rsidRPr="00AE05EB">
        <w:rPr>
          <w:rFonts w:ascii="Times New Roman" w:eastAsia="Times New Roman" w:hAnsi="Times New Roman" w:cs="Times New Roman"/>
        </w:rPr>
        <w:t>. However, the validity and reliability of the article needs to be taken into consideration, particularly in relation to the methods and sources of information used in forming its arguments</w:t>
      </w:r>
      <w:r w:rsidR="00571968" w:rsidRPr="00AE05EB">
        <w:rPr>
          <w:rFonts w:ascii="Times New Roman" w:eastAsia="Times New Roman" w:hAnsi="Times New Roman" w:cs="Times New Roman"/>
        </w:rPr>
        <w:t xml:space="preserve"> (</w:t>
      </w:r>
      <w:proofErr w:type="spellStart"/>
      <w:r w:rsidR="00571968" w:rsidRPr="00AE05EB">
        <w:rPr>
          <w:rFonts w:ascii="Times New Roman" w:eastAsia="Times New Roman" w:hAnsi="Times New Roman" w:cs="Times New Roman"/>
        </w:rPr>
        <w:t>Pyrczak</w:t>
      </w:r>
      <w:proofErr w:type="spellEnd"/>
      <w:r w:rsidR="00571968" w:rsidRPr="00AE05EB">
        <w:rPr>
          <w:rFonts w:ascii="Times New Roman" w:eastAsia="Times New Roman" w:hAnsi="Times New Roman" w:cs="Times New Roman"/>
        </w:rPr>
        <w:t>, 2017)</w:t>
      </w:r>
      <w:r w:rsidR="0060449B" w:rsidRPr="00AE05EB">
        <w:rPr>
          <w:rFonts w:ascii="Times New Roman" w:eastAsia="Times New Roman" w:hAnsi="Times New Roman" w:cs="Times New Roman"/>
        </w:rPr>
        <w:t xml:space="preserve">. In addition to this, the points as presented by Bernardo and </w:t>
      </w:r>
      <w:proofErr w:type="spellStart"/>
      <w:r w:rsidR="0060449B" w:rsidRPr="00AE05EB">
        <w:rPr>
          <w:rFonts w:ascii="Times New Roman" w:eastAsia="Times New Roman" w:hAnsi="Times New Roman" w:cs="Times New Roman"/>
        </w:rPr>
        <w:t>Gaerlan</w:t>
      </w:r>
      <w:proofErr w:type="spellEnd"/>
      <w:r w:rsidR="00571968" w:rsidRPr="00AE05EB">
        <w:rPr>
          <w:rFonts w:ascii="Times New Roman" w:eastAsia="Times New Roman" w:hAnsi="Times New Roman" w:cs="Times New Roman"/>
        </w:rPr>
        <w:t xml:space="preserve"> (2011)</w:t>
      </w:r>
      <w:r w:rsidR="00B339B8">
        <w:rPr>
          <w:rFonts w:ascii="Times New Roman" w:eastAsia="Times New Roman" w:hAnsi="Times New Roman" w:cs="Times New Roman"/>
        </w:rPr>
        <w:t>,</w:t>
      </w:r>
      <w:r w:rsidR="0060449B" w:rsidRPr="00AE05EB">
        <w:rPr>
          <w:rFonts w:ascii="Times New Roman" w:eastAsia="Times New Roman" w:hAnsi="Times New Roman" w:cs="Times New Roman"/>
        </w:rPr>
        <w:t xml:space="preserve"> may not be entirely applicable to the context of Welsh</w:t>
      </w:r>
      <w:r w:rsidR="00571968" w:rsidRPr="00AE05EB">
        <w:rPr>
          <w:rFonts w:ascii="Times New Roman" w:eastAsia="Times New Roman" w:hAnsi="Times New Roman" w:cs="Times New Roman"/>
        </w:rPr>
        <w:t xml:space="preserve">-medium education, </w:t>
      </w:r>
      <w:r w:rsidR="0060449B" w:rsidRPr="00AE05EB">
        <w:rPr>
          <w:rFonts w:ascii="Times New Roman" w:eastAsia="Times New Roman" w:hAnsi="Times New Roman" w:cs="Times New Roman"/>
        </w:rPr>
        <w:t>due to the</w:t>
      </w:r>
      <w:r w:rsidR="00B339B8">
        <w:rPr>
          <w:rFonts w:ascii="Times New Roman" w:eastAsia="Times New Roman" w:hAnsi="Times New Roman" w:cs="Times New Roman"/>
        </w:rPr>
        <w:t xml:space="preserve"> apparent</w:t>
      </w:r>
      <w:r w:rsidR="0060449B" w:rsidRPr="00AE05EB">
        <w:rPr>
          <w:rFonts w:ascii="Times New Roman" w:eastAsia="Times New Roman" w:hAnsi="Times New Roman" w:cs="Times New Roman"/>
        </w:rPr>
        <w:t xml:space="preserve"> </w:t>
      </w:r>
      <w:r w:rsidR="0060449B" w:rsidRPr="00AE05EB">
        <w:rPr>
          <w:rFonts w:ascii="Times New Roman" w:eastAsia="Times New Roman" w:hAnsi="Times New Roman" w:cs="Times New Roman"/>
        </w:rPr>
        <w:lastRenderedPageBreak/>
        <w:t>differences in both the structure of the language</w:t>
      </w:r>
      <w:r w:rsidR="00571968" w:rsidRPr="00AE05EB">
        <w:rPr>
          <w:rFonts w:ascii="Times New Roman" w:eastAsia="Times New Roman" w:hAnsi="Times New Roman" w:cs="Times New Roman"/>
        </w:rPr>
        <w:t>s used (Taylor and Taylor, 1990)</w:t>
      </w:r>
      <w:r w:rsidR="0060449B" w:rsidRPr="00AE05EB">
        <w:rPr>
          <w:rFonts w:ascii="Times New Roman" w:eastAsia="Times New Roman" w:hAnsi="Times New Roman" w:cs="Times New Roman"/>
        </w:rPr>
        <w:t xml:space="preserve">, and the social and personal factors </w:t>
      </w:r>
      <w:r w:rsidR="00571968" w:rsidRPr="00AE05EB">
        <w:rPr>
          <w:rFonts w:ascii="Times New Roman" w:eastAsia="Times New Roman" w:hAnsi="Times New Roman" w:cs="Times New Roman"/>
        </w:rPr>
        <w:t xml:space="preserve">that contribute to such learning (WG, 2013; Smith, 2016). </w:t>
      </w:r>
      <w:r w:rsidR="0060449B" w:rsidRPr="00AE05EB">
        <w:rPr>
          <w:rFonts w:ascii="Times New Roman" w:eastAsia="Times New Roman" w:hAnsi="Times New Roman" w:cs="Times New Roman"/>
        </w:rPr>
        <w:t xml:space="preserve"> </w:t>
      </w:r>
    </w:p>
    <w:p w14:paraId="166EA2FC" w14:textId="1814500D" w:rsidR="00BC23D5" w:rsidRDefault="00BC23D5" w:rsidP="00AE05EB">
      <w:pPr>
        <w:spacing w:before="100" w:beforeAutospacing="1" w:after="100" w:afterAutospacing="1" w:line="360" w:lineRule="auto"/>
        <w:rPr>
          <w:rFonts w:ascii="Times New Roman" w:eastAsia="Times New Roman" w:hAnsi="Times New Roman" w:cs="Times New Roman"/>
        </w:rPr>
      </w:pPr>
      <w:r>
        <w:rPr>
          <w:rFonts w:ascii="Times New Roman" w:eastAsia="Times New Roman" w:hAnsi="Times New Roman" w:cs="Times New Roman"/>
        </w:rPr>
        <w:t>Word count: 219</w:t>
      </w:r>
      <w:r w:rsidR="009A6A06">
        <w:rPr>
          <w:rFonts w:ascii="Times New Roman" w:eastAsia="Times New Roman" w:hAnsi="Times New Roman" w:cs="Times New Roman"/>
        </w:rPr>
        <w:t>2</w:t>
      </w:r>
    </w:p>
    <w:p w14:paraId="101BAB55" w14:textId="77777777" w:rsidR="00C854DC" w:rsidRDefault="00C854DC" w:rsidP="00C854DC">
      <w:pPr>
        <w:shd w:val="clear" w:color="auto" w:fill="FFFFFF"/>
        <w:spacing w:after="100" w:afterAutospacing="1" w:line="360" w:lineRule="auto"/>
        <w:outlineLvl w:val="1"/>
        <w:rPr>
          <w:rFonts w:ascii="Times New Roman" w:eastAsia="Times New Roman" w:hAnsi="Times New Roman" w:cs="Times New Roman"/>
        </w:rPr>
      </w:pPr>
    </w:p>
    <w:p w14:paraId="63D07222" w14:textId="77777777" w:rsidR="00C854DC" w:rsidRDefault="00C854DC" w:rsidP="00C854DC">
      <w:pPr>
        <w:shd w:val="clear" w:color="auto" w:fill="FFFFFF"/>
        <w:spacing w:after="100" w:afterAutospacing="1" w:line="360" w:lineRule="auto"/>
        <w:outlineLvl w:val="1"/>
        <w:rPr>
          <w:rFonts w:ascii="Times New Roman" w:eastAsia="Times New Roman" w:hAnsi="Times New Roman" w:cs="Times New Roman"/>
        </w:rPr>
      </w:pPr>
    </w:p>
    <w:p w14:paraId="6BA0723D" w14:textId="77777777" w:rsidR="00C854DC" w:rsidRDefault="00C854DC" w:rsidP="00C854DC">
      <w:pPr>
        <w:shd w:val="clear" w:color="auto" w:fill="FFFFFF"/>
        <w:spacing w:after="100" w:afterAutospacing="1" w:line="360" w:lineRule="auto"/>
        <w:outlineLvl w:val="1"/>
        <w:rPr>
          <w:rFonts w:ascii="Times New Roman" w:eastAsia="Times New Roman" w:hAnsi="Times New Roman" w:cs="Times New Roman"/>
        </w:rPr>
      </w:pPr>
    </w:p>
    <w:p w14:paraId="3A9F25C7" w14:textId="77777777" w:rsidR="00C854DC" w:rsidRDefault="00C854DC" w:rsidP="00C854DC">
      <w:pPr>
        <w:shd w:val="clear" w:color="auto" w:fill="FFFFFF"/>
        <w:spacing w:after="100" w:afterAutospacing="1" w:line="360" w:lineRule="auto"/>
        <w:outlineLvl w:val="1"/>
        <w:rPr>
          <w:rFonts w:ascii="Times New Roman" w:eastAsia="Times New Roman" w:hAnsi="Times New Roman" w:cs="Times New Roman"/>
        </w:rPr>
      </w:pPr>
    </w:p>
    <w:p w14:paraId="6DA7A6CF" w14:textId="77777777" w:rsidR="00C854DC" w:rsidRDefault="00C854DC" w:rsidP="00C854DC">
      <w:pPr>
        <w:shd w:val="clear" w:color="auto" w:fill="FFFFFF"/>
        <w:spacing w:after="100" w:afterAutospacing="1" w:line="360" w:lineRule="auto"/>
        <w:outlineLvl w:val="1"/>
        <w:rPr>
          <w:rFonts w:ascii="Times New Roman" w:eastAsia="Times New Roman" w:hAnsi="Times New Roman" w:cs="Times New Roman"/>
        </w:rPr>
      </w:pPr>
    </w:p>
    <w:p w14:paraId="37B76E3E" w14:textId="77777777" w:rsidR="00C854DC" w:rsidRDefault="00C854DC" w:rsidP="00C854DC">
      <w:pPr>
        <w:shd w:val="clear" w:color="auto" w:fill="FFFFFF"/>
        <w:spacing w:after="100" w:afterAutospacing="1" w:line="360" w:lineRule="auto"/>
        <w:outlineLvl w:val="1"/>
        <w:rPr>
          <w:rFonts w:ascii="Times New Roman" w:eastAsia="Times New Roman" w:hAnsi="Times New Roman" w:cs="Times New Roman"/>
        </w:rPr>
      </w:pPr>
    </w:p>
    <w:p w14:paraId="76DEE8CB" w14:textId="77777777" w:rsidR="00C854DC" w:rsidRDefault="00C854DC" w:rsidP="00C854DC">
      <w:pPr>
        <w:shd w:val="clear" w:color="auto" w:fill="FFFFFF"/>
        <w:spacing w:after="100" w:afterAutospacing="1" w:line="360" w:lineRule="auto"/>
        <w:outlineLvl w:val="1"/>
        <w:rPr>
          <w:rFonts w:ascii="Times New Roman" w:eastAsia="Times New Roman" w:hAnsi="Times New Roman" w:cs="Times New Roman"/>
        </w:rPr>
      </w:pPr>
    </w:p>
    <w:p w14:paraId="687EB5F5" w14:textId="77777777" w:rsidR="00C854DC" w:rsidRDefault="00C854DC" w:rsidP="00C854DC">
      <w:pPr>
        <w:shd w:val="clear" w:color="auto" w:fill="FFFFFF"/>
        <w:spacing w:after="100" w:afterAutospacing="1" w:line="360" w:lineRule="auto"/>
        <w:outlineLvl w:val="1"/>
        <w:rPr>
          <w:rFonts w:ascii="Times New Roman" w:eastAsia="Times New Roman" w:hAnsi="Times New Roman" w:cs="Times New Roman"/>
        </w:rPr>
      </w:pPr>
    </w:p>
    <w:p w14:paraId="7E268989" w14:textId="77777777" w:rsidR="00C854DC" w:rsidRDefault="00C854DC" w:rsidP="00C854DC">
      <w:pPr>
        <w:shd w:val="clear" w:color="auto" w:fill="FFFFFF"/>
        <w:spacing w:after="100" w:afterAutospacing="1" w:line="360" w:lineRule="auto"/>
        <w:outlineLvl w:val="1"/>
        <w:rPr>
          <w:rFonts w:ascii="Times New Roman" w:eastAsia="Times New Roman" w:hAnsi="Times New Roman" w:cs="Times New Roman"/>
        </w:rPr>
      </w:pPr>
    </w:p>
    <w:p w14:paraId="278B95B9" w14:textId="77777777" w:rsidR="00C854DC" w:rsidRDefault="00C854DC" w:rsidP="00C854DC">
      <w:pPr>
        <w:shd w:val="clear" w:color="auto" w:fill="FFFFFF"/>
        <w:spacing w:after="100" w:afterAutospacing="1" w:line="360" w:lineRule="auto"/>
        <w:outlineLvl w:val="1"/>
        <w:rPr>
          <w:rFonts w:ascii="Times New Roman" w:eastAsia="Times New Roman" w:hAnsi="Times New Roman" w:cs="Times New Roman"/>
        </w:rPr>
      </w:pPr>
    </w:p>
    <w:p w14:paraId="433FA1A5" w14:textId="77777777" w:rsidR="00C854DC" w:rsidRDefault="00C854DC" w:rsidP="00C854DC">
      <w:pPr>
        <w:shd w:val="clear" w:color="auto" w:fill="FFFFFF"/>
        <w:spacing w:after="100" w:afterAutospacing="1" w:line="360" w:lineRule="auto"/>
        <w:outlineLvl w:val="1"/>
        <w:rPr>
          <w:rFonts w:ascii="Times New Roman" w:eastAsia="Times New Roman" w:hAnsi="Times New Roman" w:cs="Times New Roman"/>
        </w:rPr>
      </w:pPr>
    </w:p>
    <w:p w14:paraId="6F8A1071" w14:textId="77777777" w:rsidR="00C854DC" w:rsidRDefault="00C854DC" w:rsidP="00C854DC">
      <w:pPr>
        <w:shd w:val="clear" w:color="auto" w:fill="FFFFFF"/>
        <w:spacing w:after="100" w:afterAutospacing="1" w:line="360" w:lineRule="auto"/>
        <w:outlineLvl w:val="1"/>
        <w:rPr>
          <w:rFonts w:ascii="Times New Roman" w:eastAsia="Times New Roman" w:hAnsi="Times New Roman" w:cs="Times New Roman"/>
        </w:rPr>
      </w:pPr>
    </w:p>
    <w:p w14:paraId="53F81CC7" w14:textId="77777777" w:rsidR="00C854DC" w:rsidRDefault="00C854DC" w:rsidP="00C854DC">
      <w:pPr>
        <w:shd w:val="clear" w:color="auto" w:fill="FFFFFF"/>
        <w:spacing w:after="100" w:afterAutospacing="1" w:line="360" w:lineRule="auto"/>
        <w:outlineLvl w:val="1"/>
        <w:rPr>
          <w:rFonts w:ascii="Times New Roman" w:eastAsia="Times New Roman" w:hAnsi="Times New Roman" w:cs="Times New Roman"/>
        </w:rPr>
      </w:pPr>
    </w:p>
    <w:p w14:paraId="4FE76741" w14:textId="77777777" w:rsidR="00C854DC" w:rsidRDefault="00C854DC" w:rsidP="00C854DC">
      <w:pPr>
        <w:shd w:val="clear" w:color="auto" w:fill="FFFFFF"/>
        <w:spacing w:after="100" w:afterAutospacing="1" w:line="360" w:lineRule="auto"/>
        <w:outlineLvl w:val="1"/>
        <w:rPr>
          <w:rFonts w:ascii="Times New Roman" w:eastAsia="Times New Roman" w:hAnsi="Times New Roman" w:cs="Times New Roman"/>
        </w:rPr>
      </w:pPr>
    </w:p>
    <w:p w14:paraId="380DBE1C" w14:textId="77777777" w:rsidR="00C854DC" w:rsidRDefault="00C854DC" w:rsidP="00C854DC">
      <w:pPr>
        <w:shd w:val="clear" w:color="auto" w:fill="FFFFFF"/>
        <w:spacing w:after="100" w:afterAutospacing="1" w:line="360" w:lineRule="auto"/>
        <w:outlineLvl w:val="1"/>
        <w:rPr>
          <w:rFonts w:ascii="Times New Roman" w:eastAsia="Times New Roman" w:hAnsi="Times New Roman" w:cs="Times New Roman"/>
        </w:rPr>
      </w:pPr>
    </w:p>
    <w:p w14:paraId="5F596E51" w14:textId="77777777" w:rsidR="00C854DC" w:rsidRDefault="00C854DC" w:rsidP="00C854DC">
      <w:pPr>
        <w:shd w:val="clear" w:color="auto" w:fill="FFFFFF"/>
        <w:spacing w:after="100" w:afterAutospacing="1" w:line="360" w:lineRule="auto"/>
        <w:outlineLvl w:val="1"/>
        <w:rPr>
          <w:rFonts w:ascii="Times New Roman" w:eastAsia="Times New Roman" w:hAnsi="Times New Roman" w:cs="Times New Roman"/>
        </w:rPr>
      </w:pPr>
    </w:p>
    <w:p w14:paraId="5004C863" w14:textId="77777777" w:rsidR="00235C3C" w:rsidRDefault="00235C3C" w:rsidP="00C854DC">
      <w:pPr>
        <w:shd w:val="clear" w:color="auto" w:fill="FFFFFF"/>
        <w:spacing w:after="100" w:afterAutospacing="1" w:line="360" w:lineRule="auto"/>
        <w:outlineLvl w:val="1"/>
        <w:rPr>
          <w:rFonts w:ascii="Times New Roman" w:eastAsia="Times New Roman" w:hAnsi="Times New Roman" w:cs="Times New Roman"/>
          <w:b/>
        </w:rPr>
      </w:pPr>
    </w:p>
    <w:p w14:paraId="239D4B83" w14:textId="77777777" w:rsidR="00235C3C" w:rsidRDefault="00235C3C" w:rsidP="00C854DC">
      <w:pPr>
        <w:shd w:val="clear" w:color="auto" w:fill="FFFFFF"/>
        <w:spacing w:after="100" w:afterAutospacing="1" w:line="360" w:lineRule="auto"/>
        <w:outlineLvl w:val="1"/>
        <w:rPr>
          <w:rFonts w:ascii="Times New Roman" w:eastAsia="Times New Roman" w:hAnsi="Times New Roman" w:cs="Times New Roman"/>
          <w:b/>
        </w:rPr>
      </w:pPr>
    </w:p>
    <w:p w14:paraId="27A89C46" w14:textId="628857CD" w:rsidR="00C854DC" w:rsidRPr="00C854DC" w:rsidRDefault="00C854DC" w:rsidP="00C854DC">
      <w:pPr>
        <w:shd w:val="clear" w:color="auto" w:fill="FFFFFF"/>
        <w:spacing w:after="100" w:afterAutospacing="1" w:line="360" w:lineRule="auto"/>
        <w:outlineLvl w:val="1"/>
        <w:rPr>
          <w:rFonts w:ascii="Times New Roman" w:eastAsia="Times New Roman" w:hAnsi="Times New Roman" w:cs="Times New Roman"/>
          <w:b/>
        </w:rPr>
      </w:pPr>
      <w:bookmarkStart w:id="0" w:name="_GoBack"/>
      <w:bookmarkEnd w:id="0"/>
      <w:r w:rsidRPr="00C854DC">
        <w:rPr>
          <w:rFonts w:ascii="Times New Roman" w:eastAsia="Times New Roman" w:hAnsi="Times New Roman" w:cs="Times New Roman"/>
          <w:b/>
        </w:rPr>
        <w:lastRenderedPageBreak/>
        <w:t>Reference</w:t>
      </w:r>
      <w:r w:rsidRPr="00C854DC">
        <w:rPr>
          <w:rFonts w:ascii="Times New Roman" w:eastAsia="Times New Roman" w:hAnsi="Times New Roman" w:cs="Times New Roman"/>
          <w:b/>
        </w:rPr>
        <w:t xml:space="preserve"> List</w:t>
      </w:r>
    </w:p>
    <w:p w14:paraId="334B4B4C" w14:textId="6A947733" w:rsidR="00C854DC" w:rsidRPr="00C854DC" w:rsidRDefault="00C854DC" w:rsidP="002A06E6">
      <w:pPr>
        <w:spacing w:line="360" w:lineRule="auto"/>
        <w:rPr>
          <w:rFonts w:ascii="Times New Roman" w:eastAsia="Times New Roman" w:hAnsi="Times New Roman" w:cs="Times New Roman"/>
          <w:color w:val="000000" w:themeColor="text1"/>
        </w:rPr>
      </w:pPr>
      <w:r w:rsidRPr="001828C7">
        <w:rPr>
          <w:rFonts w:ascii="Times New Roman" w:eastAsia="Times New Roman" w:hAnsi="Times New Roman" w:cs="Times New Roman"/>
          <w:color w:val="000000" w:themeColor="text1"/>
        </w:rPr>
        <w:t xml:space="preserve">Bernardo, A.B.I. &amp; </w:t>
      </w:r>
      <w:proofErr w:type="spellStart"/>
      <w:r w:rsidRPr="001828C7">
        <w:rPr>
          <w:rFonts w:ascii="Times New Roman" w:eastAsia="Times New Roman" w:hAnsi="Times New Roman" w:cs="Times New Roman"/>
          <w:color w:val="000000" w:themeColor="text1"/>
        </w:rPr>
        <w:t>Gaerlan</w:t>
      </w:r>
      <w:proofErr w:type="spellEnd"/>
      <w:r w:rsidRPr="001828C7">
        <w:rPr>
          <w:rFonts w:ascii="Times New Roman" w:eastAsia="Times New Roman" w:hAnsi="Times New Roman" w:cs="Times New Roman"/>
          <w:color w:val="000000" w:themeColor="text1"/>
        </w:rPr>
        <w:t xml:space="preserve">, M.J.M. (2011) Non-Native English Students Learning in English: Reviewing and Reﬂecting on the Research.  In </w:t>
      </w:r>
      <w:proofErr w:type="spellStart"/>
      <w:r w:rsidRPr="001828C7">
        <w:rPr>
          <w:rFonts w:ascii="Times New Roman" w:eastAsia="Times New Roman" w:hAnsi="Times New Roman" w:cs="Times New Roman"/>
          <w:color w:val="000000" w:themeColor="text1"/>
        </w:rPr>
        <w:t>Jaidey</w:t>
      </w:r>
      <w:proofErr w:type="spellEnd"/>
      <w:r w:rsidRPr="001828C7">
        <w:rPr>
          <w:rFonts w:ascii="Times New Roman" w:eastAsia="Times New Roman" w:hAnsi="Times New Roman" w:cs="Times New Roman"/>
          <w:color w:val="000000" w:themeColor="text1"/>
        </w:rPr>
        <w:t xml:space="preserve">, R., </w:t>
      </w:r>
      <w:proofErr w:type="spellStart"/>
      <w:r w:rsidRPr="001828C7">
        <w:rPr>
          <w:rFonts w:ascii="Times New Roman" w:eastAsia="Times New Roman" w:hAnsi="Times New Roman" w:cs="Times New Roman"/>
          <w:color w:val="000000" w:themeColor="text1"/>
        </w:rPr>
        <w:t>Sadorra</w:t>
      </w:r>
      <w:proofErr w:type="spellEnd"/>
      <w:r w:rsidRPr="001828C7">
        <w:rPr>
          <w:rFonts w:ascii="Times New Roman" w:eastAsia="Times New Roman" w:hAnsi="Times New Roman" w:cs="Times New Roman"/>
          <w:color w:val="000000" w:themeColor="text1"/>
        </w:rPr>
        <w:t xml:space="preserve">, M.L.C., Wong, J.O., Lee, M.C. &amp; </w:t>
      </w:r>
      <w:proofErr w:type="spellStart"/>
      <w:r w:rsidRPr="001828C7">
        <w:rPr>
          <w:rFonts w:ascii="Times New Roman" w:eastAsia="Times New Roman" w:hAnsi="Times New Roman" w:cs="Times New Roman"/>
          <w:color w:val="000000" w:themeColor="text1"/>
        </w:rPr>
        <w:t>Lorente</w:t>
      </w:r>
      <w:proofErr w:type="spellEnd"/>
      <w:r w:rsidRPr="001828C7">
        <w:rPr>
          <w:rFonts w:ascii="Times New Roman" w:eastAsia="Times New Roman" w:hAnsi="Times New Roman" w:cs="Times New Roman"/>
          <w:color w:val="000000" w:themeColor="text1"/>
        </w:rPr>
        <w:t>, M.C. (eds.) </w:t>
      </w:r>
      <w:r w:rsidRPr="001828C7">
        <w:rPr>
          <w:rFonts w:ascii="Times New Roman" w:eastAsia="Times New Roman" w:hAnsi="Times New Roman" w:cs="Times New Roman"/>
          <w:i/>
          <w:iCs/>
          <w:color w:val="000000" w:themeColor="text1"/>
        </w:rPr>
        <w:t>Global perspectives, local initiatives: Reflections and practices in ELT</w:t>
      </w:r>
      <w:r w:rsidRPr="001828C7">
        <w:rPr>
          <w:rFonts w:ascii="Times New Roman" w:eastAsia="Times New Roman" w:hAnsi="Times New Roman" w:cs="Times New Roman"/>
          <w:color w:val="000000" w:themeColor="text1"/>
        </w:rPr>
        <w:t>.  National University of Singapore, CELC, pp.1-9.</w:t>
      </w:r>
    </w:p>
    <w:p w14:paraId="0A7FE214" w14:textId="77777777" w:rsidR="00C854DC" w:rsidRPr="00C854DC" w:rsidRDefault="00C854DC" w:rsidP="002A06E6">
      <w:pPr>
        <w:shd w:val="clear" w:color="auto" w:fill="FFFFFF"/>
        <w:spacing w:after="180" w:line="360" w:lineRule="auto"/>
        <w:ind w:left="450" w:hanging="450"/>
        <w:rPr>
          <w:rFonts w:ascii="Times New Roman" w:eastAsia="Times New Roman" w:hAnsi="Times New Roman" w:cs="Times New Roman"/>
          <w:color w:val="000000" w:themeColor="text1"/>
        </w:rPr>
      </w:pPr>
      <w:proofErr w:type="spellStart"/>
      <w:r w:rsidRPr="00C854DC">
        <w:rPr>
          <w:rFonts w:ascii="Times New Roman" w:eastAsia="Times New Roman" w:hAnsi="Times New Roman" w:cs="Times New Roman"/>
          <w:color w:val="000000" w:themeColor="text1"/>
        </w:rPr>
        <w:t>Burkhauser</w:t>
      </w:r>
      <w:proofErr w:type="spellEnd"/>
      <w:r w:rsidRPr="00C854DC">
        <w:rPr>
          <w:rFonts w:ascii="Times New Roman" w:eastAsia="Times New Roman" w:hAnsi="Times New Roman" w:cs="Times New Roman"/>
          <w:color w:val="000000" w:themeColor="text1"/>
        </w:rPr>
        <w:t xml:space="preserve">, S., Steele, J., Li, J., Slater, R., Bacon, M. and Miller, T. (2016). Partner-Language Learning Trajectories in Dual-Language Immersion: Evidence </w:t>
      </w:r>
      <w:proofErr w:type="gramStart"/>
      <w:r w:rsidRPr="00C854DC">
        <w:rPr>
          <w:rFonts w:ascii="Times New Roman" w:eastAsia="Times New Roman" w:hAnsi="Times New Roman" w:cs="Times New Roman"/>
          <w:color w:val="000000" w:themeColor="text1"/>
        </w:rPr>
        <w:t>From</w:t>
      </w:r>
      <w:proofErr w:type="gramEnd"/>
      <w:r w:rsidRPr="00C854DC">
        <w:rPr>
          <w:rFonts w:ascii="Times New Roman" w:eastAsia="Times New Roman" w:hAnsi="Times New Roman" w:cs="Times New Roman"/>
          <w:color w:val="000000" w:themeColor="text1"/>
        </w:rPr>
        <w:t xml:space="preserve"> an Urban District. </w:t>
      </w:r>
      <w:r w:rsidRPr="00C854DC">
        <w:rPr>
          <w:rFonts w:ascii="Times New Roman" w:eastAsia="Times New Roman" w:hAnsi="Times New Roman" w:cs="Times New Roman"/>
          <w:i/>
          <w:iCs/>
          <w:color w:val="000000" w:themeColor="text1"/>
        </w:rPr>
        <w:t>Foreign Language Annals</w:t>
      </w:r>
      <w:r w:rsidRPr="00C854DC">
        <w:rPr>
          <w:rFonts w:ascii="Times New Roman" w:eastAsia="Times New Roman" w:hAnsi="Times New Roman" w:cs="Times New Roman"/>
          <w:color w:val="000000" w:themeColor="text1"/>
        </w:rPr>
        <w:t>, 49(3), pp.415-433.</w:t>
      </w:r>
    </w:p>
    <w:p w14:paraId="6710D907" w14:textId="77777777" w:rsidR="00C854DC" w:rsidRPr="00C854DC" w:rsidRDefault="00C854DC" w:rsidP="002A06E6">
      <w:pPr>
        <w:shd w:val="clear" w:color="auto" w:fill="FFFFFF"/>
        <w:spacing w:after="180" w:line="360" w:lineRule="auto"/>
        <w:ind w:left="450" w:hanging="450"/>
        <w:rPr>
          <w:rFonts w:ascii="Times New Roman" w:eastAsia="Times New Roman" w:hAnsi="Times New Roman" w:cs="Times New Roman"/>
          <w:color w:val="000000" w:themeColor="text1"/>
        </w:rPr>
      </w:pPr>
      <w:r w:rsidRPr="00C854DC">
        <w:rPr>
          <w:rFonts w:ascii="Times New Roman" w:eastAsia="Times New Roman" w:hAnsi="Times New Roman" w:cs="Times New Roman"/>
          <w:color w:val="000000" w:themeColor="text1"/>
        </w:rPr>
        <w:t>Doherty, J. and Hughes, M. (2014). </w:t>
      </w:r>
      <w:r w:rsidRPr="00C854DC">
        <w:rPr>
          <w:rFonts w:ascii="Times New Roman" w:eastAsia="Times New Roman" w:hAnsi="Times New Roman" w:cs="Times New Roman"/>
          <w:i/>
          <w:iCs/>
          <w:color w:val="000000" w:themeColor="text1"/>
        </w:rPr>
        <w:t>Child Development - Theory and Practice 0-11</w:t>
      </w:r>
      <w:r w:rsidRPr="00C854DC">
        <w:rPr>
          <w:rFonts w:ascii="Times New Roman" w:eastAsia="Times New Roman" w:hAnsi="Times New Roman" w:cs="Times New Roman"/>
          <w:color w:val="000000" w:themeColor="text1"/>
        </w:rPr>
        <w:t>. 2nd ed. Harlow: Pearson Education Limited.</w:t>
      </w:r>
    </w:p>
    <w:p w14:paraId="0C62D17D" w14:textId="77777777" w:rsidR="00C854DC" w:rsidRPr="00C854DC" w:rsidRDefault="00C854DC" w:rsidP="002A06E6">
      <w:pPr>
        <w:shd w:val="clear" w:color="auto" w:fill="FFFFFF"/>
        <w:spacing w:after="180" w:line="360" w:lineRule="auto"/>
        <w:ind w:left="450" w:hanging="450"/>
        <w:rPr>
          <w:rFonts w:ascii="Times New Roman" w:eastAsia="Times New Roman" w:hAnsi="Times New Roman" w:cs="Times New Roman"/>
        </w:rPr>
      </w:pPr>
      <w:r w:rsidRPr="00C854DC">
        <w:rPr>
          <w:rFonts w:ascii="Times New Roman" w:eastAsia="Times New Roman" w:hAnsi="Times New Roman" w:cs="Times New Roman"/>
        </w:rPr>
        <w:t>Donaldson, G. (2015). </w:t>
      </w:r>
      <w:r w:rsidRPr="00C854DC">
        <w:rPr>
          <w:rFonts w:ascii="Times New Roman" w:eastAsia="Times New Roman" w:hAnsi="Times New Roman" w:cs="Times New Roman"/>
          <w:i/>
          <w:iCs/>
        </w:rPr>
        <w:t>Successful Futures</w:t>
      </w:r>
      <w:r w:rsidRPr="00C854DC">
        <w:rPr>
          <w:rFonts w:ascii="Times New Roman" w:eastAsia="Times New Roman" w:hAnsi="Times New Roman" w:cs="Times New Roman"/>
        </w:rPr>
        <w:t>. Cardiff: Welsh Government.</w:t>
      </w:r>
    </w:p>
    <w:p w14:paraId="460B6A1F" w14:textId="77777777" w:rsidR="00C854DC" w:rsidRPr="00C854DC" w:rsidRDefault="00C854DC" w:rsidP="002A06E6">
      <w:pPr>
        <w:shd w:val="clear" w:color="auto" w:fill="FFFFFF"/>
        <w:spacing w:after="180" w:line="360" w:lineRule="auto"/>
        <w:ind w:left="450" w:hanging="450"/>
        <w:rPr>
          <w:rFonts w:ascii="Times New Roman" w:eastAsia="Times New Roman" w:hAnsi="Times New Roman" w:cs="Times New Roman"/>
        </w:rPr>
      </w:pPr>
      <w:r w:rsidRPr="00C854DC">
        <w:rPr>
          <w:rFonts w:ascii="Times New Roman" w:eastAsia="Times New Roman" w:hAnsi="Times New Roman" w:cs="Times New Roman"/>
        </w:rPr>
        <w:t>Estyn (2017). </w:t>
      </w:r>
      <w:r w:rsidRPr="00C854DC">
        <w:rPr>
          <w:rFonts w:ascii="Times New Roman" w:eastAsia="Times New Roman" w:hAnsi="Times New Roman" w:cs="Times New Roman"/>
          <w:i/>
          <w:iCs/>
        </w:rPr>
        <w:t>Supplementary guidance: Welsh</w:t>
      </w:r>
      <w:r w:rsidRPr="00C854DC">
        <w:rPr>
          <w:rFonts w:ascii="Times New Roman" w:eastAsia="Times New Roman" w:hAnsi="Times New Roman" w:cs="Times New Roman"/>
        </w:rPr>
        <w:t>. [online] Cardiff: Estyn. Available at: https://www.estyn.gov.wales/document/supplementary-guidance-welsh-0 [Accessed 12 Jan. 2019].</w:t>
      </w:r>
    </w:p>
    <w:p w14:paraId="3EF30C91" w14:textId="77777777" w:rsidR="00C854DC" w:rsidRPr="00C854DC" w:rsidRDefault="00C854DC" w:rsidP="002A06E6">
      <w:pPr>
        <w:shd w:val="clear" w:color="auto" w:fill="FFFFFF"/>
        <w:spacing w:after="180" w:line="360" w:lineRule="auto"/>
        <w:ind w:left="450" w:hanging="450"/>
        <w:rPr>
          <w:rFonts w:ascii="Times New Roman" w:eastAsia="Times New Roman" w:hAnsi="Times New Roman" w:cs="Times New Roman"/>
        </w:rPr>
      </w:pPr>
      <w:r w:rsidRPr="00C854DC">
        <w:rPr>
          <w:rFonts w:ascii="Times New Roman" w:eastAsia="Times New Roman" w:hAnsi="Times New Roman" w:cs="Times New Roman"/>
        </w:rPr>
        <w:t xml:space="preserve">Fitzpatrick, T., Morris, S., Clark, T., Mitchell, R., Needs, J., </w:t>
      </w:r>
      <w:proofErr w:type="spellStart"/>
      <w:r w:rsidRPr="00C854DC">
        <w:rPr>
          <w:rFonts w:ascii="Times New Roman" w:eastAsia="Times New Roman" w:hAnsi="Times New Roman" w:cs="Times New Roman"/>
        </w:rPr>
        <w:t>Tanguay</w:t>
      </w:r>
      <w:proofErr w:type="spellEnd"/>
      <w:r w:rsidRPr="00C854DC">
        <w:rPr>
          <w:rFonts w:ascii="Times New Roman" w:eastAsia="Times New Roman" w:hAnsi="Times New Roman" w:cs="Times New Roman"/>
        </w:rPr>
        <w:t>, E. and Tovey, B. (2018). </w:t>
      </w:r>
      <w:r w:rsidRPr="00C854DC">
        <w:rPr>
          <w:rFonts w:ascii="Times New Roman" w:eastAsia="Times New Roman" w:hAnsi="Times New Roman" w:cs="Times New Roman"/>
          <w:i/>
          <w:iCs/>
        </w:rPr>
        <w:t>Rapid Evidence Assessment: Effective Second Language Teaching Approaches and Methods</w:t>
      </w:r>
      <w:r w:rsidRPr="00C854DC">
        <w:rPr>
          <w:rFonts w:ascii="Times New Roman" w:eastAsia="Times New Roman" w:hAnsi="Times New Roman" w:cs="Times New Roman"/>
        </w:rPr>
        <w:t>. Cardiff: Welsh Government.</w:t>
      </w:r>
    </w:p>
    <w:p w14:paraId="0D35E055" w14:textId="77777777" w:rsidR="00C854DC" w:rsidRPr="00C854DC" w:rsidRDefault="00C854DC" w:rsidP="002A06E6">
      <w:pPr>
        <w:shd w:val="clear" w:color="auto" w:fill="FFFFFF"/>
        <w:spacing w:after="180" w:line="360" w:lineRule="auto"/>
        <w:ind w:left="450" w:hanging="450"/>
        <w:rPr>
          <w:rFonts w:ascii="Times New Roman" w:eastAsia="Times New Roman" w:hAnsi="Times New Roman" w:cs="Times New Roman"/>
        </w:rPr>
      </w:pPr>
      <w:r w:rsidRPr="00C854DC">
        <w:rPr>
          <w:rFonts w:ascii="Times New Roman" w:eastAsia="Times New Roman" w:hAnsi="Times New Roman" w:cs="Times New Roman"/>
        </w:rPr>
        <w:t>Pound, L. (2006). </w:t>
      </w:r>
      <w:r w:rsidRPr="00C854DC">
        <w:rPr>
          <w:rFonts w:ascii="Times New Roman" w:eastAsia="Times New Roman" w:hAnsi="Times New Roman" w:cs="Times New Roman"/>
          <w:i/>
          <w:iCs/>
        </w:rPr>
        <w:t>How children learn</w:t>
      </w:r>
      <w:r w:rsidRPr="00C854DC">
        <w:rPr>
          <w:rFonts w:ascii="Times New Roman" w:eastAsia="Times New Roman" w:hAnsi="Times New Roman" w:cs="Times New Roman"/>
        </w:rPr>
        <w:t>. London: Practical Pre-School Books.</w:t>
      </w:r>
    </w:p>
    <w:p w14:paraId="66EBE58F" w14:textId="77777777" w:rsidR="00C854DC" w:rsidRPr="00C854DC" w:rsidRDefault="00C854DC" w:rsidP="002A06E6">
      <w:pPr>
        <w:shd w:val="clear" w:color="auto" w:fill="FFFFFF"/>
        <w:spacing w:after="180" w:line="360" w:lineRule="auto"/>
        <w:ind w:left="450" w:hanging="450"/>
        <w:rPr>
          <w:rFonts w:ascii="Times New Roman" w:eastAsia="Times New Roman" w:hAnsi="Times New Roman" w:cs="Times New Roman"/>
        </w:rPr>
      </w:pPr>
      <w:proofErr w:type="spellStart"/>
      <w:r w:rsidRPr="00C854DC">
        <w:rPr>
          <w:rFonts w:ascii="Times New Roman" w:eastAsia="Times New Roman" w:hAnsi="Times New Roman" w:cs="Times New Roman"/>
        </w:rPr>
        <w:t>Pyrczak</w:t>
      </w:r>
      <w:proofErr w:type="spellEnd"/>
      <w:r w:rsidRPr="00C854DC">
        <w:rPr>
          <w:rFonts w:ascii="Times New Roman" w:eastAsia="Times New Roman" w:hAnsi="Times New Roman" w:cs="Times New Roman"/>
        </w:rPr>
        <w:t>, F. (2017). </w:t>
      </w:r>
      <w:r w:rsidRPr="00C854DC">
        <w:rPr>
          <w:rFonts w:ascii="Times New Roman" w:eastAsia="Times New Roman" w:hAnsi="Times New Roman" w:cs="Times New Roman"/>
          <w:i/>
          <w:iCs/>
        </w:rPr>
        <w:t>Evaluating Research in Academic Journals</w:t>
      </w:r>
      <w:r w:rsidRPr="00C854DC">
        <w:rPr>
          <w:rFonts w:ascii="Times New Roman" w:eastAsia="Times New Roman" w:hAnsi="Times New Roman" w:cs="Times New Roman"/>
        </w:rPr>
        <w:t>. 6th ed. Oxon: Routledge.</w:t>
      </w:r>
    </w:p>
    <w:p w14:paraId="02D28023" w14:textId="77777777" w:rsidR="00C854DC" w:rsidRPr="00C854DC" w:rsidRDefault="00C854DC" w:rsidP="002A06E6">
      <w:pPr>
        <w:shd w:val="clear" w:color="auto" w:fill="FFFFFF"/>
        <w:spacing w:after="180" w:line="360" w:lineRule="auto"/>
        <w:ind w:left="450" w:hanging="450"/>
        <w:rPr>
          <w:rFonts w:ascii="Times New Roman" w:eastAsia="Times New Roman" w:hAnsi="Times New Roman" w:cs="Times New Roman"/>
        </w:rPr>
      </w:pPr>
      <w:r w:rsidRPr="00C854DC">
        <w:rPr>
          <w:rFonts w:ascii="Times New Roman" w:eastAsia="Times New Roman" w:hAnsi="Times New Roman" w:cs="Times New Roman"/>
        </w:rPr>
        <w:t>Smith, K. (2016). Living, not just learning, the Welsh language. [Blog] </w:t>
      </w:r>
      <w:r w:rsidRPr="00C854DC">
        <w:rPr>
          <w:rFonts w:ascii="Times New Roman" w:eastAsia="Times New Roman" w:hAnsi="Times New Roman" w:cs="Times New Roman"/>
          <w:i/>
          <w:iCs/>
        </w:rPr>
        <w:t>British Educational Research Association</w:t>
      </w:r>
      <w:r w:rsidRPr="00C854DC">
        <w:rPr>
          <w:rFonts w:ascii="Times New Roman" w:eastAsia="Times New Roman" w:hAnsi="Times New Roman" w:cs="Times New Roman"/>
        </w:rPr>
        <w:t>. Available at: https://www.bera.ac.uk/blog/living-not-just-learning-the-welsh-language [Accessed 14 Jan. 2019].</w:t>
      </w:r>
    </w:p>
    <w:p w14:paraId="608A6261" w14:textId="77777777" w:rsidR="00C854DC" w:rsidRPr="00C854DC" w:rsidRDefault="00C854DC" w:rsidP="002A06E6">
      <w:pPr>
        <w:shd w:val="clear" w:color="auto" w:fill="FFFFFF"/>
        <w:spacing w:after="180" w:line="360" w:lineRule="auto"/>
        <w:ind w:left="450" w:hanging="450"/>
        <w:rPr>
          <w:rFonts w:ascii="Times New Roman" w:eastAsia="Times New Roman" w:hAnsi="Times New Roman" w:cs="Times New Roman"/>
        </w:rPr>
      </w:pPr>
      <w:r w:rsidRPr="00C854DC">
        <w:rPr>
          <w:rFonts w:ascii="Times New Roman" w:eastAsia="Times New Roman" w:hAnsi="Times New Roman" w:cs="Times New Roman"/>
        </w:rPr>
        <w:t>Taylor, I. and Taylor, M. (1990). </w:t>
      </w:r>
      <w:r w:rsidRPr="00C854DC">
        <w:rPr>
          <w:rFonts w:ascii="Times New Roman" w:eastAsia="Times New Roman" w:hAnsi="Times New Roman" w:cs="Times New Roman"/>
          <w:i/>
          <w:iCs/>
        </w:rPr>
        <w:t>Psycholinguistics</w:t>
      </w:r>
      <w:r w:rsidRPr="00C854DC">
        <w:rPr>
          <w:rFonts w:ascii="Times New Roman" w:eastAsia="Times New Roman" w:hAnsi="Times New Roman" w:cs="Times New Roman"/>
        </w:rPr>
        <w:t>. Englewood Cliffs, N.J.: Prentice Hall.</w:t>
      </w:r>
    </w:p>
    <w:p w14:paraId="37ED0EC3" w14:textId="161A113A" w:rsidR="00C854DC" w:rsidRPr="00C854DC" w:rsidRDefault="00C854DC" w:rsidP="002A06E6">
      <w:pPr>
        <w:shd w:val="clear" w:color="auto" w:fill="FFFFFF"/>
        <w:spacing w:after="180" w:line="360" w:lineRule="auto"/>
        <w:ind w:left="450" w:hanging="450"/>
        <w:rPr>
          <w:rFonts w:ascii="Times New Roman" w:eastAsia="Times New Roman" w:hAnsi="Times New Roman" w:cs="Times New Roman"/>
        </w:rPr>
      </w:pPr>
      <w:r w:rsidRPr="00C854DC">
        <w:rPr>
          <w:rFonts w:ascii="Times New Roman" w:eastAsia="Times New Roman" w:hAnsi="Times New Roman" w:cs="Times New Roman"/>
        </w:rPr>
        <w:t>Welsh</w:t>
      </w:r>
      <w:r w:rsidR="002A06E6">
        <w:rPr>
          <w:rFonts w:ascii="Times New Roman" w:eastAsia="Times New Roman" w:hAnsi="Times New Roman" w:cs="Times New Roman"/>
        </w:rPr>
        <w:t xml:space="preserve"> </w:t>
      </w:r>
      <w:r w:rsidRPr="00C854DC">
        <w:rPr>
          <w:rFonts w:ascii="Times New Roman" w:eastAsia="Times New Roman" w:hAnsi="Times New Roman" w:cs="Times New Roman"/>
        </w:rPr>
        <w:t>Government (2010). </w:t>
      </w:r>
      <w:r w:rsidRPr="00C854DC">
        <w:rPr>
          <w:rFonts w:ascii="Times New Roman" w:eastAsia="Times New Roman" w:hAnsi="Times New Roman" w:cs="Times New Roman"/>
          <w:i/>
          <w:iCs/>
        </w:rPr>
        <w:t>Welsh-medium Education Strategy</w:t>
      </w:r>
      <w:r w:rsidRPr="00C854DC">
        <w:rPr>
          <w:rFonts w:ascii="Times New Roman" w:eastAsia="Times New Roman" w:hAnsi="Times New Roman" w:cs="Times New Roman"/>
        </w:rPr>
        <w:t>. Caerphilly: Welsh Government.</w:t>
      </w:r>
    </w:p>
    <w:p w14:paraId="1C5C326C" w14:textId="77777777" w:rsidR="00C854DC" w:rsidRPr="00C854DC" w:rsidRDefault="00C854DC" w:rsidP="002A06E6">
      <w:pPr>
        <w:shd w:val="clear" w:color="auto" w:fill="FFFFFF"/>
        <w:spacing w:after="180" w:line="360" w:lineRule="auto"/>
        <w:ind w:left="450" w:hanging="450"/>
        <w:rPr>
          <w:rFonts w:ascii="Times New Roman" w:eastAsia="Times New Roman" w:hAnsi="Times New Roman" w:cs="Times New Roman"/>
        </w:rPr>
      </w:pPr>
      <w:r w:rsidRPr="00C854DC">
        <w:rPr>
          <w:rFonts w:ascii="Times New Roman" w:eastAsia="Times New Roman" w:hAnsi="Times New Roman" w:cs="Times New Roman"/>
        </w:rPr>
        <w:t>Welsh Government (2012). </w:t>
      </w:r>
      <w:r w:rsidRPr="00C854DC">
        <w:rPr>
          <w:rFonts w:ascii="Times New Roman" w:eastAsia="Times New Roman" w:hAnsi="Times New Roman" w:cs="Times New Roman"/>
          <w:i/>
          <w:iCs/>
        </w:rPr>
        <w:t>A living language: a language for living, Welsh Language Strategy 2012–17</w:t>
      </w:r>
      <w:r w:rsidRPr="00C854DC">
        <w:rPr>
          <w:rFonts w:ascii="Times New Roman" w:eastAsia="Times New Roman" w:hAnsi="Times New Roman" w:cs="Times New Roman"/>
        </w:rPr>
        <w:t>. Cardiff: Welsh Government.</w:t>
      </w:r>
    </w:p>
    <w:p w14:paraId="18071C13" w14:textId="218549C2" w:rsidR="00C854DC" w:rsidRDefault="00C854DC" w:rsidP="002A06E6">
      <w:pPr>
        <w:shd w:val="clear" w:color="auto" w:fill="FFFFFF"/>
        <w:spacing w:after="180" w:line="360" w:lineRule="auto"/>
        <w:ind w:left="450" w:hanging="450"/>
        <w:rPr>
          <w:rFonts w:ascii="Times New Roman" w:eastAsia="Times New Roman" w:hAnsi="Times New Roman" w:cs="Times New Roman"/>
        </w:rPr>
      </w:pPr>
      <w:r w:rsidRPr="00C854DC">
        <w:rPr>
          <w:rFonts w:ascii="Times New Roman" w:eastAsia="Times New Roman" w:hAnsi="Times New Roman" w:cs="Times New Roman"/>
        </w:rPr>
        <w:t>Welsh Government (2013). </w:t>
      </w:r>
      <w:r w:rsidRPr="00C854DC">
        <w:rPr>
          <w:rFonts w:ascii="Times New Roman" w:eastAsia="Times New Roman" w:hAnsi="Times New Roman" w:cs="Times New Roman"/>
          <w:i/>
          <w:iCs/>
        </w:rPr>
        <w:t>One language for all</w:t>
      </w:r>
      <w:r w:rsidRPr="00C854DC">
        <w:rPr>
          <w:rFonts w:ascii="Times New Roman" w:eastAsia="Times New Roman" w:hAnsi="Times New Roman" w:cs="Times New Roman"/>
        </w:rPr>
        <w:t>. Caerphilly: Welsh Government.</w:t>
      </w:r>
    </w:p>
    <w:p w14:paraId="116B5419" w14:textId="7703011C" w:rsidR="00C854DC" w:rsidRPr="00C854DC" w:rsidRDefault="00C854DC" w:rsidP="002A06E6">
      <w:pPr>
        <w:shd w:val="clear" w:color="auto" w:fill="FFFFFF"/>
        <w:spacing w:after="180" w:line="360" w:lineRule="auto"/>
        <w:ind w:left="450" w:hanging="450"/>
        <w:rPr>
          <w:rFonts w:ascii="Times New Roman" w:eastAsia="Times New Roman" w:hAnsi="Times New Roman" w:cs="Times New Roman"/>
        </w:rPr>
      </w:pPr>
      <w:r w:rsidRPr="00C854DC">
        <w:rPr>
          <w:rFonts w:ascii="Times New Roman" w:eastAsia="Times New Roman" w:hAnsi="Times New Roman" w:cs="Times New Roman"/>
        </w:rPr>
        <w:lastRenderedPageBreak/>
        <w:t>Welsh Government (2017</w:t>
      </w:r>
      <w:r>
        <w:rPr>
          <w:rFonts w:ascii="Times New Roman" w:eastAsia="Times New Roman" w:hAnsi="Times New Roman" w:cs="Times New Roman"/>
        </w:rPr>
        <w:t>a</w:t>
      </w:r>
      <w:r w:rsidRPr="00C854DC">
        <w:rPr>
          <w:rFonts w:ascii="Times New Roman" w:eastAsia="Times New Roman" w:hAnsi="Times New Roman" w:cs="Times New Roman"/>
        </w:rPr>
        <w:t>). </w:t>
      </w:r>
      <w:r w:rsidRPr="00C854DC">
        <w:rPr>
          <w:rFonts w:ascii="Times New Roman" w:eastAsia="Times New Roman" w:hAnsi="Times New Roman" w:cs="Times New Roman"/>
          <w:i/>
          <w:iCs/>
        </w:rPr>
        <w:t>Education in Wales: Our National Mission</w:t>
      </w:r>
      <w:r w:rsidRPr="00C854DC">
        <w:rPr>
          <w:rFonts w:ascii="Times New Roman" w:eastAsia="Times New Roman" w:hAnsi="Times New Roman" w:cs="Times New Roman"/>
        </w:rPr>
        <w:t>. Cardiff: Welsh Government.</w:t>
      </w:r>
    </w:p>
    <w:p w14:paraId="63CCB946" w14:textId="15D735D3" w:rsidR="00C854DC" w:rsidRPr="00C854DC" w:rsidRDefault="00C854DC" w:rsidP="002A06E6">
      <w:pPr>
        <w:shd w:val="clear" w:color="auto" w:fill="FFFFFF"/>
        <w:spacing w:after="180" w:line="360" w:lineRule="auto"/>
        <w:ind w:left="450" w:hanging="450"/>
        <w:rPr>
          <w:rFonts w:ascii="Times New Roman" w:eastAsia="Times New Roman" w:hAnsi="Times New Roman" w:cs="Times New Roman"/>
        </w:rPr>
      </w:pPr>
      <w:r w:rsidRPr="00C854DC">
        <w:rPr>
          <w:rFonts w:ascii="Times New Roman" w:eastAsia="Times New Roman" w:hAnsi="Times New Roman" w:cs="Times New Roman"/>
        </w:rPr>
        <w:t>Welsh Government (2017</w:t>
      </w:r>
      <w:r>
        <w:rPr>
          <w:rFonts w:ascii="Times New Roman" w:eastAsia="Times New Roman" w:hAnsi="Times New Roman" w:cs="Times New Roman"/>
        </w:rPr>
        <w:t>b</w:t>
      </w:r>
      <w:r w:rsidRPr="00C854DC">
        <w:rPr>
          <w:rFonts w:ascii="Times New Roman" w:eastAsia="Times New Roman" w:hAnsi="Times New Roman" w:cs="Times New Roman"/>
        </w:rPr>
        <w:t>). </w:t>
      </w:r>
      <w:proofErr w:type="spellStart"/>
      <w:r w:rsidRPr="00C854DC">
        <w:rPr>
          <w:rFonts w:ascii="Times New Roman" w:eastAsia="Times New Roman" w:hAnsi="Times New Roman" w:cs="Times New Roman"/>
          <w:i/>
          <w:iCs/>
        </w:rPr>
        <w:t>Cymraeg</w:t>
      </w:r>
      <w:proofErr w:type="spellEnd"/>
      <w:r w:rsidRPr="00C854DC">
        <w:rPr>
          <w:rFonts w:ascii="Times New Roman" w:eastAsia="Times New Roman" w:hAnsi="Times New Roman" w:cs="Times New Roman"/>
          <w:i/>
          <w:iCs/>
        </w:rPr>
        <w:t xml:space="preserve"> 2050</w:t>
      </w:r>
      <w:r w:rsidRPr="00C854DC">
        <w:rPr>
          <w:rFonts w:ascii="Times New Roman" w:eastAsia="Times New Roman" w:hAnsi="Times New Roman" w:cs="Times New Roman"/>
        </w:rPr>
        <w:t>. Cardiff: Welsh Government.</w:t>
      </w:r>
    </w:p>
    <w:p w14:paraId="765CE4B8" w14:textId="0CB0438D" w:rsidR="00C854DC" w:rsidRPr="00C854DC" w:rsidRDefault="00C854DC" w:rsidP="00C854DC">
      <w:pPr>
        <w:shd w:val="clear" w:color="auto" w:fill="FFFFFF"/>
        <w:jc w:val="center"/>
        <w:rPr>
          <w:rFonts w:ascii="Arial" w:eastAsia="Times New Roman" w:hAnsi="Arial" w:cs="Arial"/>
          <w:color w:val="000000"/>
        </w:rPr>
      </w:pPr>
    </w:p>
    <w:p w14:paraId="64BF5FED" w14:textId="77777777" w:rsidR="00C854DC" w:rsidRPr="00C854DC" w:rsidRDefault="00C854DC" w:rsidP="00C854DC">
      <w:pPr>
        <w:shd w:val="clear" w:color="auto" w:fill="FFFFFF"/>
        <w:jc w:val="center"/>
        <w:rPr>
          <w:rFonts w:ascii="Times New Roman" w:eastAsia="Times New Roman" w:hAnsi="Times New Roman" w:cs="Times New Roman"/>
        </w:rPr>
      </w:pPr>
    </w:p>
    <w:p w14:paraId="69841975" w14:textId="77777777" w:rsidR="00C854DC" w:rsidRPr="00634CE2" w:rsidRDefault="00C854DC" w:rsidP="00C854DC">
      <w:pPr>
        <w:spacing w:before="100" w:beforeAutospacing="1" w:after="100" w:afterAutospacing="1" w:line="360" w:lineRule="auto"/>
        <w:rPr>
          <w:rFonts w:ascii="Times New Roman" w:hAnsi="Times New Roman" w:cs="Times New Roman"/>
        </w:rPr>
      </w:pPr>
    </w:p>
    <w:p w14:paraId="7751B65D" w14:textId="77777777" w:rsidR="008A18D6" w:rsidRPr="00AE05EB" w:rsidRDefault="008A18D6" w:rsidP="00C854DC">
      <w:pPr>
        <w:spacing w:line="360" w:lineRule="auto"/>
        <w:rPr>
          <w:rFonts w:ascii="Times New Roman" w:hAnsi="Times New Roman" w:cs="Times New Roman"/>
        </w:rPr>
      </w:pPr>
    </w:p>
    <w:sectPr w:rsidR="008A18D6" w:rsidRPr="00AE05EB" w:rsidSect="00613492">
      <w:headerReference w:type="default" r:id="rId6"/>
      <w:footerReference w:type="even" r:id="rId7"/>
      <w:footerReference w:type="default" r:id="rId8"/>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F2612C7" w14:textId="77777777" w:rsidR="00806737" w:rsidRDefault="00806737" w:rsidP="00AE05EB">
      <w:r>
        <w:separator/>
      </w:r>
    </w:p>
  </w:endnote>
  <w:endnote w:type="continuationSeparator" w:id="0">
    <w:p w14:paraId="35EADCDD" w14:textId="77777777" w:rsidR="00806737" w:rsidRDefault="00806737" w:rsidP="00AE05E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A00002EF" w:usb1="4000207B" w:usb2="00000000" w:usb3="00000000" w:csb0="0000009F" w:csb1="00000000"/>
  </w:font>
  <w:font w:name="Times New Roman">
    <w:panose1 w:val="02020603050405020304"/>
    <w:charset w:val="00"/>
    <w:family w:val="roman"/>
    <w:pitch w:val="variable"/>
    <w:sig w:usb0="20002A87" w:usb1="80000000" w:usb2="00000008"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649436185"/>
      <w:docPartObj>
        <w:docPartGallery w:val="Page Numbers (Bottom of Page)"/>
        <w:docPartUnique/>
      </w:docPartObj>
    </w:sdtPr>
    <w:sdtContent>
      <w:p w14:paraId="1D238B15" w14:textId="1D4AD896" w:rsidR="00AE05EB" w:rsidRDefault="00AE05EB" w:rsidP="00975DC9">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514347BA" w14:textId="77777777" w:rsidR="00AE05EB" w:rsidRDefault="00AE05EB" w:rsidP="00AE05EB">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839427281"/>
      <w:docPartObj>
        <w:docPartGallery w:val="Page Numbers (Bottom of Page)"/>
        <w:docPartUnique/>
      </w:docPartObj>
    </w:sdtPr>
    <w:sdtContent>
      <w:p w14:paraId="668007F4" w14:textId="23248267" w:rsidR="00AE05EB" w:rsidRDefault="00AE05EB" w:rsidP="00975DC9">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6AC018B0" w14:textId="77777777" w:rsidR="00AE05EB" w:rsidRDefault="00AE05EB" w:rsidP="00AE05EB">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87DCCFA" w14:textId="77777777" w:rsidR="00806737" w:rsidRDefault="00806737" w:rsidP="00AE05EB">
      <w:r>
        <w:separator/>
      </w:r>
    </w:p>
  </w:footnote>
  <w:footnote w:type="continuationSeparator" w:id="0">
    <w:p w14:paraId="1637D855" w14:textId="77777777" w:rsidR="00806737" w:rsidRDefault="00806737" w:rsidP="00AE05EB">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CCDB81B" w14:textId="372BDAB9" w:rsidR="00AE05EB" w:rsidRDefault="00AE05EB">
    <w:pPr>
      <w:pStyle w:val="Header"/>
    </w:pPr>
    <w:r>
      <w:t>Module Code: ECAD6006</w:t>
    </w:r>
    <w:r>
      <w:ptab w:relativeTo="margin" w:alignment="center" w:leader="none"/>
    </w:r>
    <w:r>
      <w:ptab w:relativeTo="margin" w:alignment="right" w:leader="none"/>
    </w:r>
    <w:r>
      <w:t>Student Number: 1502459</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1"/>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A18D6"/>
    <w:rsid w:val="0000133C"/>
    <w:rsid w:val="00016A55"/>
    <w:rsid w:val="00024C93"/>
    <w:rsid w:val="00094D78"/>
    <w:rsid w:val="000B5DF1"/>
    <w:rsid w:val="00105F7C"/>
    <w:rsid w:val="0011356A"/>
    <w:rsid w:val="00114FD9"/>
    <w:rsid w:val="0011612D"/>
    <w:rsid w:val="001349D9"/>
    <w:rsid w:val="00163F5A"/>
    <w:rsid w:val="001828C7"/>
    <w:rsid w:val="001A1618"/>
    <w:rsid w:val="001B5518"/>
    <w:rsid w:val="001B59CB"/>
    <w:rsid w:val="002342F7"/>
    <w:rsid w:val="00235C3C"/>
    <w:rsid w:val="002A06E6"/>
    <w:rsid w:val="002A43FA"/>
    <w:rsid w:val="002C3FC7"/>
    <w:rsid w:val="00363E69"/>
    <w:rsid w:val="00395589"/>
    <w:rsid w:val="003A14BF"/>
    <w:rsid w:val="003B332F"/>
    <w:rsid w:val="00432E76"/>
    <w:rsid w:val="00437033"/>
    <w:rsid w:val="00491B7A"/>
    <w:rsid w:val="00505CD0"/>
    <w:rsid w:val="0054787B"/>
    <w:rsid w:val="00571968"/>
    <w:rsid w:val="00592290"/>
    <w:rsid w:val="005A76E5"/>
    <w:rsid w:val="0060366B"/>
    <w:rsid w:val="0060449B"/>
    <w:rsid w:val="00613492"/>
    <w:rsid w:val="00634CE2"/>
    <w:rsid w:val="006675F2"/>
    <w:rsid w:val="00670E36"/>
    <w:rsid w:val="00675C70"/>
    <w:rsid w:val="007976EA"/>
    <w:rsid w:val="007A6A77"/>
    <w:rsid w:val="007D4229"/>
    <w:rsid w:val="007F047A"/>
    <w:rsid w:val="00806737"/>
    <w:rsid w:val="0083483A"/>
    <w:rsid w:val="00884C67"/>
    <w:rsid w:val="008A18D6"/>
    <w:rsid w:val="008C7437"/>
    <w:rsid w:val="008F1E07"/>
    <w:rsid w:val="008F67EC"/>
    <w:rsid w:val="009454F1"/>
    <w:rsid w:val="0095232F"/>
    <w:rsid w:val="00961470"/>
    <w:rsid w:val="009A3EB1"/>
    <w:rsid w:val="009A6A06"/>
    <w:rsid w:val="00A26CB6"/>
    <w:rsid w:val="00A71A08"/>
    <w:rsid w:val="00A81B7F"/>
    <w:rsid w:val="00AE05EB"/>
    <w:rsid w:val="00B004B6"/>
    <w:rsid w:val="00B339B8"/>
    <w:rsid w:val="00B67FBB"/>
    <w:rsid w:val="00BA1980"/>
    <w:rsid w:val="00BC23D5"/>
    <w:rsid w:val="00C416E3"/>
    <w:rsid w:val="00C61128"/>
    <w:rsid w:val="00C854DC"/>
    <w:rsid w:val="00CB2637"/>
    <w:rsid w:val="00D12C7D"/>
    <w:rsid w:val="00D34D84"/>
    <w:rsid w:val="00D65F26"/>
    <w:rsid w:val="00D91564"/>
    <w:rsid w:val="00DD5A42"/>
    <w:rsid w:val="00DE78A8"/>
    <w:rsid w:val="00E34F46"/>
    <w:rsid w:val="00E40597"/>
    <w:rsid w:val="00E45305"/>
    <w:rsid w:val="00E464D1"/>
    <w:rsid w:val="00EA4394"/>
    <w:rsid w:val="00EA4D0C"/>
    <w:rsid w:val="00EE58E6"/>
    <w:rsid w:val="00EF28C8"/>
    <w:rsid w:val="00EF6261"/>
    <w:rsid w:val="00F74F3E"/>
    <w:rsid w:val="00F960EF"/>
    <w:rsid w:val="00FC32C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3FEFF52D"/>
  <w15:chartTrackingRefBased/>
  <w15:docId w15:val="{5F44ABAD-7569-CA41-B720-46250174D47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8A18D6"/>
  </w:style>
  <w:style w:type="paragraph" w:styleId="Heading2">
    <w:name w:val="heading 2"/>
    <w:basedOn w:val="Normal"/>
    <w:link w:val="Heading2Char"/>
    <w:uiPriority w:val="9"/>
    <w:qFormat/>
    <w:rsid w:val="00C854DC"/>
    <w:pPr>
      <w:spacing w:before="100" w:beforeAutospacing="1" w:after="100" w:afterAutospacing="1"/>
      <w:outlineLvl w:val="1"/>
    </w:pPr>
    <w:rPr>
      <w:rFonts w:ascii="Times New Roman" w:eastAsia="Times New Roman" w:hAnsi="Times New Roman" w:cs="Times New Roman"/>
      <w:b/>
      <w:bCs/>
      <w:sz w:val="36"/>
      <w:szCs w:val="3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8A18D6"/>
    <w:pPr>
      <w:spacing w:before="100" w:beforeAutospacing="1" w:after="100" w:afterAutospacing="1"/>
    </w:pPr>
    <w:rPr>
      <w:rFonts w:ascii="Times New Roman" w:eastAsia="Times New Roman" w:hAnsi="Times New Roman" w:cs="Times New Roman"/>
    </w:rPr>
  </w:style>
  <w:style w:type="character" w:customStyle="1" w:styleId="apple-converted-space">
    <w:name w:val="apple-converted-space"/>
    <w:basedOn w:val="DefaultParagraphFont"/>
    <w:rsid w:val="0095232F"/>
  </w:style>
  <w:style w:type="paragraph" w:styleId="Footer">
    <w:name w:val="footer"/>
    <w:basedOn w:val="Normal"/>
    <w:link w:val="FooterChar"/>
    <w:uiPriority w:val="99"/>
    <w:unhideWhenUsed/>
    <w:rsid w:val="00AE05EB"/>
    <w:pPr>
      <w:tabs>
        <w:tab w:val="center" w:pos="4680"/>
        <w:tab w:val="right" w:pos="9360"/>
      </w:tabs>
    </w:pPr>
  </w:style>
  <w:style w:type="character" w:customStyle="1" w:styleId="FooterChar">
    <w:name w:val="Footer Char"/>
    <w:basedOn w:val="DefaultParagraphFont"/>
    <w:link w:val="Footer"/>
    <w:uiPriority w:val="99"/>
    <w:rsid w:val="00AE05EB"/>
  </w:style>
  <w:style w:type="character" w:styleId="PageNumber">
    <w:name w:val="page number"/>
    <w:basedOn w:val="DefaultParagraphFont"/>
    <w:uiPriority w:val="99"/>
    <w:semiHidden/>
    <w:unhideWhenUsed/>
    <w:rsid w:val="00AE05EB"/>
  </w:style>
  <w:style w:type="paragraph" w:styleId="Header">
    <w:name w:val="header"/>
    <w:basedOn w:val="Normal"/>
    <w:link w:val="HeaderChar"/>
    <w:uiPriority w:val="99"/>
    <w:unhideWhenUsed/>
    <w:rsid w:val="00AE05EB"/>
    <w:pPr>
      <w:tabs>
        <w:tab w:val="center" w:pos="4680"/>
        <w:tab w:val="right" w:pos="9360"/>
      </w:tabs>
    </w:pPr>
  </w:style>
  <w:style w:type="character" w:customStyle="1" w:styleId="HeaderChar">
    <w:name w:val="Header Char"/>
    <w:basedOn w:val="DefaultParagraphFont"/>
    <w:link w:val="Header"/>
    <w:uiPriority w:val="99"/>
    <w:rsid w:val="00AE05EB"/>
  </w:style>
  <w:style w:type="character" w:customStyle="1" w:styleId="Heading2Char">
    <w:name w:val="Heading 2 Char"/>
    <w:basedOn w:val="DefaultParagraphFont"/>
    <w:link w:val="Heading2"/>
    <w:uiPriority w:val="9"/>
    <w:rsid w:val="00C854DC"/>
    <w:rPr>
      <w:rFonts w:ascii="Times New Roman" w:eastAsia="Times New Roman" w:hAnsi="Times New Roman" w:cs="Times New Roman"/>
      <w:b/>
      <w:bCs/>
      <w:sz w:val="36"/>
      <w:szCs w:val="36"/>
    </w:rPr>
  </w:style>
  <w:style w:type="character" w:styleId="Hyperlink">
    <w:name w:val="Hyperlink"/>
    <w:basedOn w:val="DefaultParagraphFont"/>
    <w:uiPriority w:val="99"/>
    <w:semiHidden/>
    <w:unhideWhenUsed/>
    <w:rsid w:val="00C854DC"/>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03352479">
      <w:bodyDiv w:val="1"/>
      <w:marLeft w:val="0"/>
      <w:marRight w:val="0"/>
      <w:marTop w:val="0"/>
      <w:marBottom w:val="0"/>
      <w:divBdr>
        <w:top w:val="none" w:sz="0" w:space="0" w:color="auto"/>
        <w:left w:val="none" w:sz="0" w:space="0" w:color="auto"/>
        <w:bottom w:val="none" w:sz="0" w:space="0" w:color="auto"/>
        <w:right w:val="none" w:sz="0" w:space="0" w:color="auto"/>
      </w:divBdr>
      <w:divsChild>
        <w:div w:id="1119959621">
          <w:marLeft w:val="0"/>
          <w:marRight w:val="0"/>
          <w:marTop w:val="0"/>
          <w:marBottom w:val="0"/>
          <w:divBdr>
            <w:top w:val="none" w:sz="0" w:space="0" w:color="auto"/>
            <w:left w:val="none" w:sz="0" w:space="0" w:color="auto"/>
            <w:bottom w:val="none" w:sz="0" w:space="0" w:color="auto"/>
            <w:right w:val="none" w:sz="0" w:space="0" w:color="auto"/>
          </w:divBdr>
          <w:divsChild>
            <w:div w:id="993878154">
              <w:marLeft w:val="0"/>
              <w:marRight w:val="0"/>
              <w:marTop w:val="0"/>
              <w:marBottom w:val="0"/>
              <w:divBdr>
                <w:top w:val="none" w:sz="0" w:space="0" w:color="auto"/>
                <w:left w:val="none" w:sz="0" w:space="0" w:color="auto"/>
                <w:bottom w:val="none" w:sz="0" w:space="0" w:color="auto"/>
                <w:right w:val="none" w:sz="0" w:space="0" w:color="auto"/>
              </w:divBdr>
              <w:divsChild>
                <w:div w:id="4258092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09044549">
      <w:bodyDiv w:val="1"/>
      <w:marLeft w:val="0"/>
      <w:marRight w:val="0"/>
      <w:marTop w:val="0"/>
      <w:marBottom w:val="0"/>
      <w:divBdr>
        <w:top w:val="none" w:sz="0" w:space="0" w:color="auto"/>
        <w:left w:val="none" w:sz="0" w:space="0" w:color="auto"/>
        <w:bottom w:val="none" w:sz="0" w:space="0" w:color="auto"/>
        <w:right w:val="none" w:sz="0" w:space="0" w:color="auto"/>
      </w:divBdr>
      <w:divsChild>
        <w:div w:id="88816602">
          <w:marLeft w:val="0"/>
          <w:marRight w:val="0"/>
          <w:marTop w:val="0"/>
          <w:marBottom w:val="0"/>
          <w:divBdr>
            <w:top w:val="none" w:sz="0" w:space="0" w:color="auto"/>
            <w:left w:val="none" w:sz="0" w:space="0" w:color="auto"/>
            <w:bottom w:val="none" w:sz="0" w:space="0" w:color="auto"/>
            <w:right w:val="none" w:sz="0" w:space="0" w:color="auto"/>
          </w:divBdr>
          <w:divsChild>
            <w:div w:id="1900969573">
              <w:marLeft w:val="0"/>
              <w:marRight w:val="0"/>
              <w:marTop w:val="0"/>
              <w:marBottom w:val="0"/>
              <w:divBdr>
                <w:top w:val="none" w:sz="0" w:space="0" w:color="auto"/>
                <w:left w:val="none" w:sz="0" w:space="0" w:color="auto"/>
                <w:bottom w:val="none" w:sz="0" w:space="0" w:color="auto"/>
                <w:right w:val="none" w:sz="0" w:space="0" w:color="auto"/>
              </w:divBdr>
              <w:divsChild>
                <w:div w:id="10451768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41348003">
      <w:bodyDiv w:val="1"/>
      <w:marLeft w:val="0"/>
      <w:marRight w:val="0"/>
      <w:marTop w:val="0"/>
      <w:marBottom w:val="0"/>
      <w:divBdr>
        <w:top w:val="none" w:sz="0" w:space="0" w:color="auto"/>
        <w:left w:val="none" w:sz="0" w:space="0" w:color="auto"/>
        <w:bottom w:val="none" w:sz="0" w:space="0" w:color="auto"/>
        <w:right w:val="none" w:sz="0" w:space="0" w:color="auto"/>
      </w:divBdr>
      <w:divsChild>
        <w:div w:id="1148864892">
          <w:marLeft w:val="0"/>
          <w:marRight w:val="0"/>
          <w:marTop w:val="0"/>
          <w:marBottom w:val="0"/>
          <w:divBdr>
            <w:top w:val="none" w:sz="0" w:space="0" w:color="auto"/>
            <w:left w:val="none" w:sz="0" w:space="0" w:color="auto"/>
            <w:bottom w:val="none" w:sz="0" w:space="0" w:color="auto"/>
            <w:right w:val="none" w:sz="0" w:space="0" w:color="auto"/>
          </w:divBdr>
          <w:divsChild>
            <w:div w:id="1063261274">
              <w:marLeft w:val="0"/>
              <w:marRight w:val="0"/>
              <w:marTop w:val="0"/>
              <w:marBottom w:val="0"/>
              <w:divBdr>
                <w:top w:val="none" w:sz="0" w:space="0" w:color="auto"/>
                <w:left w:val="none" w:sz="0" w:space="0" w:color="auto"/>
                <w:bottom w:val="none" w:sz="0" w:space="0" w:color="auto"/>
                <w:right w:val="none" w:sz="0" w:space="0" w:color="auto"/>
              </w:divBdr>
              <w:divsChild>
                <w:div w:id="16404511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50602905">
      <w:bodyDiv w:val="1"/>
      <w:marLeft w:val="0"/>
      <w:marRight w:val="0"/>
      <w:marTop w:val="0"/>
      <w:marBottom w:val="0"/>
      <w:divBdr>
        <w:top w:val="none" w:sz="0" w:space="0" w:color="auto"/>
        <w:left w:val="none" w:sz="0" w:space="0" w:color="auto"/>
        <w:bottom w:val="none" w:sz="0" w:space="0" w:color="auto"/>
        <w:right w:val="none" w:sz="0" w:space="0" w:color="auto"/>
      </w:divBdr>
      <w:divsChild>
        <w:div w:id="634212352">
          <w:marLeft w:val="0"/>
          <w:marRight w:val="0"/>
          <w:marTop w:val="0"/>
          <w:marBottom w:val="0"/>
          <w:divBdr>
            <w:top w:val="none" w:sz="0" w:space="0" w:color="auto"/>
            <w:left w:val="none" w:sz="0" w:space="0" w:color="auto"/>
            <w:bottom w:val="none" w:sz="0" w:space="0" w:color="auto"/>
            <w:right w:val="none" w:sz="0" w:space="0" w:color="auto"/>
          </w:divBdr>
          <w:divsChild>
            <w:div w:id="160509939">
              <w:marLeft w:val="0"/>
              <w:marRight w:val="0"/>
              <w:marTop w:val="0"/>
              <w:marBottom w:val="0"/>
              <w:divBdr>
                <w:top w:val="none" w:sz="0" w:space="0" w:color="auto"/>
                <w:left w:val="none" w:sz="0" w:space="0" w:color="auto"/>
                <w:bottom w:val="none" w:sz="0" w:space="0" w:color="auto"/>
                <w:right w:val="none" w:sz="0" w:space="0" w:color="auto"/>
              </w:divBdr>
              <w:divsChild>
                <w:div w:id="5398233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98511836">
      <w:bodyDiv w:val="1"/>
      <w:marLeft w:val="0"/>
      <w:marRight w:val="0"/>
      <w:marTop w:val="0"/>
      <w:marBottom w:val="0"/>
      <w:divBdr>
        <w:top w:val="none" w:sz="0" w:space="0" w:color="auto"/>
        <w:left w:val="none" w:sz="0" w:space="0" w:color="auto"/>
        <w:bottom w:val="none" w:sz="0" w:space="0" w:color="auto"/>
        <w:right w:val="none" w:sz="0" w:space="0" w:color="auto"/>
      </w:divBdr>
      <w:divsChild>
        <w:div w:id="1212307900">
          <w:marLeft w:val="0"/>
          <w:marRight w:val="0"/>
          <w:marTop w:val="0"/>
          <w:marBottom w:val="0"/>
          <w:divBdr>
            <w:top w:val="none" w:sz="0" w:space="0" w:color="auto"/>
            <w:left w:val="none" w:sz="0" w:space="0" w:color="auto"/>
            <w:bottom w:val="none" w:sz="0" w:space="0" w:color="auto"/>
            <w:right w:val="none" w:sz="0" w:space="0" w:color="auto"/>
          </w:divBdr>
          <w:divsChild>
            <w:div w:id="1092773040">
              <w:marLeft w:val="0"/>
              <w:marRight w:val="0"/>
              <w:marTop w:val="0"/>
              <w:marBottom w:val="0"/>
              <w:divBdr>
                <w:top w:val="none" w:sz="0" w:space="0" w:color="auto"/>
                <w:left w:val="none" w:sz="0" w:space="0" w:color="auto"/>
                <w:bottom w:val="none" w:sz="0" w:space="0" w:color="auto"/>
                <w:right w:val="none" w:sz="0" w:space="0" w:color="auto"/>
              </w:divBdr>
              <w:divsChild>
                <w:div w:id="3182653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35399125">
      <w:bodyDiv w:val="1"/>
      <w:marLeft w:val="0"/>
      <w:marRight w:val="0"/>
      <w:marTop w:val="0"/>
      <w:marBottom w:val="0"/>
      <w:divBdr>
        <w:top w:val="none" w:sz="0" w:space="0" w:color="auto"/>
        <w:left w:val="none" w:sz="0" w:space="0" w:color="auto"/>
        <w:bottom w:val="none" w:sz="0" w:space="0" w:color="auto"/>
        <w:right w:val="none" w:sz="0" w:space="0" w:color="auto"/>
      </w:divBdr>
      <w:divsChild>
        <w:div w:id="1395199845">
          <w:marLeft w:val="0"/>
          <w:marRight w:val="0"/>
          <w:marTop w:val="0"/>
          <w:marBottom w:val="0"/>
          <w:divBdr>
            <w:top w:val="none" w:sz="0" w:space="0" w:color="auto"/>
            <w:left w:val="none" w:sz="0" w:space="0" w:color="auto"/>
            <w:bottom w:val="none" w:sz="0" w:space="0" w:color="auto"/>
            <w:right w:val="none" w:sz="0" w:space="0" w:color="auto"/>
          </w:divBdr>
          <w:divsChild>
            <w:div w:id="1107967329">
              <w:marLeft w:val="0"/>
              <w:marRight w:val="0"/>
              <w:marTop w:val="0"/>
              <w:marBottom w:val="0"/>
              <w:divBdr>
                <w:top w:val="none" w:sz="0" w:space="0" w:color="auto"/>
                <w:left w:val="none" w:sz="0" w:space="0" w:color="auto"/>
                <w:bottom w:val="none" w:sz="0" w:space="0" w:color="auto"/>
                <w:right w:val="none" w:sz="0" w:space="0" w:color="auto"/>
              </w:divBdr>
              <w:divsChild>
                <w:div w:id="14091139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51586078">
      <w:bodyDiv w:val="1"/>
      <w:marLeft w:val="0"/>
      <w:marRight w:val="0"/>
      <w:marTop w:val="0"/>
      <w:marBottom w:val="0"/>
      <w:divBdr>
        <w:top w:val="none" w:sz="0" w:space="0" w:color="auto"/>
        <w:left w:val="none" w:sz="0" w:space="0" w:color="auto"/>
        <w:bottom w:val="none" w:sz="0" w:space="0" w:color="auto"/>
        <w:right w:val="none" w:sz="0" w:space="0" w:color="auto"/>
      </w:divBdr>
      <w:divsChild>
        <w:div w:id="332344448">
          <w:marLeft w:val="0"/>
          <w:marRight w:val="0"/>
          <w:marTop w:val="0"/>
          <w:marBottom w:val="0"/>
          <w:divBdr>
            <w:top w:val="none" w:sz="0" w:space="0" w:color="auto"/>
            <w:left w:val="none" w:sz="0" w:space="0" w:color="auto"/>
            <w:bottom w:val="none" w:sz="0" w:space="0" w:color="auto"/>
            <w:right w:val="none" w:sz="0" w:space="0" w:color="auto"/>
          </w:divBdr>
          <w:divsChild>
            <w:div w:id="108860421">
              <w:marLeft w:val="0"/>
              <w:marRight w:val="0"/>
              <w:marTop w:val="0"/>
              <w:marBottom w:val="0"/>
              <w:divBdr>
                <w:top w:val="none" w:sz="0" w:space="0" w:color="auto"/>
                <w:left w:val="none" w:sz="0" w:space="0" w:color="auto"/>
                <w:bottom w:val="none" w:sz="0" w:space="0" w:color="auto"/>
                <w:right w:val="none" w:sz="0" w:space="0" w:color="auto"/>
              </w:divBdr>
              <w:divsChild>
                <w:div w:id="793307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19144309">
      <w:bodyDiv w:val="1"/>
      <w:marLeft w:val="0"/>
      <w:marRight w:val="0"/>
      <w:marTop w:val="0"/>
      <w:marBottom w:val="0"/>
      <w:divBdr>
        <w:top w:val="none" w:sz="0" w:space="0" w:color="auto"/>
        <w:left w:val="none" w:sz="0" w:space="0" w:color="auto"/>
        <w:bottom w:val="none" w:sz="0" w:space="0" w:color="auto"/>
        <w:right w:val="none" w:sz="0" w:space="0" w:color="auto"/>
      </w:divBdr>
      <w:divsChild>
        <w:div w:id="1706251605">
          <w:marLeft w:val="0"/>
          <w:marRight w:val="0"/>
          <w:marTop w:val="0"/>
          <w:marBottom w:val="0"/>
          <w:divBdr>
            <w:top w:val="none" w:sz="0" w:space="0" w:color="auto"/>
            <w:left w:val="none" w:sz="0" w:space="0" w:color="auto"/>
            <w:bottom w:val="none" w:sz="0" w:space="0" w:color="auto"/>
            <w:right w:val="none" w:sz="0" w:space="0" w:color="auto"/>
          </w:divBdr>
          <w:divsChild>
            <w:div w:id="213591088">
              <w:marLeft w:val="0"/>
              <w:marRight w:val="0"/>
              <w:marTop w:val="0"/>
              <w:marBottom w:val="0"/>
              <w:divBdr>
                <w:top w:val="none" w:sz="0" w:space="0" w:color="auto"/>
                <w:left w:val="none" w:sz="0" w:space="0" w:color="auto"/>
                <w:bottom w:val="none" w:sz="0" w:space="0" w:color="auto"/>
                <w:right w:val="none" w:sz="0" w:space="0" w:color="auto"/>
              </w:divBdr>
              <w:divsChild>
                <w:div w:id="21449311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19953465">
      <w:bodyDiv w:val="1"/>
      <w:marLeft w:val="0"/>
      <w:marRight w:val="0"/>
      <w:marTop w:val="0"/>
      <w:marBottom w:val="0"/>
      <w:divBdr>
        <w:top w:val="none" w:sz="0" w:space="0" w:color="auto"/>
        <w:left w:val="none" w:sz="0" w:space="0" w:color="auto"/>
        <w:bottom w:val="none" w:sz="0" w:space="0" w:color="auto"/>
        <w:right w:val="none" w:sz="0" w:space="0" w:color="auto"/>
      </w:divBdr>
      <w:divsChild>
        <w:div w:id="1030258221">
          <w:marLeft w:val="0"/>
          <w:marRight w:val="0"/>
          <w:marTop w:val="0"/>
          <w:marBottom w:val="0"/>
          <w:divBdr>
            <w:top w:val="none" w:sz="0" w:space="0" w:color="auto"/>
            <w:left w:val="none" w:sz="0" w:space="0" w:color="auto"/>
            <w:bottom w:val="none" w:sz="0" w:space="0" w:color="auto"/>
            <w:right w:val="none" w:sz="0" w:space="0" w:color="auto"/>
          </w:divBdr>
          <w:divsChild>
            <w:div w:id="427702621">
              <w:marLeft w:val="0"/>
              <w:marRight w:val="0"/>
              <w:marTop w:val="0"/>
              <w:marBottom w:val="0"/>
              <w:divBdr>
                <w:top w:val="none" w:sz="0" w:space="0" w:color="auto"/>
                <w:left w:val="none" w:sz="0" w:space="0" w:color="auto"/>
                <w:bottom w:val="none" w:sz="0" w:space="0" w:color="auto"/>
                <w:right w:val="none" w:sz="0" w:space="0" w:color="auto"/>
              </w:divBdr>
              <w:divsChild>
                <w:div w:id="11642734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36607679">
      <w:bodyDiv w:val="1"/>
      <w:marLeft w:val="0"/>
      <w:marRight w:val="0"/>
      <w:marTop w:val="0"/>
      <w:marBottom w:val="0"/>
      <w:divBdr>
        <w:top w:val="none" w:sz="0" w:space="0" w:color="auto"/>
        <w:left w:val="none" w:sz="0" w:space="0" w:color="auto"/>
        <w:bottom w:val="none" w:sz="0" w:space="0" w:color="auto"/>
        <w:right w:val="none" w:sz="0" w:space="0" w:color="auto"/>
      </w:divBdr>
      <w:divsChild>
        <w:div w:id="1271281232">
          <w:marLeft w:val="0"/>
          <w:marRight w:val="0"/>
          <w:marTop w:val="0"/>
          <w:marBottom w:val="0"/>
          <w:divBdr>
            <w:top w:val="none" w:sz="0" w:space="0" w:color="auto"/>
            <w:left w:val="none" w:sz="0" w:space="0" w:color="auto"/>
            <w:bottom w:val="none" w:sz="0" w:space="0" w:color="auto"/>
            <w:right w:val="none" w:sz="0" w:space="0" w:color="auto"/>
          </w:divBdr>
          <w:divsChild>
            <w:div w:id="1384327366">
              <w:marLeft w:val="0"/>
              <w:marRight w:val="0"/>
              <w:marTop w:val="0"/>
              <w:marBottom w:val="0"/>
              <w:divBdr>
                <w:top w:val="none" w:sz="0" w:space="0" w:color="auto"/>
                <w:left w:val="none" w:sz="0" w:space="0" w:color="auto"/>
                <w:bottom w:val="none" w:sz="0" w:space="0" w:color="auto"/>
                <w:right w:val="none" w:sz="0" w:space="0" w:color="auto"/>
              </w:divBdr>
              <w:divsChild>
                <w:div w:id="1719815109">
                  <w:marLeft w:val="0"/>
                  <w:marRight w:val="0"/>
                  <w:marTop w:val="0"/>
                  <w:marBottom w:val="0"/>
                  <w:divBdr>
                    <w:top w:val="none" w:sz="0" w:space="0" w:color="auto"/>
                    <w:left w:val="none" w:sz="0" w:space="0" w:color="auto"/>
                    <w:bottom w:val="none" w:sz="0" w:space="0" w:color="auto"/>
                    <w:right w:val="none" w:sz="0" w:space="0" w:color="auto"/>
                  </w:divBdr>
                  <w:divsChild>
                    <w:div w:id="13905666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22520233">
      <w:bodyDiv w:val="1"/>
      <w:marLeft w:val="0"/>
      <w:marRight w:val="0"/>
      <w:marTop w:val="0"/>
      <w:marBottom w:val="0"/>
      <w:divBdr>
        <w:top w:val="none" w:sz="0" w:space="0" w:color="auto"/>
        <w:left w:val="none" w:sz="0" w:space="0" w:color="auto"/>
        <w:bottom w:val="none" w:sz="0" w:space="0" w:color="auto"/>
        <w:right w:val="none" w:sz="0" w:space="0" w:color="auto"/>
      </w:divBdr>
    </w:div>
    <w:div w:id="1310091190">
      <w:bodyDiv w:val="1"/>
      <w:marLeft w:val="0"/>
      <w:marRight w:val="0"/>
      <w:marTop w:val="0"/>
      <w:marBottom w:val="0"/>
      <w:divBdr>
        <w:top w:val="none" w:sz="0" w:space="0" w:color="auto"/>
        <w:left w:val="none" w:sz="0" w:space="0" w:color="auto"/>
        <w:bottom w:val="none" w:sz="0" w:space="0" w:color="auto"/>
        <w:right w:val="none" w:sz="0" w:space="0" w:color="auto"/>
      </w:divBdr>
      <w:divsChild>
        <w:div w:id="614823326">
          <w:marLeft w:val="0"/>
          <w:marRight w:val="0"/>
          <w:marTop w:val="0"/>
          <w:marBottom w:val="0"/>
          <w:divBdr>
            <w:top w:val="none" w:sz="0" w:space="0" w:color="auto"/>
            <w:left w:val="none" w:sz="0" w:space="0" w:color="auto"/>
            <w:bottom w:val="none" w:sz="0" w:space="0" w:color="auto"/>
            <w:right w:val="none" w:sz="0" w:space="0" w:color="auto"/>
          </w:divBdr>
          <w:divsChild>
            <w:div w:id="501429076">
              <w:marLeft w:val="0"/>
              <w:marRight w:val="0"/>
              <w:marTop w:val="0"/>
              <w:marBottom w:val="0"/>
              <w:divBdr>
                <w:top w:val="none" w:sz="0" w:space="0" w:color="auto"/>
                <w:left w:val="none" w:sz="0" w:space="0" w:color="auto"/>
                <w:bottom w:val="none" w:sz="0" w:space="0" w:color="auto"/>
                <w:right w:val="none" w:sz="0" w:space="0" w:color="auto"/>
              </w:divBdr>
              <w:divsChild>
                <w:div w:id="17680407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88188550">
      <w:bodyDiv w:val="1"/>
      <w:marLeft w:val="0"/>
      <w:marRight w:val="0"/>
      <w:marTop w:val="0"/>
      <w:marBottom w:val="0"/>
      <w:divBdr>
        <w:top w:val="none" w:sz="0" w:space="0" w:color="auto"/>
        <w:left w:val="none" w:sz="0" w:space="0" w:color="auto"/>
        <w:bottom w:val="none" w:sz="0" w:space="0" w:color="auto"/>
        <w:right w:val="none" w:sz="0" w:space="0" w:color="auto"/>
      </w:divBdr>
      <w:divsChild>
        <w:div w:id="1742757089">
          <w:marLeft w:val="0"/>
          <w:marRight w:val="0"/>
          <w:marTop w:val="0"/>
          <w:marBottom w:val="0"/>
          <w:divBdr>
            <w:top w:val="none" w:sz="0" w:space="0" w:color="auto"/>
            <w:left w:val="none" w:sz="0" w:space="0" w:color="auto"/>
            <w:bottom w:val="none" w:sz="0" w:space="0" w:color="auto"/>
            <w:right w:val="none" w:sz="0" w:space="0" w:color="auto"/>
          </w:divBdr>
          <w:divsChild>
            <w:div w:id="282731008">
              <w:marLeft w:val="0"/>
              <w:marRight w:val="0"/>
              <w:marTop w:val="0"/>
              <w:marBottom w:val="0"/>
              <w:divBdr>
                <w:top w:val="none" w:sz="0" w:space="0" w:color="auto"/>
                <w:left w:val="none" w:sz="0" w:space="0" w:color="auto"/>
                <w:bottom w:val="none" w:sz="0" w:space="0" w:color="auto"/>
                <w:right w:val="none" w:sz="0" w:space="0" w:color="auto"/>
              </w:divBdr>
              <w:divsChild>
                <w:div w:id="14729397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57984363">
      <w:bodyDiv w:val="1"/>
      <w:marLeft w:val="0"/>
      <w:marRight w:val="0"/>
      <w:marTop w:val="0"/>
      <w:marBottom w:val="0"/>
      <w:divBdr>
        <w:top w:val="none" w:sz="0" w:space="0" w:color="auto"/>
        <w:left w:val="none" w:sz="0" w:space="0" w:color="auto"/>
        <w:bottom w:val="none" w:sz="0" w:space="0" w:color="auto"/>
        <w:right w:val="none" w:sz="0" w:space="0" w:color="auto"/>
      </w:divBdr>
      <w:divsChild>
        <w:div w:id="931594293">
          <w:marLeft w:val="0"/>
          <w:marRight w:val="0"/>
          <w:marTop w:val="0"/>
          <w:marBottom w:val="0"/>
          <w:divBdr>
            <w:top w:val="none" w:sz="0" w:space="0" w:color="auto"/>
            <w:left w:val="none" w:sz="0" w:space="0" w:color="auto"/>
            <w:bottom w:val="none" w:sz="0" w:space="0" w:color="auto"/>
            <w:right w:val="none" w:sz="0" w:space="0" w:color="auto"/>
          </w:divBdr>
          <w:divsChild>
            <w:div w:id="1323120478">
              <w:marLeft w:val="0"/>
              <w:marRight w:val="0"/>
              <w:marTop w:val="0"/>
              <w:marBottom w:val="0"/>
              <w:divBdr>
                <w:top w:val="none" w:sz="0" w:space="0" w:color="auto"/>
                <w:left w:val="none" w:sz="0" w:space="0" w:color="auto"/>
                <w:bottom w:val="none" w:sz="0" w:space="0" w:color="auto"/>
                <w:right w:val="none" w:sz="0" w:space="0" w:color="auto"/>
              </w:divBdr>
              <w:divsChild>
                <w:div w:id="1480267336">
                  <w:marLeft w:val="-225"/>
                  <w:marRight w:val="-225"/>
                  <w:marTop w:val="0"/>
                  <w:marBottom w:val="0"/>
                  <w:divBdr>
                    <w:top w:val="none" w:sz="0" w:space="0" w:color="auto"/>
                    <w:left w:val="none" w:sz="0" w:space="0" w:color="auto"/>
                    <w:bottom w:val="none" w:sz="0" w:space="0" w:color="auto"/>
                    <w:right w:val="none" w:sz="0" w:space="0" w:color="auto"/>
                  </w:divBdr>
                  <w:divsChild>
                    <w:div w:id="2027900575">
                      <w:marLeft w:val="0"/>
                      <w:marRight w:val="0"/>
                      <w:marTop w:val="0"/>
                      <w:marBottom w:val="0"/>
                      <w:divBdr>
                        <w:top w:val="none" w:sz="0" w:space="0" w:color="auto"/>
                        <w:left w:val="none" w:sz="0" w:space="0" w:color="auto"/>
                        <w:bottom w:val="none" w:sz="0" w:space="0" w:color="auto"/>
                        <w:right w:val="none" w:sz="0" w:space="0" w:color="auto"/>
                      </w:divBdr>
                      <w:divsChild>
                        <w:div w:id="212930210">
                          <w:marLeft w:val="0"/>
                          <w:marRight w:val="0"/>
                          <w:marTop w:val="0"/>
                          <w:marBottom w:val="0"/>
                          <w:divBdr>
                            <w:top w:val="none" w:sz="0" w:space="0" w:color="auto"/>
                            <w:left w:val="none" w:sz="0" w:space="0" w:color="auto"/>
                            <w:bottom w:val="none" w:sz="0" w:space="0" w:color="auto"/>
                            <w:right w:val="none" w:sz="0" w:space="0" w:color="auto"/>
                          </w:divBdr>
                          <w:divsChild>
                            <w:div w:id="1297953519">
                              <w:marLeft w:val="0"/>
                              <w:marRight w:val="0"/>
                              <w:marTop w:val="0"/>
                              <w:marBottom w:val="0"/>
                              <w:divBdr>
                                <w:top w:val="none" w:sz="0" w:space="0" w:color="auto"/>
                                <w:left w:val="none" w:sz="0" w:space="0" w:color="auto"/>
                                <w:bottom w:val="none" w:sz="0" w:space="0" w:color="auto"/>
                                <w:right w:val="none" w:sz="0" w:space="0" w:color="auto"/>
                              </w:divBdr>
                              <w:divsChild>
                                <w:div w:id="731193642">
                                  <w:marLeft w:val="0"/>
                                  <w:marRight w:val="0"/>
                                  <w:marTop w:val="75"/>
                                  <w:marBottom w:val="75"/>
                                  <w:divBdr>
                                    <w:top w:val="single" w:sz="6" w:space="31" w:color="D4D4D4"/>
                                    <w:left w:val="single" w:sz="6" w:space="31" w:color="D4D4D4"/>
                                    <w:bottom w:val="single" w:sz="6" w:space="31" w:color="D4D4D4"/>
                                    <w:right w:val="single" w:sz="6" w:space="31" w:color="D4D4D4"/>
                                  </w:divBdr>
                                </w:div>
                              </w:divsChild>
                            </w:div>
                          </w:divsChild>
                        </w:div>
                      </w:divsChild>
                    </w:div>
                  </w:divsChild>
                </w:div>
              </w:divsChild>
            </w:div>
          </w:divsChild>
        </w:div>
        <w:div w:id="1939945224">
          <w:marLeft w:val="0"/>
          <w:marRight w:val="0"/>
          <w:marTop w:val="120"/>
          <w:marBottom w:val="120"/>
          <w:divBdr>
            <w:top w:val="single" w:sz="6" w:space="12" w:color="D4D4D4"/>
            <w:left w:val="single" w:sz="6" w:space="12" w:color="D4D4D4"/>
            <w:bottom w:val="single" w:sz="6" w:space="12" w:color="D4D4D4"/>
            <w:right w:val="single" w:sz="6" w:space="12" w:color="D4D4D4"/>
          </w:divBdr>
        </w:div>
      </w:divsChild>
    </w:div>
    <w:div w:id="1497110347">
      <w:bodyDiv w:val="1"/>
      <w:marLeft w:val="0"/>
      <w:marRight w:val="0"/>
      <w:marTop w:val="0"/>
      <w:marBottom w:val="0"/>
      <w:divBdr>
        <w:top w:val="none" w:sz="0" w:space="0" w:color="auto"/>
        <w:left w:val="none" w:sz="0" w:space="0" w:color="auto"/>
        <w:bottom w:val="none" w:sz="0" w:space="0" w:color="auto"/>
        <w:right w:val="none" w:sz="0" w:space="0" w:color="auto"/>
      </w:divBdr>
    </w:div>
    <w:div w:id="1689061930">
      <w:bodyDiv w:val="1"/>
      <w:marLeft w:val="0"/>
      <w:marRight w:val="0"/>
      <w:marTop w:val="0"/>
      <w:marBottom w:val="0"/>
      <w:divBdr>
        <w:top w:val="none" w:sz="0" w:space="0" w:color="auto"/>
        <w:left w:val="none" w:sz="0" w:space="0" w:color="auto"/>
        <w:bottom w:val="none" w:sz="0" w:space="0" w:color="auto"/>
        <w:right w:val="none" w:sz="0" w:space="0" w:color="auto"/>
      </w:divBdr>
      <w:divsChild>
        <w:div w:id="243564058">
          <w:marLeft w:val="0"/>
          <w:marRight w:val="0"/>
          <w:marTop w:val="0"/>
          <w:marBottom w:val="0"/>
          <w:divBdr>
            <w:top w:val="none" w:sz="0" w:space="0" w:color="auto"/>
            <w:left w:val="none" w:sz="0" w:space="0" w:color="auto"/>
            <w:bottom w:val="none" w:sz="0" w:space="0" w:color="auto"/>
            <w:right w:val="none" w:sz="0" w:space="0" w:color="auto"/>
          </w:divBdr>
          <w:divsChild>
            <w:div w:id="586887212">
              <w:marLeft w:val="0"/>
              <w:marRight w:val="0"/>
              <w:marTop w:val="0"/>
              <w:marBottom w:val="0"/>
              <w:divBdr>
                <w:top w:val="none" w:sz="0" w:space="0" w:color="auto"/>
                <w:left w:val="none" w:sz="0" w:space="0" w:color="auto"/>
                <w:bottom w:val="none" w:sz="0" w:space="0" w:color="auto"/>
                <w:right w:val="none" w:sz="0" w:space="0" w:color="auto"/>
              </w:divBdr>
              <w:divsChild>
                <w:div w:id="5701644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61317702">
      <w:bodyDiv w:val="1"/>
      <w:marLeft w:val="0"/>
      <w:marRight w:val="0"/>
      <w:marTop w:val="0"/>
      <w:marBottom w:val="0"/>
      <w:divBdr>
        <w:top w:val="none" w:sz="0" w:space="0" w:color="auto"/>
        <w:left w:val="none" w:sz="0" w:space="0" w:color="auto"/>
        <w:bottom w:val="none" w:sz="0" w:space="0" w:color="auto"/>
        <w:right w:val="none" w:sz="0" w:space="0" w:color="auto"/>
      </w:divBdr>
      <w:divsChild>
        <w:div w:id="295179572">
          <w:marLeft w:val="0"/>
          <w:marRight w:val="0"/>
          <w:marTop w:val="0"/>
          <w:marBottom w:val="0"/>
          <w:divBdr>
            <w:top w:val="none" w:sz="0" w:space="0" w:color="auto"/>
            <w:left w:val="none" w:sz="0" w:space="0" w:color="auto"/>
            <w:bottom w:val="none" w:sz="0" w:space="0" w:color="auto"/>
            <w:right w:val="none" w:sz="0" w:space="0" w:color="auto"/>
          </w:divBdr>
          <w:divsChild>
            <w:div w:id="813571928">
              <w:marLeft w:val="0"/>
              <w:marRight w:val="0"/>
              <w:marTop w:val="0"/>
              <w:marBottom w:val="0"/>
              <w:divBdr>
                <w:top w:val="none" w:sz="0" w:space="0" w:color="auto"/>
                <w:left w:val="none" w:sz="0" w:space="0" w:color="auto"/>
                <w:bottom w:val="none" w:sz="0" w:space="0" w:color="auto"/>
                <w:right w:val="none" w:sz="0" w:space="0" w:color="auto"/>
              </w:divBdr>
              <w:divsChild>
                <w:div w:id="17050132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2.xml"/><Relationship Id="rId3" Type="http://schemas.openxmlformats.org/officeDocument/2006/relationships/webSettings" Target="webSettings.xml"/><Relationship Id="rId7"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10"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316</TotalTime>
  <Pages>8</Pages>
  <Words>2471</Words>
  <Characters>14088</Characters>
  <Application>Microsoft Office Word</Application>
  <DocSecurity>0</DocSecurity>
  <Lines>117</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16526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Naomi Welsh (1502459)</dc:creator>
  <cp:keywords/>
  <dc:description/>
  <cp:lastModifiedBy>Naomi Welsh (1502459)</cp:lastModifiedBy>
  <cp:revision>48</cp:revision>
  <dcterms:created xsi:type="dcterms:W3CDTF">2019-02-03T20:30:00Z</dcterms:created>
  <dcterms:modified xsi:type="dcterms:W3CDTF">2019-02-04T12:34:00Z</dcterms:modified>
</cp:coreProperties>
</file>