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E9168E" w:rsidRPr="00BA46CD" w:rsidRDefault="00E9168E" w:rsidP="00D30166">
      <w:pPr>
        <w:spacing w:line="360" w:lineRule="auto"/>
        <w:jc w:val="both"/>
        <w:rPr>
          <w:rFonts w:ascii="Times New Roman" w:hAnsi="Times New Roman" w:cs="Times New Roman"/>
          <w:sz w:val="24"/>
          <w:szCs w:val="24"/>
        </w:rPr>
      </w:pPr>
    </w:p>
    <w:p w:rsidR="00E9168E" w:rsidRPr="00BA46CD" w:rsidRDefault="00E9168E" w:rsidP="00D30166">
      <w:pPr>
        <w:spacing w:line="360" w:lineRule="auto"/>
        <w:jc w:val="both"/>
        <w:rPr>
          <w:rFonts w:ascii="Times New Roman" w:hAnsi="Times New Roman" w:cs="Times New Roman"/>
          <w:sz w:val="24"/>
          <w:szCs w:val="24"/>
        </w:rPr>
      </w:pPr>
    </w:p>
    <w:p w:rsidR="00E9168E" w:rsidRPr="00BA46CD" w:rsidRDefault="00E9168E" w:rsidP="00D30166">
      <w:pPr>
        <w:spacing w:line="360" w:lineRule="auto"/>
        <w:jc w:val="both"/>
        <w:rPr>
          <w:rFonts w:ascii="Times New Roman" w:hAnsi="Times New Roman" w:cs="Times New Roman"/>
          <w:sz w:val="24"/>
          <w:szCs w:val="24"/>
        </w:rPr>
      </w:pPr>
    </w:p>
    <w:p w:rsidR="00E9168E" w:rsidRPr="00BA46CD" w:rsidRDefault="00E9168E" w:rsidP="00D30166">
      <w:pPr>
        <w:spacing w:line="360" w:lineRule="auto"/>
        <w:jc w:val="both"/>
        <w:rPr>
          <w:rFonts w:ascii="Times New Roman" w:hAnsi="Times New Roman" w:cs="Times New Roman"/>
          <w:sz w:val="24"/>
          <w:szCs w:val="24"/>
        </w:rPr>
      </w:pPr>
    </w:p>
    <w:p w:rsidR="00E9168E" w:rsidRPr="00BA46CD" w:rsidRDefault="00E9168E" w:rsidP="00D30166">
      <w:pPr>
        <w:spacing w:line="360" w:lineRule="auto"/>
        <w:jc w:val="both"/>
        <w:rPr>
          <w:rFonts w:ascii="Times New Roman" w:hAnsi="Times New Roman" w:cs="Times New Roman"/>
          <w:sz w:val="24"/>
          <w:szCs w:val="24"/>
        </w:rPr>
      </w:pPr>
    </w:p>
    <w:p w:rsidR="00E9168E" w:rsidRPr="00BA46CD" w:rsidRDefault="00E9168E" w:rsidP="00D30166">
      <w:pPr>
        <w:spacing w:line="360" w:lineRule="auto"/>
        <w:jc w:val="both"/>
        <w:rPr>
          <w:rFonts w:ascii="Times New Roman" w:hAnsi="Times New Roman" w:cs="Times New Roman"/>
          <w:sz w:val="24"/>
          <w:szCs w:val="24"/>
        </w:rPr>
      </w:pPr>
    </w:p>
    <w:p w:rsidR="00E9168E" w:rsidRPr="00BA46CD" w:rsidRDefault="00E9168E" w:rsidP="00D30166">
      <w:pPr>
        <w:spacing w:line="360" w:lineRule="auto"/>
        <w:jc w:val="both"/>
        <w:rPr>
          <w:rFonts w:ascii="Times New Roman" w:hAnsi="Times New Roman" w:cs="Times New Roman"/>
          <w:sz w:val="24"/>
          <w:szCs w:val="24"/>
        </w:rPr>
      </w:pPr>
    </w:p>
    <w:p w:rsidR="00E9168E" w:rsidRPr="00BA46CD" w:rsidRDefault="00E9168E" w:rsidP="00D30166">
      <w:pPr>
        <w:spacing w:line="360" w:lineRule="auto"/>
        <w:jc w:val="both"/>
        <w:rPr>
          <w:rFonts w:ascii="Times New Roman" w:hAnsi="Times New Roman" w:cs="Times New Roman"/>
          <w:sz w:val="24"/>
          <w:szCs w:val="24"/>
        </w:rPr>
      </w:pPr>
    </w:p>
    <w:p w:rsidR="00E9168E" w:rsidRPr="00BA46CD" w:rsidRDefault="00E9168E" w:rsidP="00D30166">
      <w:pPr>
        <w:spacing w:line="360" w:lineRule="auto"/>
        <w:jc w:val="both"/>
        <w:rPr>
          <w:rFonts w:ascii="Times New Roman" w:hAnsi="Times New Roman" w:cs="Times New Roman"/>
          <w:sz w:val="24"/>
          <w:szCs w:val="24"/>
        </w:rPr>
      </w:pPr>
    </w:p>
    <w:p w:rsidR="00E9168E" w:rsidRPr="00BA46CD" w:rsidRDefault="00E9168E" w:rsidP="00D30166">
      <w:pPr>
        <w:spacing w:line="360" w:lineRule="auto"/>
        <w:jc w:val="both"/>
        <w:rPr>
          <w:rFonts w:ascii="Times New Roman" w:hAnsi="Times New Roman" w:cs="Times New Roman"/>
          <w:sz w:val="24"/>
          <w:szCs w:val="24"/>
        </w:rPr>
      </w:pPr>
    </w:p>
    <w:p w:rsidR="00261C5B" w:rsidRDefault="00261C5B" w:rsidP="006D6137">
      <w:pPr>
        <w:spacing w:line="360" w:lineRule="auto"/>
        <w:jc w:val="center"/>
        <w:rPr>
          <w:rFonts w:ascii="Times New Roman" w:hAnsi="Times New Roman" w:cs="Times New Roman"/>
          <w:sz w:val="24"/>
          <w:szCs w:val="24"/>
        </w:rPr>
      </w:pPr>
      <w:r>
        <w:rPr>
          <w:rFonts w:ascii="Times New Roman" w:hAnsi="Times New Roman" w:cs="Times New Roman"/>
          <w:sz w:val="24"/>
          <w:szCs w:val="24"/>
        </w:rPr>
        <w:t xml:space="preserve">ACCOUNTING FUNDAMENTALS </w:t>
      </w:r>
    </w:p>
    <w:p w:rsidR="00E9168E" w:rsidRPr="00BA46CD" w:rsidRDefault="00261C5B" w:rsidP="006D6137">
      <w:pPr>
        <w:spacing w:line="360" w:lineRule="auto"/>
        <w:jc w:val="center"/>
        <w:rPr>
          <w:rFonts w:ascii="Times New Roman" w:eastAsiaTheme="majorEastAsia" w:hAnsi="Times New Roman" w:cs="Times New Roman"/>
          <w:b/>
          <w:bCs/>
          <w:color w:val="365F91" w:themeColor="accent1" w:themeShade="BF"/>
          <w:sz w:val="24"/>
          <w:szCs w:val="24"/>
        </w:rPr>
      </w:pPr>
      <w:r>
        <w:rPr>
          <w:rFonts w:ascii="Times New Roman" w:hAnsi="Times New Roman" w:cs="Times New Roman"/>
          <w:sz w:val="24"/>
          <w:szCs w:val="24"/>
        </w:rPr>
        <w:t>LCBB4001</w:t>
      </w:r>
      <w:r w:rsidR="00E9168E" w:rsidRPr="00BA46CD">
        <w:rPr>
          <w:rFonts w:ascii="Times New Roman" w:hAnsi="Times New Roman" w:cs="Times New Roman"/>
          <w:sz w:val="24"/>
          <w:szCs w:val="24"/>
        </w:rPr>
        <w:br w:type="page"/>
      </w:r>
    </w:p>
    <w:sdt>
      <w:sdtPr>
        <w:rPr>
          <w:rFonts w:ascii="Times New Roman" w:eastAsiaTheme="minorEastAsia" w:hAnsi="Times New Roman" w:cs="Times New Roman"/>
          <w:b w:val="0"/>
          <w:bCs w:val="0"/>
          <w:color w:val="auto"/>
          <w:sz w:val="24"/>
          <w:szCs w:val="24"/>
        </w:rPr>
        <w:id w:val="267587971"/>
        <w:docPartObj>
          <w:docPartGallery w:val="Table of Contents"/>
          <w:docPartUnique/>
        </w:docPartObj>
      </w:sdtPr>
      <w:sdtContent>
        <w:p w:rsidR="00415D73" w:rsidRPr="00BA46CD" w:rsidRDefault="00415D73" w:rsidP="00D30166">
          <w:pPr>
            <w:pStyle w:val="TOCHeading"/>
            <w:spacing w:line="360" w:lineRule="auto"/>
            <w:jc w:val="both"/>
            <w:rPr>
              <w:rFonts w:ascii="Times New Roman" w:hAnsi="Times New Roman" w:cs="Times New Roman"/>
              <w:sz w:val="24"/>
              <w:szCs w:val="24"/>
            </w:rPr>
          </w:pPr>
          <w:r w:rsidRPr="00BA46CD">
            <w:rPr>
              <w:rFonts w:ascii="Times New Roman" w:hAnsi="Times New Roman" w:cs="Times New Roman"/>
              <w:sz w:val="24"/>
              <w:szCs w:val="24"/>
            </w:rPr>
            <w:t>Table of Contents</w:t>
          </w:r>
        </w:p>
        <w:p w:rsidR="00BA46CD" w:rsidRPr="00BA46CD" w:rsidRDefault="00CD46E9">
          <w:pPr>
            <w:pStyle w:val="TOC1"/>
            <w:tabs>
              <w:tab w:val="right" w:leader="dot" w:pos="9350"/>
            </w:tabs>
            <w:rPr>
              <w:rFonts w:ascii="Times New Roman" w:hAnsi="Times New Roman" w:cs="Times New Roman"/>
              <w:noProof/>
              <w:sz w:val="24"/>
              <w:szCs w:val="24"/>
            </w:rPr>
          </w:pPr>
          <w:r w:rsidRPr="00BA46CD">
            <w:rPr>
              <w:rFonts w:ascii="Times New Roman" w:hAnsi="Times New Roman" w:cs="Times New Roman"/>
              <w:sz w:val="24"/>
              <w:szCs w:val="24"/>
            </w:rPr>
            <w:fldChar w:fldCharType="begin"/>
          </w:r>
          <w:r w:rsidR="00415D73" w:rsidRPr="00BA46CD">
            <w:rPr>
              <w:rFonts w:ascii="Times New Roman" w:hAnsi="Times New Roman" w:cs="Times New Roman"/>
              <w:sz w:val="24"/>
              <w:szCs w:val="24"/>
            </w:rPr>
            <w:instrText xml:space="preserve"> TOC \o "1-3" \h \z \u </w:instrText>
          </w:r>
          <w:r w:rsidRPr="00BA46CD">
            <w:rPr>
              <w:rFonts w:ascii="Times New Roman" w:hAnsi="Times New Roman" w:cs="Times New Roman"/>
              <w:sz w:val="24"/>
              <w:szCs w:val="24"/>
            </w:rPr>
            <w:fldChar w:fldCharType="separate"/>
          </w:r>
          <w:hyperlink w:anchor="_Toc55765053" w:history="1">
            <w:r w:rsidR="00BA46CD" w:rsidRPr="00BA46CD">
              <w:rPr>
                <w:rStyle w:val="Hyperlink"/>
                <w:rFonts w:ascii="Times New Roman" w:hAnsi="Times New Roman" w:cs="Times New Roman"/>
                <w:noProof/>
                <w:sz w:val="24"/>
                <w:szCs w:val="24"/>
              </w:rPr>
              <w:t>Portfolio1:</w:t>
            </w:r>
            <w:r w:rsidR="00BA46CD" w:rsidRPr="00BA46CD">
              <w:rPr>
                <w:rFonts w:ascii="Times New Roman" w:hAnsi="Times New Roman" w:cs="Times New Roman"/>
                <w:noProof/>
                <w:webHidden/>
                <w:sz w:val="24"/>
                <w:szCs w:val="24"/>
              </w:rPr>
              <w:tab/>
            </w:r>
            <w:r w:rsidRPr="00BA46CD">
              <w:rPr>
                <w:rFonts w:ascii="Times New Roman" w:hAnsi="Times New Roman" w:cs="Times New Roman"/>
                <w:noProof/>
                <w:webHidden/>
                <w:sz w:val="24"/>
                <w:szCs w:val="24"/>
              </w:rPr>
              <w:fldChar w:fldCharType="begin"/>
            </w:r>
            <w:r w:rsidR="00BA46CD" w:rsidRPr="00BA46CD">
              <w:rPr>
                <w:rFonts w:ascii="Times New Roman" w:hAnsi="Times New Roman" w:cs="Times New Roman"/>
                <w:noProof/>
                <w:webHidden/>
                <w:sz w:val="24"/>
                <w:szCs w:val="24"/>
              </w:rPr>
              <w:instrText xml:space="preserve"> PAGEREF _Toc55765053 \h </w:instrText>
            </w:r>
            <w:r w:rsidRPr="00BA46CD">
              <w:rPr>
                <w:rFonts w:ascii="Times New Roman" w:hAnsi="Times New Roman" w:cs="Times New Roman"/>
                <w:noProof/>
                <w:webHidden/>
                <w:sz w:val="24"/>
                <w:szCs w:val="24"/>
              </w:rPr>
            </w:r>
            <w:r w:rsidRPr="00BA46CD">
              <w:rPr>
                <w:rFonts w:ascii="Times New Roman" w:hAnsi="Times New Roman" w:cs="Times New Roman"/>
                <w:noProof/>
                <w:webHidden/>
                <w:sz w:val="24"/>
                <w:szCs w:val="24"/>
              </w:rPr>
              <w:fldChar w:fldCharType="separate"/>
            </w:r>
            <w:r w:rsidR="00BA46CD" w:rsidRPr="00BA46CD">
              <w:rPr>
                <w:rFonts w:ascii="Times New Roman" w:hAnsi="Times New Roman" w:cs="Times New Roman"/>
                <w:noProof/>
                <w:webHidden/>
                <w:sz w:val="24"/>
                <w:szCs w:val="24"/>
              </w:rPr>
              <w:t>3</w:t>
            </w:r>
            <w:r w:rsidRPr="00BA46CD">
              <w:rPr>
                <w:rFonts w:ascii="Times New Roman" w:hAnsi="Times New Roman" w:cs="Times New Roman"/>
                <w:noProof/>
                <w:webHidden/>
                <w:sz w:val="24"/>
                <w:szCs w:val="24"/>
              </w:rPr>
              <w:fldChar w:fldCharType="end"/>
            </w:r>
          </w:hyperlink>
        </w:p>
        <w:p w:rsidR="00BA46CD" w:rsidRPr="00BA46CD" w:rsidRDefault="00CD46E9">
          <w:pPr>
            <w:pStyle w:val="TOC2"/>
            <w:tabs>
              <w:tab w:val="right" w:leader="dot" w:pos="9350"/>
            </w:tabs>
            <w:rPr>
              <w:rFonts w:ascii="Times New Roman" w:hAnsi="Times New Roman" w:cs="Times New Roman"/>
              <w:noProof/>
              <w:sz w:val="24"/>
              <w:szCs w:val="24"/>
            </w:rPr>
          </w:pPr>
          <w:hyperlink w:anchor="_Toc55765054" w:history="1">
            <w:r w:rsidR="00BA46CD" w:rsidRPr="00BA46CD">
              <w:rPr>
                <w:rStyle w:val="Hyperlink"/>
                <w:rFonts w:ascii="Times New Roman" w:hAnsi="Times New Roman" w:cs="Times New Roman"/>
                <w:noProof/>
                <w:sz w:val="24"/>
                <w:szCs w:val="24"/>
              </w:rPr>
              <w:t>Preparation of Statements:</w:t>
            </w:r>
            <w:r w:rsidR="00BA46CD" w:rsidRPr="00BA46CD">
              <w:rPr>
                <w:rFonts w:ascii="Times New Roman" w:hAnsi="Times New Roman" w:cs="Times New Roman"/>
                <w:noProof/>
                <w:webHidden/>
                <w:sz w:val="24"/>
                <w:szCs w:val="24"/>
              </w:rPr>
              <w:tab/>
            </w:r>
            <w:r w:rsidRPr="00BA46CD">
              <w:rPr>
                <w:rFonts w:ascii="Times New Roman" w:hAnsi="Times New Roman" w:cs="Times New Roman"/>
                <w:noProof/>
                <w:webHidden/>
                <w:sz w:val="24"/>
                <w:szCs w:val="24"/>
              </w:rPr>
              <w:fldChar w:fldCharType="begin"/>
            </w:r>
            <w:r w:rsidR="00BA46CD" w:rsidRPr="00BA46CD">
              <w:rPr>
                <w:rFonts w:ascii="Times New Roman" w:hAnsi="Times New Roman" w:cs="Times New Roman"/>
                <w:noProof/>
                <w:webHidden/>
                <w:sz w:val="24"/>
                <w:szCs w:val="24"/>
              </w:rPr>
              <w:instrText xml:space="preserve"> PAGEREF _Toc55765054 \h </w:instrText>
            </w:r>
            <w:r w:rsidRPr="00BA46CD">
              <w:rPr>
                <w:rFonts w:ascii="Times New Roman" w:hAnsi="Times New Roman" w:cs="Times New Roman"/>
                <w:noProof/>
                <w:webHidden/>
                <w:sz w:val="24"/>
                <w:szCs w:val="24"/>
              </w:rPr>
            </w:r>
            <w:r w:rsidRPr="00BA46CD">
              <w:rPr>
                <w:rFonts w:ascii="Times New Roman" w:hAnsi="Times New Roman" w:cs="Times New Roman"/>
                <w:noProof/>
                <w:webHidden/>
                <w:sz w:val="24"/>
                <w:szCs w:val="24"/>
              </w:rPr>
              <w:fldChar w:fldCharType="separate"/>
            </w:r>
            <w:r w:rsidR="00BA46CD" w:rsidRPr="00BA46CD">
              <w:rPr>
                <w:rFonts w:ascii="Times New Roman" w:hAnsi="Times New Roman" w:cs="Times New Roman"/>
                <w:noProof/>
                <w:webHidden/>
                <w:sz w:val="24"/>
                <w:szCs w:val="24"/>
              </w:rPr>
              <w:t>3</w:t>
            </w:r>
            <w:r w:rsidRPr="00BA46CD">
              <w:rPr>
                <w:rFonts w:ascii="Times New Roman" w:hAnsi="Times New Roman" w:cs="Times New Roman"/>
                <w:noProof/>
                <w:webHidden/>
                <w:sz w:val="24"/>
                <w:szCs w:val="24"/>
              </w:rPr>
              <w:fldChar w:fldCharType="end"/>
            </w:r>
          </w:hyperlink>
        </w:p>
        <w:p w:rsidR="00BA46CD" w:rsidRPr="00BA46CD" w:rsidRDefault="00CD46E9">
          <w:pPr>
            <w:pStyle w:val="TOC2"/>
            <w:tabs>
              <w:tab w:val="right" w:leader="dot" w:pos="9350"/>
            </w:tabs>
            <w:rPr>
              <w:rFonts w:ascii="Times New Roman" w:hAnsi="Times New Roman" w:cs="Times New Roman"/>
              <w:noProof/>
              <w:sz w:val="24"/>
              <w:szCs w:val="24"/>
            </w:rPr>
          </w:pPr>
          <w:hyperlink w:anchor="_Toc55765055" w:history="1">
            <w:r w:rsidR="00BA46CD" w:rsidRPr="00BA46CD">
              <w:rPr>
                <w:rStyle w:val="Hyperlink"/>
                <w:rFonts w:ascii="Times New Roman" w:hAnsi="Times New Roman" w:cs="Times New Roman"/>
                <w:noProof/>
                <w:sz w:val="24"/>
                <w:szCs w:val="24"/>
              </w:rPr>
              <w:t>Reason for balance sheet balances:</w:t>
            </w:r>
            <w:r w:rsidR="00BA46CD" w:rsidRPr="00BA46CD">
              <w:rPr>
                <w:rFonts w:ascii="Times New Roman" w:hAnsi="Times New Roman" w:cs="Times New Roman"/>
                <w:noProof/>
                <w:webHidden/>
                <w:sz w:val="24"/>
                <w:szCs w:val="24"/>
              </w:rPr>
              <w:tab/>
            </w:r>
            <w:r w:rsidRPr="00BA46CD">
              <w:rPr>
                <w:rFonts w:ascii="Times New Roman" w:hAnsi="Times New Roman" w:cs="Times New Roman"/>
                <w:noProof/>
                <w:webHidden/>
                <w:sz w:val="24"/>
                <w:szCs w:val="24"/>
              </w:rPr>
              <w:fldChar w:fldCharType="begin"/>
            </w:r>
            <w:r w:rsidR="00BA46CD" w:rsidRPr="00BA46CD">
              <w:rPr>
                <w:rFonts w:ascii="Times New Roman" w:hAnsi="Times New Roman" w:cs="Times New Roman"/>
                <w:noProof/>
                <w:webHidden/>
                <w:sz w:val="24"/>
                <w:szCs w:val="24"/>
              </w:rPr>
              <w:instrText xml:space="preserve"> PAGEREF _Toc55765055 \h </w:instrText>
            </w:r>
            <w:r w:rsidRPr="00BA46CD">
              <w:rPr>
                <w:rFonts w:ascii="Times New Roman" w:hAnsi="Times New Roman" w:cs="Times New Roman"/>
                <w:noProof/>
                <w:webHidden/>
                <w:sz w:val="24"/>
                <w:szCs w:val="24"/>
              </w:rPr>
            </w:r>
            <w:r w:rsidRPr="00BA46CD">
              <w:rPr>
                <w:rFonts w:ascii="Times New Roman" w:hAnsi="Times New Roman" w:cs="Times New Roman"/>
                <w:noProof/>
                <w:webHidden/>
                <w:sz w:val="24"/>
                <w:szCs w:val="24"/>
              </w:rPr>
              <w:fldChar w:fldCharType="separate"/>
            </w:r>
            <w:r w:rsidR="00BA46CD" w:rsidRPr="00BA46CD">
              <w:rPr>
                <w:rFonts w:ascii="Times New Roman" w:hAnsi="Times New Roman" w:cs="Times New Roman"/>
                <w:noProof/>
                <w:webHidden/>
                <w:sz w:val="24"/>
                <w:szCs w:val="24"/>
              </w:rPr>
              <w:t>5</w:t>
            </w:r>
            <w:r w:rsidRPr="00BA46CD">
              <w:rPr>
                <w:rFonts w:ascii="Times New Roman" w:hAnsi="Times New Roman" w:cs="Times New Roman"/>
                <w:noProof/>
                <w:webHidden/>
                <w:sz w:val="24"/>
                <w:szCs w:val="24"/>
              </w:rPr>
              <w:fldChar w:fldCharType="end"/>
            </w:r>
          </w:hyperlink>
        </w:p>
        <w:p w:rsidR="00BA46CD" w:rsidRPr="00BA46CD" w:rsidRDefault="00CD46E9">
          <w:pPr>
            <w:pStyle w:val="TOC1"/>
            <w:tabs>
              <w:tab w:val="right" w:leader="dot" w:pos="9350"/>
            </w:tabs>
            <w:rPr>
              <w:rFonts w:ascii="Times New Roman" w:hAnsi="Times New Roman" w:cs="Times New Roman"/>
              <w:noProof/>
              <w:sz w:val="24"/>
              <w:szCs w:val="24"/>
            </w:rPr>
          </w:pPr>
          <w:hyperlink w:anchor="_Toc55765056" w:history="1">
            <w:r w:rsidR="00BA46CD" w:rsidRPr="00BA46CD">
              <w:rPr>
                <w:rStyle w:val="Hyperlink"/>
                <w:rFonts w:ascii="Times New Roman" w:hAnsi="Times New Roman" w:cs="Times New Roman"/>
                <w:noProof/>
                <w:sz w:val="24"/>
                <w:szCs w:val="24"/>
              </w:rPr>
              <w:t>Portfolio 2:</w:t>
            </w:r>
            <w:r w:rsidR="00BA46CD" w:rsidRPr="00BA46CD">
              <w:rPr>
                <w:rFonts w:ascii="Times New Roman" w:hAnsi="Times New Roman" w:cs="Times New Roman"/>
                <w:noProof/>
                <w:webHidden/>
                <w:sz w:val="24"/>
                <w:szCs w:val="24"/>
              </w:rPr>
              <w:tab/>
            </w:r>
            <w:r w:rsidRPr="00BA46CD">
              <w:rPr>
                <w:rFonts w:ascii="Times New Roman" w:hAnsi="Times New Roman" w:cs="Times New Roman"/>
                <w:noProof/>
                <w:webHidden/>
                <w:sz w:val="24"/>
                <w:szCs w:val="24"/>
              </w:rPr>
              <w:fldChar w:fldCharType="begin"/>
            </w:r>
            <w:r w:rsidR="00BA46CD" w:rsidRPr="00BA46CD">
              <w:rPr>
                <w:rFonts w:ascii="Times New Roman" w:hAnsi="Times New Roman" w:cs="Times New Roman"/>
                <w:noProof/>
                <w:webHidden/>
                <w:sz w:val="24"/>
                <w:szCs w:val="24"/>
              </w:rPr>
              <w:instrText xml:space="preserve"> PAGEREF _Toc55765056 \h </w:instrText>
            </w:r>
            <w:r w:rsidRPr="00BA46CD">
              <w:rPr>
                <w:rFonts w:ascii="Times New Roman" w:hAnsi="Times New Roman" w:cs="Times New Roman"/>
                <w:noProof/>
                <w:webHidden/>
                <w:sz w:val="24"/>
                <w:szCs w:val="24"/>
              </w:rPr>
            </w:r>
            <w:r w:rsidRPr="00BA46CD">
              <w:rPr>
                <w:rFonts w:ascii="Times New Roman" w:hAnsi="Times New Roman" w:cs="Times New Roman"/>
                <w:noProof/>
                <w:webHidden/>
                <w:sz w:val="24"/>
                <w:szCs w:val="24"/>
              </w:rPr>
              <w:fldChar w:fldCharType="separate"/>
            </w:r>
            <w:r w:rsidR="00BA46CD" w:rsidRPr="00BA46CD">
              <w:rPr>
                <w:rFonts w:ascii="Times New Roman" w:hAnsi="Times New Roman" w:cs="Times New Roman"/>
                <w:noProof/>
                <w:webHidden/>
                <w:sz w:val="24"/>
                <w:szCs w:val="24"/>
              </w:rPr>
              <w:t>6</w:t>
            </w:r>
            <w:r w:rsidRPr="00BA46CD">
              <w:rPr>
                <w:rFonts w:ascii="Times New Roman" w:hAnsi="Times New Roman" w:cs="Times New Roman"/>
                <w:noProof/>
                <w:webHidden/>
                <w:sz w:val="24"/>
                <w:szCs w:val="24"/>
              </w:rPr>
              <w:fldChar w:fldCharType="end"/>
            </w:r>
          </w:hyperlink>
        </w:p>
        <w:p w:rsidR="00BA46CD" w:rsidRPr="00BA46CD" w:rsidRDefault="00CD46E9">
          <w:pPr>
            <w:pStyle w:val="TOC2"/>
            <w:tabs>
              <w:tab w:val="right" w:leader="dot" w:pos="9350"/>
            </w:tabs>
            <w:rPr>
              <w:rFonts w:ascii="Times New Roman" w:hAnsi="Times New Roman" w:cs="Times New Roman"/>
              <w:noProof/>
              <w:sz w:val="24"/>
              <w:szCs w:val="24"/>
            </w:rPr>
          </w:pPr>
          <w:hyperlink w:anchor="_Toc55765057" w:history="1">
            <w:r w:rsidR="00BA46CD" w:rsidRPr="00BA46CD">
              <w:rPr>
                <w:rStyle w:val="Hyperlink"/>
                <w:rFonts w:ascii="Times New Roman" w:hAnsi="Times New Roman" w:cs="Times New Roman"/>
                <w:noProof/>
                <w:sz w:val="24"/>
                <w:szCs w:val="24"/>
              </w:rPr>
              <w:t>Ratio Analysis:</w:t>
            </w:r>
            <w:r w:rsidR="00BA46CD" w:rsidRPr="00BA46CD">
              <w:rPr>
                <w:rFonts w:ascii="Times New Roman" w:hAnsi="Times New Roman" w:cs="Times New Roman"/>
                <w:noProof/>
                <w:webHidden/>
                <w:sz w:val="24"/>
                <w:szCs w:val="24"/>
              </w:rPr>
              <w:tab/>
            </w:r>
            <w:r w:rsidRPr="00BA46CD">
              <w:rPr>
                <w:rFonts w:ascii="Times New Roman" w:hAnsi="Times New Roman" w:cs="Times New Roman"/>
                <w:noProof/>
                <w:webHidden/>
                <w:sz w:val="24"/>
                <w:szCs w:val="24"/>
              </w:rPr>
              <w:fldChar w:fldCharType="begin"/>
            </w:r>
            <w:r w:rsidR="00BA46CD" w:rsidRPr="00BA46CD">
              <w:rPr>
                <w:rFonts w:ascii="Times New Roman" w:hAnsi="Times New Roman" w:cs="Times New Roman"/>
                <w:noProof/>
                <w:webHidden/>
                <w:sz w:val="24"/>
                <w:szCs w:val="24"/>
              </w:rPr>
              <w:instrText xml:space="preserve"> PAGEREF _Toc55765057 \h </w:instrText>
            </w:r>
            <w:r w:rsidRPr="00BA46CD">
              <w:rPr>
                <w:rFonts w:ascii="Times New Roman" w:hAnsi="Times New Roman" w:cs="Times New Roman"/>
                <w:noProof/>
                <w:webHidden/>
                <w:sz w:val="24"/>
                <w:szCs w:val="24"/>
              </w:rPr>
            </w:r>
            <w:r w:rsidRPr="00BA46CD">
              <w:rPr>
                <w:rFonts w:ascii="Times New Roman" w:hAnsi="Times New Roman" w:cs="Times New Roman"/>
                <w:noProof/>
                <w:webHidden/>
                <w:sz w:val="24"/>
                <w:szCs w:val="24"/>
              </w:rPr>
              <w:fldChar w:fldCharType="separate"/>
            </w:r>
            <w:r w:rsidR="00BA46CD" w:rsidRPr="00BA46CD">
              <w:rPr>
                <w:rFonts w:ascii="Times New Roman" w:hAnsi="Times New Roman" w:cs="Times New Roman"/>
                <w:noProof/>
                <w:webHidden/>
                <w:sz w:val="24"/>
                <w:szCs w:val="24"/>
              </w:rPr>
              <w:t>6</w:t>
            </w:r>
            <w:r w:rsidRPr="00BA46CD">
              <w:rPr>
                <w:rFonts w:ascii="Times New Roman" w:hAnsi="Times New Roman" w:cs="Times New Roman"/>
                <w:noProof/>
                <w:webHidden/>
                <w:sz w:val="24"/>
                <w:szCs w:val="24"/>
              </w:rPr>
              <w:fldChar w:fldCharType="end"/>
            </w:r>
          </w:hyperlink>
        </w:p>
        <w:p w:rsidR="00BA46CD" w:rsidRPr="00BA46CD" w:rsidRDefault="00CD46E9">
          <w:pPr>
            <w:pStyle w:val="TOC2"/>
            <w:tabs>
              <w:tab w:val="right" w:leader="dot" w:pos="9350"/>
            </w:tabs>
            <w:rPr>
              <w:rFonts w:ascii="Times New Roman" w:hAnsi="Times New Roman" w:cs="Times New Roman"/>
              <w:noProof/>
              <w:sz w:val="24"/>
              <w:szCs w:val="24"/>
            </w:rPr>
          </w:pPr>
          <w:hyperlink w:anchor="_Toc55765058" w:history="1">
            <w:r w:rsidR="00BA46CD" w:rsidRPr="00BA46CD">
              <w:rPr>
                <w:rStyle w:val="Hyperlink"/>
                <w:rFonts w:ascii="Times New Roman" w:hAnsi="Times New Roman" w:cs="Times New Roman"/>
                <w:noProof/>
                <w:sz w:val="24"/>
                <w:szCs w:val="24"/>
              </w:rPr>
              <w:t>Interpretation of ratios</w:t>
            </w:r>
            <w:r w:rsidR="00BA46CD" w:rsidRPr="00BA46CD">
              <w:rPr>
                <w:rFonts w:ascii="Times New Roman" w:hAnsi="Times New Roman" w:cs="Times New Roman"/>
                <w:noProof/>
                <w:webHidden/>
                <w:sz w:val="24"/>
                <w:szCs w:val="24"/>
              </w:rPr>
              <w:tab/>
            </w:r>
            <w:r w:rsidRPr="00BA46CD">
              <w:rPr>
                <w:rFonts w:ascii="Times New Roman" w:hAnsi="Times New Roman" w:cs="Times New Roman"/>
                <w:noProof/>
                <w:webHidden/>
                <w:sz w:val="24"/>
                <w:szCs w:val="24"/>
              </w:rPr>
              <w:fldChar w:fldCharType="begin"/>
            </w:r>
            <w:r w:rsidR="00BA46CD" w:rsidRPr="00BA46CD">
              <w:rPr>
                <w:rFonts w:ascii="Times New Roman" w:hAnsi="Times New Roman" w:cs="Times New Roman"/>
                <w:noProof/>
                <w:webHidden/>
                <w:sz w:val="24"/>
                <w:szCs w:val="24"/>
              </w:rPr>
              <w:instrText xml:space="preserve"> PAGEREF _Toc55765058 \h </w:instrText>
            </w:r>
            <w:r w:rsidRPr="00BA46CD">
              <w:rPr>
                <w:rFonts w:ascii="Times New Roman" w:hAnsi="Times New Roman" w:cs="Times New Roman"/>
                <w:noProof/>
                <w:webHidden/>
                <w:sz w:val="24"/>
                <w:szCs w:val="24"/>
              </w:rPr>
            </w:r>
            <w:r w:rsidRPr="00BA46CD">
              <w:rPr>
                <w:rFonts w:ascii="Times New Roman" w:hAnsi="Times New Roman" w:cs="Times New Roman"/>
                <w:noProof/>
                <w:webHidden/>
                <w:sz w:val="24"/>
                <w:szCs w:val="24"/>
              </w:rPr>
              <w:fldChar w:fldCharType="separate"/>
            </w:r>
            <w:r w:rsidR="00BA46CD" w:rsidRPr="00BA46CD">
              <w:rPr>
                <w:rFonts w:ascii="Times New Roman" w:hAnsi="Times New Roman" w:cs="Times New Roman"/>
                <w:noProof/>
                <w:webHidden/>
                <w:sz w:val="24"/>
                <w:szCs w:val="24"/>
              </w:rPr>
              <w:t>7</w:t>
            </w:r>
            <w:r w:rsidRPr="00BA46CD">
              <w:rPr>
                <w:rFonts w:ascii="Times New Roman" w:hAnsi="Times New Roman" w:cs="Times New Roman"/>
                <w:noProof/>
                <w:webHidden/>
                <w:sz w:val="24"/>
                <w:szCs w:val="24"/>
              </w:rPr>
              <w:fldChar w:fldCharType="end"/>
            </w:r>
          </w:hyperlink>
        </w:p>
        <w:p w:rsidR="00BA46CD" w:rsidRPr="00BA46CD" w:rsidRDefault="00CD46E9">
          <w:pPr>
            <w:pStyle w:val="TOC1"/>
            <w:tabs>
              <w:tab w:val="right" w:leader="dot" w:pos="9350"/>
            </w:tabs>
            <w:rPr>
              <w:rFonts w:ascii="Times New Roman" w:hAnsi="Times New Roman" w:cs="Times New Roman"/>
              <w:noProof/>
              <w:sz w:val="24"/>
              <w:szCs w:val="24"/>
            </w:rPr>
          </w:pPr>
          <w:hyperlink w:anchor="_Toc55765059" w:history="1">
            <w:r w:rsidR="00BA46CD" w:rsidRPr="00BA46CD">
              <w:rPr>
                <w:rStyle w:val="Hyperlink"/>
                <w:rFonts w:ascii="Times New Roman" w:hAnsi="Times New Roman" w:cs="Times New Roman"/>
                <w:noProof/>
                <w:sz w:val="24"/>
                <w:szCs w:val="24"/>
              </w:rPr>
              <w:t>References:</w:t>
            </w:r>
            <w:r w:rsidR="00BA46CD" w:rsidRPr="00BA46CD">
              <w:rPr>
                <w:rFonts w:ascii="Times New Roman" w:hAnsi="Times New Roman" w:cs="Times New Roman"/>
                <w:noProof/>
                <w:webHidden/>
                <w:sz w:val="24"/>
                <w:szCs w:val="24"/>
              </w:rPr>
              <w:tab/>
            </w:r>
            <w:r w:rsidRPr="00BA46CD">
              <w:rPr>
                <w:rFonts w:ascii="Times New Roman" w:hAnsi="Times New Roman" w:cs="Times New Roman"/>
                <w:noProof/>
                <w:webHidden/>
                <w:sz w:val="24"/>
                <w:szCs w:val="24"/>
              </w:rPr>
              <w:fldChar w:fldCharType="begin"/>
            </w:r>
            <w:r w:rsidR="00BA46CD" w:rsidRPr="00BA46CD">
              <w:rPr>
                <w:rFonts w:ascii="Times New Roman" w:hAnsi="Times New Roman" w:cs="Times New Roman"/>
                <w:noProof/>
                <w:webHidden/>
                <w:sz w:val="24"/>
                <w:szCs w:val="24"/>
              </w:rPr>
              <w:instrText xml:space="preserve"> PAGEREF _Toc55765059 \h </w:instrText>
            </w:r>
            <w:r w:rsidRPr="00BA46CD">
              <w:rPr>
                <w:rFonts w:ascii="Times New Roman" w:hAnsi="Times New Roman" w:cs="Times New Roman"/>
                <w:noProof/>
                <w:webHidden/>
                <w:sz w:val="24"/>
                <w:szCs w:val="24"/>
              </w:rPr>
            </w:r>
            <w:r w:rsidRPr="00BA46CD">
              <w:rPr>
                <w:rFonts w:ascii="Times New Roman" w:hAnsi="Times New Roman" w:cs="Times New Roman"/>
                <w:noProof/>
                <w:webHidden/>
                <w:sz w:val="24"/>
                <w:szCs w:val="24"/>
              </w:rPr>
              <w:fldChar w:fldCharType="separate"/>
            </w:r>
            <w:r w:rsidR="00BA46CD" w:rsidRPr="00BA46CD">
              <w:rPr>
                <w:rFonts w:ascii="Times New Roman" w:hAnsi="Times New Roman" w:cs="Times New Roman"/>
                <w:noProof/>
                <w:webHidden/>
                <w:sz w:val="24"/>
                <w:szCs w:val="24"/>
              </w:rPr>
              <w:t>11</w:t>
            </w:r>
            <w:r w:rsidRPr="00BA46CD">
              <w:rPr>
                <w:rFonts w:ascii="Times New Roman" w:hAnsi="Times New Roman" w:cs="Times New Roman"/>
                <w:noProof/>
                <w:webHidden/>
                <w:sz w:val="24"/>
                <w:szCs w:val="24"/>
              </w:rPr>
              <w:fldChar w:fldCharType="end"/>
            </w:r>
          </w:hyperlink>
        </w:p>
        <w:p w:rsidR="00415D73" w:rsidRPr="00BA46CD" w:rsidRDefault="00CD46E9" w:rsidP="00D30166">
          <w:pPr>
            <w:spacing w:line="360" w:lineRule="auto"/>
            <w:jc w:val="both"/>
            <w:rPr>
              <w:rFonts w:ascii="Times New Roman" w:hAnsi="Times New Roman" w:cs="Times New Roman"/>
              <w:sz w:val="24"/>
              <w:szCs w:val="24"/>
            </w:rPr>
          </w:pPr>
          <w:r w:rsidRPr="00BA46CD">
            <w:rPr>
              <w:rFonts w:ascii="Times New Roman" w:hAnsi="Times New Roman" w:cs="Times New Roman"/>
              <w:sz w:val="24"/>
              <w:szCs w:val="24"/>
            </w:rPr>
            <w:fldChar w:fldCharType="end"/>
          </w:r>
        </w:p>
      </w:sdtContent>
    </w:sdt>
    <w:p w:rsidR="00E9168E" w:rsidRPr="00BA46CD" w:rsidRDefault="00E9168E" w:rsidP="00D30166">
      <w:pPr>
        <w:spacing w:line="360" w:lineRule="auto"/>
        <w:jc w:val="both"/>
        <w:rPr>
          <w:rFonts w:ascii="Times New Roman" w:eastAsiaTheme="majorEastAsia" w:hAnsi="Times New Roman" w:cs="Times New Roman"/>
          <w:b/>
          <w:bCs/>
          <w:color w:val="365F91" w:themeColor="accent1" w:themeShade="BF"/>
          <w:sz w:val="24"/>
          <w:szCs w:val="24"/>
        </w:rPr>
      </w:pPr>
      <w:r w:rsidRPr="00BA46CD">
        <w:rPr>
          <w:rFonts w:ascii="Times New Roman" w:hAnsi="Times New Roman" w:cs="Times New Roman"/>
          <w:sz w:val="24"/>
          <w:szCs w:val="24"/>
        </w:rPr>
        <w:br w:type="page"/>
      </w:r>
    </w:p>
    <w:p w:rsidR="004C7554" w:rsidRPr="00BA46CD" w:rsidRDefault="00477163" w:rsidP="00D30166">
      <w:pPr>
        <w:pStyle w:val="Heading1"/>
        <w:spacing w:line="360" w:lineRule="auto"/>
        <w:jc w:val="both"/>
        <w:rPr>
          <w:rFonts w:ascii="Times New Roman" w:hAnsi="Times New Roman" w:cs="Times New Roman"/>
          <w:sz w:val="24"/>
          <w:szCs w:val="24"/>
        </w:rPr>
      </w:pPr>
      <w:bookmarkStart w:id="0" w:name="_Toc55765053"/>
      <w:r w:rsidRPr="00BA46CD">
        <w:rPr>
          <w:rFonts w:ascii="Times New Roman" w:hAnsi="Times New Roman" w:cs="Times New Roman"/>
          <w:sz w:val="24"/>
          <w:szCs w:val="24"/>
        </w:rPr>
        <w:lastRenderedPageBreak/>
        <w:t>Portfolio</w:t>
      </w:r>
      <w:r w:rsidR="005414E8" w:rsidRPr="00BA46CD">
        <w:rPr>
          <w:rFonts w:ascii="Times New Roman" w:hAnsi="Times New Roman" w:cs="Times New Roman"/>
          <w:sz w:val="24"/>
          <w:szCs w:val="24"/>
        </w:rPr>
        <w:t>1:</w:t>
      </w:r>
      <w:bookmarkEnd w:id="0"/>
      <w:r w:rsidR="005414E8" w:rsidRPr="00BA46CD">
        <w:rPr>
          <w:rFonts w:ascii="Times New Roman" w:hAnsi="Times New Roman" w:cs="Times New Roman"/>
          <w:sz w:val="24"/>
          <w:szCs w:val="24"/>
        </w:rPr>
        <w:t xml:space="preserve"> </w:t>
      </w:r>
    </w:p>
    <w:p w:rsidR="00D42003" w:rsidRPr="00BA46CD" w:rsidRDefault="00D42003" w:rsidP="00D30166">
      <w:pPr>
        <w:pStyle w:val="Heading2"/>
        <w:spacing w:line="360" w:lineRule="auto"/>
        <w:jc w:val="both"/>
        <w:rPr>
          <w:rFonts w:ascii="Times New Roman" w:hAnsi="Times New Roman" w:cs="Times New Roman"/>
          <w:sz w:val="24"/>
          <w:szCs w:val="24"/>
        </w:rPr>
      </w:pPr>
      <w:bookmarkStart w:id="1" w:name="_Toc55765054"/>
      <w:r w:rsidRPr="00BA46CD">
        <w:rPr>
          <w:rFonts w:ascii="Times New Roman" w:hAnsi="Times New Roman" w:cs="Times New Roman"/>
          <w:sz w:val="24"/>
          <w:szCs w:val="24"/>
        </w:rPr>
        <w:t>Preparation of Statements:</w:t>
      </w:r>
      <w:bookmarkEnd w:id="1"/>
      <w:r w:rsidRPr="00BA46CD">
        <w:rPr>
          <w:rFonts w:ascii="Times New Roman" w:hAnsi="Times New Roman" w:cs="Times New Roman"/>
          <w:sz w:val="24"/>
          <w:szCs w:val="24"/>
        </w:rPr>
        <w:t xml:space="preserve"> </w:t>
      </w:r>
    </w:p>
    <w:p w:rsidR="004E1E79" w:rsidRPr="00BA46CD" w:rsidRDefault="005414E8" w:rsidP="00D30166">
      <w:pPr>
        <w:spacing w:line="360" w:lineRule="auto"/>
        <w:jc w:val="both"/>
        <w:rPr>
          <w:rFonts w:ascii="Times New Roman" w:hAnsi="Times New Roman" w:cs="Times New Roman"/>
          <w:b/>
          <w:sz w:val="24"/>
          <w:szCs w:val="24"/>
        </w:rPr>
      </w:pPr>
      <w:r w:rsidRPr="00BA46CD">
        <w:rPr>
          <w:rFonts w:ascii="Times New Roman" w:hAnsi="Times New Roman" w:cs="Times New Roman"/>
          <w:b/>
          <w:sz w:val="24"/>
          <w:szCs w:val="24"/>
        </w:rPr>
        <w:t>Income Statement:</w:t>
      </w:r>
    </w:p>
    <w:p w:rsidR="004B2118" w:rsidRPr="00BA46CD" w:rsidRDefault="0039497E" w:rsidP="00D30166">
      <w:pPr>
        <w:spacing w:line="360" w:lineRule="auto"/>
        <w:jc w:val="both"/>
        <w:rPr>
          <w:rFonts w:ascii="Times New Roman" w:hAnsi="Times New Roman" w:cs="Times New Roman"/>
          <w:sz w:val="24"/>
          <w:szCs w:val="24"/>
        </w:rPr>
      </w:pPr>
      <w:r w:rsidRPr="00BA46CD">
        <w:rPr>
          <w:rFonts w:ascii="Times New Roman" w:hAnsi="Times New Roman" w:cs="Times New Roman"/>
          <w:sz w:val="24"/>
          <w:szCs w:val="24"/>
        </w:rPr>
        <w:t xml:space="preserve">This statement has the purpose of presenting true and reliable information </w:t>
      </w:r>
      <w:r w:rsidR="00BD5AF0">
        <w:rPr>
          <w:rFonts w:ascii="Times New Roman" w:hAnsi="Times New Roman" w:cs="Times New Roman"/>
          <w:sz w:val="24"/>
          <w:szCs w:val="24"/>
        </w:rPr>
        <w:t>about</w:t>
      </w:r>
      <w:r w:rsidRPr="00BA46CD">
        <w:rPr>
          <w:rFonts w:ascii="Times New Roman" w:hAnsi="Times New Roman" w:cs="Times New Roman"/>
          <w:sz w:val="24"/>
          <w:szCs w:val="24"/>
        </w:rPr>
        <w:t xml:space="preserve"> the profit or loss of the company to the relevant stakeholders. </w:t>
      </w:r>
      <w:r w:rsidR="004B2118" w:rsidRPr="00BA46CD">
        <w:rPr>
          <w:rFonts w:ascii="Times New Roman" w:hAnsi="Times New Roman" w:cs="Times New Roman"/>
          <w:sz w:val="24"/>
          <w:szCs w:val="24"/>
        </w:rPr>
        <w:t xml:space="preserve">Reporting the financial data and performance of the business has been the necessary duty and responsibility of the businesses as defined in the accounting standard and accounting laws. All relevant parties may expect </w:t>
      </w:r>
      <w:r w:rsidR="00BD5AF0">
        <w:rPr>
          <w:rFonts w:ascii="Times New Roman" w:hAnsi="Times New Roman" w:cs="Times New Roman"/>
          <w:sz w:val="24"/>
          <w:szCs w:val="24"/>
        </w:rPr>
        <w:t xml:space="preserve">the </w:t>
      </w:r>
      <w:r w:rsidR="004B2118" w:rsidRPr="00BA46CD">
        <w:rPr>
          <w:rFonts w:ascii="Times New Roman" w:hAnsi="Times New Roman" w:cs="Times New Roman"/>
          <w:sz w:val="24"/>
          <w:szCs w:val="24"/>
        </w:rPr>
        <w:t xml:space="preserve">growing performance of the entities as </w:t>
      </w:r>
      <w:r w:rsidR="00BD5AF0">
        <w:rPr>
          <w:rFonts w:ascii="Times New Roman" w:hAnsi="Times New Roman" w:cs="Times New Roman"/>
          <w:sz w:val="24"/>
          <w:szCs w:val="24"/>
        </w:rPr>
        <w:t xml:space="preserve">the </w:t>
      </w:r>
      <w:r w:rsidR="004B2118" w:rsidRPr="00BA46CD">
        <w:rPr>
          <w:rFonts w:ascii="Times New Roman" w:hAnsi="Times New Roman" w:cs="Times New Roman"/>
          <w:sz w:val="24"/>
          <w:szCs w:val="24"/>
        </w:rPr>
        <w:t xml:space="preserve">growth of </w:t>
      </w:r>
      <w:r w:rsidR="00BD5AF0">
        <w:rPr>
          <w:rFonts w:ascii="Times New Roman" w:hAnsi="Times New Roman" w:cs="Times New Roman"/>
          <w:sz w:val="24"/>
          <w:szCs w:val="24"/>
        </w:rPr>
        <w:t xml:space="preserve">the </w:t>
      </w:r>
      <w:r w:rsidR="004B2118" w:rsidRPr="00BA46CD">
        <w:rPr>
          <w:rFonts w:ascii="Times New Roman" w:hAnsi="Times New Roman" w:cs="Times New Roman"/>
          <w:sz w:val="24"/>
          <w:szCs w:val="24"/>
        </w:rPr>
        <w:t>business may improve their income and wealth</w:t>
      </w:r>
      <w:r w:rsidR="00733DA9" w:rsidRPr="00BA46CD">
        <w:rPr>
          <w:rFonts w:ascii="Times New Roman" w:hAnsi="Times New Roman" w:cs="Times New Roman"/>
          <w:sz w:val="24"/>
          <w:szCs w:val="24"/>
        </w:rPr>
        <w:t xml:space="preserve"> (</w:t>
      </w:r>
      <w:hyperlink r:id="rId7" w:history="1">
        <w:r w:rsidR="00733DA9" w:rsidRPr="00BA46CD">
          <w:rPr>
            <w:rStyle w:val="Hyperlink"/>
            <w:rFonts w:ascii="Times New Roman" w:hAnsi="Times New Roman" w:cs="Times New Roman"/>
            <w:color w:val="FFFFFF" w:themeColor="text1"/>
            <w:sz w:val="24"/>
            <w:szCs w:val="24"/>
            <w:u w:val="none"/>
          </w:rPr>
          <w:t>Warren</w:t>
        </w:r>
      </w:hyperlink>
      <w:r w:rsidR="00733DA9" w:rsidRPr="00BA46CD">
        <w:rPr>
          <w:rFonts w:ascii="Times New Roman" w:hAnsi="Times New Roman" w:cs="Times New Roman"/>
          <w:sz w:val="24"/>
          <w:szCs w:val="24"/>
        </w:rPr>
        <w:t xml:space="preserve"> et al., 2011)</w:t>
      </w:r>
      <w:r w:rsidR="00D360B9" w:rsidRPr="00BA46CD">
        <w:rPr>
          <w:rFonts w:ascii="Times New Roman" w:hAnsi="Times New Roman" w:cs="Times New Roman"/>
          <w:sz w:val="24"/>
          <w:szCs w:val="24"/>
        </w:rPr>
        <w:t>.</w:t>
      </w:r>
      <w:r w:rsidR="00BD5AF0">
        <w:rPr>
          <w:rFonts w:ascii="Times New Roman" w:hAnsi="Times New Roman" w:cs="Times New Roman"/>
          <w:sz w:val="24"/>
          <w:szCs w:val="24"/>
        </w:rPr>
        <w:t xml:space="preserve"> </w:t>
      </w:r>
      <w:r w:rsidR="004B2118" w:rsidRPr="00BA46CD">
        <w:rPr>
          <w:rFonts w:ascii="Times New Roman" w:hAnsi="Times New Roman" w:cs="Times New Roman"/>
          <w:sz w:val="24"/>
          <w:szCs w:val="24"/>
        </w:rPr>
        <w:t xml:space="preserve">The income statement for Eccles plc is given below: </w:t>
      </w:r>
    </w:p>
    <w:tbl>
      <w:tblPr>
        <w:tblW w:w="6420" w:type="dxa"/>
        <w:tblInd w:w="93" w:type="dxa"/>
        <w:tblLook w:val="04A0"/>
      </w:tblPr>
      <w:tblGrid>
        <w:gridCol w:w="3168"/>
        <w:gridCol w:w="1626"/>
        <w:gridCol w:w="1626"/>
      </w:tblGrid>
      <w:tr w:rsidR="004B2118" w:rsidRPr="00BA46CD" w:rsidTr="004B2118">
        <w:trPr>
          <w:trHeight w:val="315"/>
        </w:trPr>
        <w:tc>
          <w:tcPr>
            <w:tcW w:w="6420" w:type="dxa"/>
            <w:gridSpan w:val="3"/>
            <w:tcBorders>
              <w:top w:val="single" w:sz="4" w:space="0" w:color="auto"/>
              <w:left w:val="single" w:sz="4" w:space="0" w:color="auto"/>
              <w:bottom w:val="single" w:sz="4" w:space="0" w:color="auto"/>
              <w:right w:val="single" w:sz="4" w:space="0" w:color="auto"/>
            </w:tcBorders>
            <w:shd w:val="clear" w:color="000000" w:fill="DBE5F1"/>
            <w:noWrap/>
            <w:vAlign w:val="bottom"/>
            <w:hideMark/>
          </w:tcPr>
          <w:p w:rsidR="004B2118" w:rsidRPr="00BA46CD" w:rsidRDefault="004B2118" w:rsidP="00BD5AF0">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Income Statement As o</w:t>
            </w:r>
            <w:r w:rsidR="00BD5AF0">
              <w:rPr>
                <w:rFonts w:ascii="Times New Roman" w:eastAsia="Times New Roman" w:hAnsi="Times New Roman" w:cs="Times New Roman"/>
                <w:b/>
                <w:bCs/>
                <w:color w:val="000000"/>
                <w:sz w:val="24"/>
                <w:szCs w:val="24"/>
              </w:rPr>
              <w:t>f</w:t>
            </w:r>
            <w:r w:rsidRPr="00BA46CD">
              <w:rPr>
                <w:rFonts w:ascii="Times New Roman" w:eastAsia="Times New Roman" w:hAnsi="Times New Roman" w:cs="Times New Roman"/>
                <w:b/>
                <w:bCs/>
                <w:color w:val="000000"/>
                <w:sz w:val="24"/>
                <w:szCs w:val="24"/>
              </w:rPr>
              <w:t xml:space="preserve"> 31st December 2019</w:t>
            </w:r>
          </w:p>
        </w:tc>
      </w:tr>
      <w:tr w:rsidR="004B2118" w:rsidRPr="00BA46CD" w:rsidTr="004B2118">
        <w:trPr>
          <w:trHeight w:val="315"/>
        </w:trPr>
        <w:tc>
          <w:tcPr>
            <w:tcW w:w="3168" w:type="dxa"/>
            <w:tcBorders>
              <w:top w:val="nil"/>
              <w:left w:val="single" w:sz="4" w:space="0" w:color="auto"/>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Particulars</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Amount (£)</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Amount (£)</w:t>
            </w:r>
          </w:p>
        </w:tc>
      </w:tr>
      <w:tr w:rsidR="004B2118" w:rsidRPr="00BA46CD" w:rsidTr="004B2118">
        <w:trPr>
          <w:trHeight w:val="315"/>
        </w:trPr>
        <w:tc>
          <w:tcPr>
            <w:tcW w:w="3168" w:type="dxa"/>
            <w:tcBorders>
              <w:top w:val="nil"/>
              <w:left w:val="single" w:sz="4" w:space="0" w:color="auto"/>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Sales</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827,630</w:t>
            </w:r>
          </w:p>
        </w:tc>
      </w:tr>
      <w:tr w:rsidR="004B2118" w:rsidRPr="00BA46CD" w:rsidTr="004B2118">
        <w:trPr>
          <w:trHeight w:val="315"/>
        </w:trPr>
        <w:tc>
          <w:tcPr>
            <w:tcW w:w="3168" w:type="dxa"/>
            <w:tcBorders>
              <w:top w:val="nil"/>
              <w:left w:val="single" w:sz="4" w:space="0" w:color="auto"/>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xml:space="preserve">Cost of sales </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578,650</w:t>
            </w:r>
          </w:p>
        </w:tc>
      </w:tr>
      <w:tr w:rsidR="004B2118" w:rsidRPr="00BA46CD" w:rsidTr="004B2118">
        <w:trPr>
          <w:trHeight w:val="315"/>
        </w:trPr>
        <w:tc>
          <w:tcPr>
            <w:tcW w:w="3168" w:type="dxa"/>
            <w:tcBorders>
              <w:top w:val="nil"/>
              <w:left w:val="single" w:sz="4" w:space="0" w:color="auto"/>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Gross Profit</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248,980</w:t>
            </w:r>
          </w:p>
        </w:tc>
      </w:tr>
      <w:tr w:rsidR="004B2118" w:rsidRPr="00BA46CD" w:rsidTr="004B2118">
        <w:trPr>
          <w:trHeight w:val="315"/>
        </w:trPr>
        <w:tc>
          <w:tcPr>
            <w:tcW w:w="3168" w:type="dxa"/>
            <w:tcBorders>
              <w:top w:val="nil"/>
              <w:left w:val="single" w:sz="4" w:space="0" w:color="auto"/>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xml:space="preserve">Administration expenses </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30,000</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4B2118" w:rsidRPr="00BA46CD" w:rsidTr="004B2118">
        <w:trPr>
          <w:trHeight w:val="315"/>
        </w:trPr>
        <w:tc>
          <w:tcPr>
            <w:tcW w:w="3168" w:type="dxa"/>
            <w:tcBorders>
              <w:top w:val="nil"/>
              <w:left w:val="single" w:sz="4" w:space="0" w:color="auto"/>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xml:space="preserve">Outstanding commission </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3,000.00</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4B2118" w:rsidRPr="00BA46CD" w:rsidTr="004B2118">
        <w:trPr>
          <w:trHeight w:val="315"/>
        </w:trPr>
        <w:tc>
          <w:tcPr>
            <w:tcW w:w="3168" w:type="dxa"/>
            <w:tcBorders>
              <w:top w:val="nil"/>
              <w:left w:val="single" w:sz="4" w:space="0" w:color="auto"/>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xml:space="preserve">Directors remuneration </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5,000.00</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4B2118" w:rsidRPr="00BA46CD" w:rsidTr="004B2118">
        <w:trPr>
          <w:trHeight w:val="315"/>
        </w:trPr>
        <w:tc>
          <w:tcPr>
            <w:tcW w:w="3168" w:type="dxa"/>
            <w:tcBorders>
              <w:top w:val="nil"/>
              <w:left w:val="single" w:sz="4" w:space="0" w:color="auto"/>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xml:space="preserve">Distribution expenses </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28,000</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4B2118" w:rsidRPr="00BA46CD" w:rsidTr="004B2118">
        <w:trPr>
          <w:trHeight w:val="315"/>
        </w:trPr>
        <w:tc>
          <w:tcPr>
            <w:tcW w:w="3168" w:type="dxa"/>
            <w:tcBorders>
              <w:top w:val="nil"/>
              <w:left w:val="single" w:sz="4" w:space="0" w:color="auto"/>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xml:space="preserve">Total expenses </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66,000</w:t>
            </w:r>
          </w:p>
        </w:tc>
      </w:tr>
      <w:tr w:rsidR="004B2118" w:rsidRPr="00BA46CD" w:rsidTr="004B2118">
        <w:trPr>
          <w:trHeight w:val="315"/>
        </w:trPr>
        <w:tc>
          <w:tcPr>
            <w:tcW w:w="3168" w:type="dxa"/>
            <w:tcBorders>
              <w:top w:val="nil"/>
              <w:left w:val="single" w:sz="4" w:space="0" w:color="auto"/>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EBIT</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182,980</w:t>
            </w:r>
          </w:p>
        </w:tc>
      </w:tr>
      <w:tr w:rsidR="004B2118" w:rsidRPr="00BA46CD" w:rsidTr="004B2118">
        <w:trPr>
          <w:trHeight w:val="315"/>
        </w:trPr>
        <w:tc>
          <w:tcPr>
            <w:tcW w:w="3168" w:type="dxa"/>
            <w:tcBorders>
              <w:top w:val="nil"/>
              <w:left w:val="single" w:sz="4" w:space="0" w:color="auto"/>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xml:space="preserve">Interest </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2,000</w:t>
            </w:r>
          </w:p>
        </w:tc>
      </w:tr>
      <w:tr w:rsidR="004B2118" w:rsidRPr="00BA46CD" w:rsidTr="004B2118">
        <w:trPr>
          <w:trHeight w:val="315"/>
        </w:trPr>
        <w:tc>
          <w:tcPr>
            <w:tcW w:w="3168" w:type="dxa"/>
            <w:tcBorders>
              <w:top w:val="nil"/>
              <w:left w:val="single" w:sz="4" w:space="0" w:color="auto"/>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Net income</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180,980</w:t>
            </w:r>
          </w:p>
        </w:tc>
      </w:tr>
      <w:tr w:rsidR="004B2118" w:rsidRPr="00BA46CD" w:rsidTr="004B2118">
        <w:trPr>
          <w:trHeight w:val="315"/>
        </w:trPr>
        <w:tc>
          <w:tcPr>
            <w:tcW w:w="3168" w:type="dxa"/>
            <w:tcBorders>
              <w:top w:val="nil"/>
              <w:left w:val="single" w:sz="4" w:space="0" w:color="auto"/>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Tax</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w:t>
            </w:r>
          </w:p>
        </w:tc>
        <w:tc>
          <w:tcPr>
            <w:tcW w:w="1626" w:type="dxa"/>
            <w:tcBorders>
              <w:top w:val="nil"/>
              <w:left w:val="nil"/>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68,000</w:t>
            </w:r>
          </w:p>
        </w:tc>
      </w:tr>
      <w:tr w:rsidR="004B2118" w:rsidRPr="00BA46CD" w:rsidTr="004B2118">
        <w:trPr>
          <w:trHeight w:val="315"/>
        </w:trPr>
        <w:tc>
          <w:tcPr>
            <w:tcW w:w="3168" w:type="dxa"/>
            <w:tcBorders>
              <w:top w:val="nil"/>
              <w:left w:val="single" w:sz="4" w:space="0" w:color="auto"/>
              <w:bottom w:val="single" w:sz="4" w:space="0" w:color="auto"/>
              <w:right w:val="single" w:sz="4" w:space="0" w:color="auto"/>
            </w:tcBorders>
            <w:shd w:val="clear" w:color="000000" w:fill="DBE5F1"/>
            <w:noWrap/>
            <w:vAlign w:val="bottom"/>
            <w:hideMark/>
          </w:tcPr>
          <w:p w:rsidR="004B2118" w:rsidRPr="00BA46CD" w:rsidRDefault="004B2118"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Net profit for the year</w:t>
            </w:r>
          </w:p>
        </w:tc>
        <w:tc>
          <w:tcPr>
            <w:tcW w:w="1626" w:type="dxa"/>
            <w:tcBorders>
              <w:top w:val="nil"/>
              <w:left w:val="nil"/>
              <w:bottom w:val="single" w:sz="4" w:space="0" w:color="auto"/>
              <w:right w:val="single" w:sz="4" w:space="0" w:color="auto"/>
            </w:tcBorders>
            <w:shd w:val="clear" w:color="auto" w:fill="auto"/>
            <w:noWrap/>
            <w:vAlign w:val="bottom"/>
            <w:hideMark/>
          </w:tcPr>
          <w:p w:rsidR="004B2118" w:rsidRPr="00BA46CD" w:rsidRDefault="004B2118"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626" w:type="dxa"/>
            <w:tcBorders>
              <w:top w:val="nil"/>
              <w:left w:val="nil"/>
              <w:bottom w:val="single" w:sz="4" w:space="0" w:color="auto"/>
              <w:right w:val="single" w:sz="4" w:space="0" w:color="auto"/>
            </w:tcBorders>
            <w:shd w:val="clear" w:color="auto" w:fill="auto"/>
            <w:noWrap/>
            <w:vAlign w:val="bottom"/>
            <w:hideMark/>
          </w:tcPr>
          <w:p w:rsidR="004B2118" w:rsidRPr="00BA46CD" w:rsidRDefault="004B2118"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112,980</w:t>
            </w:r>
          </w:p>
        </w:tc>
      </w:tr>
    </w:tbl>
    <w:p w:rsidR="00071AF0" w:rsidRPr="00BA46CD" w:rsidRDefault="00071AF0" w:rsidP="00D30166">
      <w:pPr>
        <w:spacing w:line="360" w:lineRule="auto"/>
        <w:jc w:val="both"/>
        <w:rPr>
          <w:rFonts w:ascii="Times New Roman" w:hAnsi="Times New Roman" w:cs="Times New Roman"/>
          <w:sz w:val="24"/>
          <w:szCs w:val="24"/>
        </w:rPr>
      </w:pPr>
    </w:p>
    <w:p w:rsidR="00402C66" w:rsidRPr="00BA46CD" w:rsidRDefault="005414E8" w:rsidP="00D30166">
      <w:pPr>
        <w:spacing w:line="360" w:lineRule="auto"/>
        <w:jc w:val="both"/>
        <w:rPr>
          <w:rFonts w:ascii="Times New Roman" w:hAnsi="Times New Roman" w:cs="Times New Roman"/>
          <w:sz w:val="24"/>
          <w:szCs w:val="24"/>
        </w:rPr>
      </w:pPr>
      <w:r w:rsidRPr="00BA46CD">
        <w:rPr>
          <w:rFonts w:ascii="Times New Roman" w:hAnsi="Times New Roman" w:cs="Times New Roman"/>
          <w:b/>
          <w:sz w:val="24"/>
          <w:szCs w:val="24"/>
        </w:rPr>
        <w:t>Balance Sheet:</w:t>
      </w:r>
      <w:r w:rsidR="00402C66" w:rsidRPr="00BA46CD">
        <w:rPr>
          <w:rFonts w:ascii="Times New Roman" w:hAnsi="Times New Roman" w:cs="Times New Roman"/>
          <w:sz w:val="24"/>
          <w:szCs w:val="24"/>
        </w:rPr>
        <w:t xml:space="preserve"> </w:t>
      </w:r>
    </w:p>
    <w:p w:rsidR="005414E8" w:rsidRPr="00BA46CD" w:rsidRDefault="00402C66" w:rsidP="00D30166">
      <w:pPr>
        <w:spacing w:line="360" w:lineRule="auto"/>
        <w:jc w:val="both"/>
        <w:rPr>
          <w:rFonts w:ascii="Times New Roman" w:hAnsi="Times New Roman" w:cs="Times New Roman"/>
          <w:sz w:val="24"/>
          <w:szCs w:val="24"/>
        </w:rPr>
      </w:pPr>
      <w:r w:rsidRPr="00BA46CD">
        <w:rPr>
          <w:rFonts w:ascii="Times New Roman" w:hAnsi="Times New Roman" w:cs="Times New Roman"/>
          <w:sz w:val="24"/>
          <w:szCs w:val="24"/>
        </w:rPr>
        <w:t xml:space="preserve">This is </w:t>
      </w:r>
      <w:r w:rsidR="00BD5AF0">
        <w:rPr>
          <w:rFonts w:ascii="Times New Roman" w:hAnsi="Times New Roman" w:cs="Times New Roman"/>
          <w:sz w:val="24"/>
          <w:szCs w:val="24"/>
        </w:rPr>
        <w:t xml:space="preserve">a </w:t>
      </w:r>
      <w:r w:rsidRPr="00BA46CD">
        <w:rPr>
          <w:rFonts w:ascii="Times New Roman" w:hAnsi="Times New Roman" w:cs="Times New Roman"/>
          <w:sz w:val="24"/>
          <w:szCs w:val="24"/>
        </w:rPr>
        <w:t xml:space="preserve">statement </w:t>
      </w:r>
      <w:r w:rsidR="00BD5AF0">
        <w:rPr>
          <w:rFonts w:ascii="Times New Roman" w:hAnsi="Times New Roman" w:cs="Times New Roman"/>
          <w:sz w:val="24"/>
          <w:szCs w:val="24"/>
        </w:rPr>
        <w:t xml:space="preserve">that </w:t>
      </w:r>
      <w:r w:rsidRPr="00BA46CD">
        <w:rPr>
          <w:rFonts w:ascii="Times New Roman" w:hAnsi="Times New Roman" w:cs="Times New Roman"/>
          <w:sz w:val="24"/>
          <w:szCs w:val="24"/>
        </w:rPr>
        <w:t>enable</w:t>
      </w:r>
      <w:r w:rsidR="00BD5AF0">
        <w:rPr>
          <w:rFonts w:ascii="Times New Roman" w:hAnsi="Times New Roman" w:cs="Times New Roman"/>
          <w:sz w:val="24"/>
          <w:szCs w:val="24"/>
        </w:rPr>
        <w:t>s</w:t>
      </w:r>
      <w:r w:rsidRPr="00BA46CD">
        <w:rPr>
          <w:rFonts w:ascii="Times New Roman" w:hAnsi="Times New Roman" w:cs="Times New Roman"/>
          <w:sz w:val="24"/>
          <w:szCs w:val="24"/>
        </w:rPr>
        <w:t xml:space="preserve"> the users of the financial report and statements to understand the position of the company and to analyze its ability to meet the short or long</w:t>
      </w:r>
      <w:r w:rsidR="00BD5AF0">
        <w:rPr>
          <w:rFonts w:ascii="Times New Roman" w:hAnsi="Times New Roman" w:cs="Times New Roman"/>
          <w:sz w:val="24"/>
          <w:szCs w:val="24"/>
        </w:rPr>
        <w:t>-</w:t>
      </w:r>
      <w:r w:rsidRPr="00BA46CD">
        <w:rPr>
          <w:rFonts w:ascii="Times New Roman" w:hAnsi="Times New Roman" w:cs="Times New Roman"/>
          <w:sz w:val="24"/>
          <w:szCs w:val="24"/>
        </w:rPr>
        <w:t xml:space="preserve">term monetary </w:t>
      </w:r>
      <w:r w:rsidRPr="00BA46CD">
        <w:rPr>
          <w:rFonts w:ascii="Times New Roman" w:hAnsi="Times New Roman" w:cs="Times New Roman"/>
          <w:sz w:val="24"/>
          <w:szCs w:val="24"/>
        </w:rPr>
        <w:lastRenderedPageBreak/>
        <w:t xml:space="preserve">obligation. </w:t>
      </w:r>
      <w:r w:rsidR="00D94109" w:rsidRPr="00BA46CD">
        <w:rPr>
          <w:rFonts w:ascii="Times New Roman" w:hAnsi="Times New Roman" w:cs="Times New Roman"/>
          <w:sz w:val="24"/>
          <w:szCs w:val="24"/>
        </w:rPr>
        <w:t>Lenders, suppliers, shareholder</w:t>
      </w:r>
      <w:r w:rsidR="00BD5AF0">
        <w:rPr>
          <w:rFonts w:ascii="Times New Roman" w:hAnsi="Times New Roman" w:cs="Times New Roman"/>
          <w:sz w:val="24"/>
          <w:szCs w:val="24"/>
        </w:rPr>
        <w:t>s,</w:t>
      </w:r>
      <w:r w:rsidR="00D94109" w:rsidRPr="00BA46CD">
        <w:rPr>
          <w:rFonts w:ascii="Times New Roman" w:hAnsi="Times New Roman" w:cs="Times New Roman"/>
          <w:sz w:val="24"/>
          <w:szCs w:val="24"/>
        </w:rPr>
        <w:t xml:space="preserve"> and other stakeholder</w:t>
      </w:r>
      <w:r w:rsidR="00BD5AF0">
        <w:rPr>
          <w:rFonts w:ascii="Times New Roman" w:hAnsi="Times New Roman" w:cs="Times New Roman"/>
          <w:sz w:val="24"/>
          <w:szCs w:val="24"/>
        </w:rPr>
        <w:t>s</w:t>
      </w:r>
      <w:r w:rsidR="00D94109" w:rsidRPr="00BA46CD">
        <w:rPr>
          <w:rFonts w:ascii="Times New Roman" w:hAnsi="Times New Roman" w:cs="Times New Roman"/>
          <w:sz w:val="24"/>
          <w:szCs w:val="24"/>
        </w:rPr>
        <w:t xml:space="preserve"> generally analyze the statement of financial position for </w:t>
      </w:r>
      <w:r w:rsidR="00BD5AF0">
        <w:rPr>
          <w:rFonts w:ascii="Times New Roman" w:hAnsi="Times New Roman" w:cs="Times New Roman"/>
          <w:sz w:val="24"/>
          <w:szCs w:val="24"/>
        </w:rPr>
        <w:t>deciding</w:t>
      </w:r>
      <w:r w:rsidR="00D94109" w:rsidRPr="00BA46CD">
        <w:rPr>
          <w:rFonts w:ascii="Times New Roman" w:hAnsi="Times New Roman" w:cs="Times New Roman"/>
          <w:sz w:val="24"/>
          <w:szCs w:val="24"/>
        </w:rPr>
        <w:t xml:space="preserve"> whether they should invest in the firm or not or whether the firm should be given trade credit or not</w:t>
      </w:r>
      <w:r w:rsidR="00733DA9" w:rsidRPr="00BA46CD">
        <w:rPr>
          <w:rFonts w:ascii="Times New Roman" w:hAnsi="Times New Roman" w:cs="Times New Roman"/>
          <w:sz w:val="24"/>
          <w:szCs w:val="24"/>
        </w:rPr>
        <w:t xml:space="preserve"> (Robinson, 2020)</w:t>
      </w:r>
      <w:r w:rsidR="00071AF0" w:rsidRPr="00BA46CD">
        <w:rPr>
          <w:rFonts w:ascii="Times New Roman" w:hAnsi="Times New Roman" w:cs="Times New Roman"/>
          <w:sz w:val="24"/>
          <w:szCs w:val="24"/>
        </w:rPr>
        <w:t xml:space="preserve">. </w:t>
      </w:r>
    </w:p>
    <w:tbl>
      <w:tblPr>
        <w:tblW w:w="8140" w:type="dxa"/>
        <w:jc w:val="center"/>
        <w:tblInd w:w="3798" w:type="dxa"/>
        <w:tblLook w:val="04A0"/>
      </w:tblPr>
      <w:tblGrid>
        <w:gridCol w:w="2520"/>
        <w:gridCol w:w="2012"/>
        <w:gridCol w:w="1804"/>
        <w:gridCol w:w="1804"/>
      </w:tblGrid>
      <w:tr w:rsidR="00C97ED9" w:rsidRPr="00BA46CD" w:rsidTr="00C97ED9">
        <w:trPr>
          <w:trHeight w:val="330"/>
          <w:jc w:val="center"/>
        </w:trPr>
        <w:tc>
          <w:tcPr>
            <w:tcW w:w="8140" w:type="dxa"/>
            <w:gridSpan w:val="4"/>
            <w:tcBorders>
              <w:top w:val="single" w:sz="4" w:space="0" w:color="auto"/>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BD5AF0">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Balance Sheet Statement As o</w:t>
            </w:r>
            <w:r w:rsidR="00BD5AF0">
              <w:rPr>
                <w:rFonts w:ascii="Times New Roman" w:eastAsia="Times New Roman" w:hAnsi="Times New Roman" w:cs="Times New Roman"/>
                <w:b/>
                <w:bCs/>
                <w:color w:val="000000"/>
                <w:sz w:val="24"/>
                <w:szCs w:val="24"/>
              </w:rPr>
              <w:t>f</w:t>
            </w:r>
            <w:r w:rsidRPr="00BA46CD">
              <w:rPr>
                <w:rFonts w:ascii="Times New Roman" w:eastAsia="Times New Roman" w:hAnsi="Times New Roman" w:cs="Times New Roman"/>
                <w:b/>
                <w:bCs/>
                <w:color w:val="000000"/>
                <w:sz w:val="24"/>
                <w:szCs w:val="24"/>
              </w:rPr>
              <w:t xml:space="preserve"> 31st December 2019</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Particulars</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Amount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Amount (£)</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Assets</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Current Assets:</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Closing Inventory</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329,620</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Receivables</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170,125</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xml:space="preserve">Cash at Bank </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12,900</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Total Current Assets</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512,645</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Fixed Assets:</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xml:space="preserve">Plant and equipment </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632,730</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Total Fixed Assets</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632,730</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Total Assets</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1,126,335</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Capital and Liabilities</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Current Liabilities:</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Payables</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171,355</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Total Current Liabilities</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171,355</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Long-term Liabilities:</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auto" w:fill="auto"/>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xml:space="preserve">Debenture </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100,000</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Capital</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Capital (equity share and preference)</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(310,000+300000)</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610,000</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Net Profit</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112,980</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xml:space="preserve">Retained Earnings </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132000</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Total capital</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854,980</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xml:space="preserve">Total capital and </w:t>
            </w:r>
            <w:r w:rsidRPr="00BA46CD">
              <w:rPr>
                <w:rFonts w:ascii="Times New Roman" w:eastAsia="Times New Roman" w:hAnsi="Times New Roman" w:cs="Times New Roman"/>
                <w:b/>
                <w:bCs/>
                <w:color w:val="000000"/>
                <w:sz w:val="24"/>
                <w:szCs w:val="24"/>
              </w:rPr>
              <w:lastRenderedPageBreak/>
              <w:t xml:space="preserve">liability </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lastRenderedPageBreak/>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1,126,335</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lastRenderedPageBreak/>
              <w:t> </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w:t>
            </w:r>
          </w:p>
        </w:tc>
      </w:tr>
      <w:tr w:rsidR="00C97ED9" w:rsidRPr="00BA46CD" w:rsidTr="00C97ED9">
        <w:trPr>
          <w:trHeight w:val="315"/>
          <w:jc w:val="center"/>
        </w:trPr>
        <w:tc>
          <w:tcPr>
            <w:tcW w:w="2520" w:type="dxa"/>
            <w:tcBorders>
              <w:top w:val="nil"/>
              <w:left w:val="single" w:sz="4" w:space="0" w:color="auto"/>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w:t>
            </w:r>
          </w:p>
        </w:tc>
        <w:tc>
          <w:tcPr>
            <w:tcW w:w="2012"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w:t>
            </w:r>
          </w:p>
        </w:tc>
        <w:tc>
          <w:tcPr>
            <w:tcW w:w="1804" w:type="dxa"/>
            <w:tcBorders>
              <w:top w:val="nil"/>
              <w:left w:val="nil"/>
              <w:bottom w:val="single" w:sz="4" w:space="0" w:color="auto"/>
              <w:right w:val="single" w:sz="4" w:space="0" w:color="auto"/>
            </w:tcBorders>
            <w:shd w:val="clear" w:color="000000" w:fill="C2D69A"/>
            <w:noWrap/>
            <w:vAlign w:val="bottom"/>
            <w:hideMark/>
          </w:tcPr>
          <w:p w:rsidR="00C97ED9" w:rsidRPr="00BA46CD" w:rsidRDefault="00C97ED9"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bl>
    <w:p w:rsidR="00D94109" w:rsidRPr="00BA46CD" w:rsidRDefault="00D94109" w:rsidP="00D30166">
      <w:pPr>
        <w:spacing w:line="360" w:lineRule="auto"/>
        <w:jc w:val="both"/>
        <w:rPr>
          <w:rFonts w:ascii="Times New Roman" w:hAnsi="Times New Roman" w:cs="Times New Roman"/>
          <w:sz w:val="24"/>
          <w:szCs w:val="24"/>
        </w:rPr>
      </w:pPr>
    </w:p>
    <w:p w:rsidR="005E34D5" w:rsidRPr="00BA46CD" w:rsidRDefault="00D42003" w:rsidP="00D30166">
      <w:pPr>
        <w:pStyle w:val="Heading2"/>
        <w:spacing w:line="360" w:lineRule="auto"/>
        <w:jc w:val="both"/>
        <w:rPr>
          <w:rFonts w:ascii="Times New Roman" w:hAnsi="Times New Roman" w:cs="Times New Roman"/>
          <w:sz w:val="24"/>
          <w:szCs w:val="24"/>
        </w:rPr>
      </w:pPr>
      <w:bookmarkStart w:id="2" w:name="_Toc55765055"/>
      <w:r w:rsidRPr="00BA46CD">
        <w:rPr>
          <w:rFonts w:ascii="Times New Roman" w:hAnsi="Times New Roman" w:cs="Times New Roman"/>
          <w:sz w:val="24"/>
          <w:szCs w:val="24"/>
        </w:rPr>
        <w:t>Reason for balance sheet balances:</w:t>
      </w:r>
      <w:bookmarkEnd w:id="2"/>
    </w:p>
    <w:p w:rsidR="00D42003" w:rsidRPr="00BA46CD" w:rsidRDefault="0018403A" w:rsidP="00D30166">
      <w:pPr>
        <w:spacing w:line="360" w:lineRule="auto"/>
        <w:jc w:val="both"/>
        <w:rPr>
          <w:rFonts w:ascii="Times New Roman" w:hAnsi="Times New Roman" w:cs="Times New Roman"/>
          <w:sz w:val="24"/>
          <w:szCs w:val="24"/>
        </w:rPr>
      </w:pPr>
      <w:r w:rsidRPr="00BA46CD">
        <w:rPr>
          <w:rFonts w:ascii="Times New Roman" w:hAnsi="Times New Roman" w:cs="Times New Roman"/>
          <w:sz w:val="24"/>
          <w:szCs w:val="24"/>
        </w:rPr>
        <w:t xml:space="preserve">As infested by its name, </w:t>
      </w:r>
      <w:r w:rsidR="00BD5AF0">
        <w:rPr>
          <w:rFonts w:ascii="Times New Roman" w:hAnsi="Times New Roman" w:cs="Times New Roman"/>
          <w:sz w:val="24"/>
          <w:szCs w:val="24"/>
        </w:rPr>
        <w:t xml:space="preserve">the </w:t>
      </w:r>
      <w:r w:rsidRPr="00BA46CD">
        <w:rPr>
          <w:rFonts w:ascii="Times New Roman" w:hAnsi="Times New Roman" w:cs="Times New Roman"/>
          <w:sz w:val="24"/>
          <w:szCs w:val="24"/>
        </w:rPr>
        <w:t>balance sheet ensures quality in the balance of two sides such as liabilities and assets. It happens almost always that two side</w:t>
      </w:r>
      <w:r w:rsidR="00BD5AF0">
        <w:rPr>
          <w:rFonts w:ascii="Times New Roman" w:hAnsi="Times New Roman" w:cs="Times New Roman"/>
          <w:sz w:val="24"/>
          <w:szCs w:val="24"/>
        </w:rPr>
        <w:t>s</w:t>
      </w:r>
      <w:r w:rsidRPr="00BA46CD">
        <w:rPr>
          <w:rFonts w:ascii="Times New Roman" w:hAnsi="Times New Roman" w:cs="Times New Roman"/>
          <w:sz w:val="24"/>
          <w:szCs w:val="24"/>
        </w:rPr>
        <w:t xml:space="preserve"> of the balance sheet must be equal and they should match</w:t>
      </w:r>
      <w:r w:rsidR="007E491A" w:rsidRPr="00BA46CD">
        <w:rPr>
          <w:rFonts w:ascii="Times New Roman" w:hAnsi="Times New Roman" w:cs="Times New Roman"/>
          <w:sz w:val="24"/>
          <w:szCs w:val="24"/>
        </w:rPr>
        <w:t xml:space="preserve"> (Watson and Head, 2013)</w:t>
      </w:r>
      <w:r w:rsidRPr="00BA46CD">
        <w:rPr>
          <w:rFonts w:ascii="Times New Roman" w:hAnsi="Times New Roman" w:cs="Times New Roman"/>
          <w:sz w:val="24"/>
          <w:szCs w:val="24"/>
        </w:rPr>
        <w:t xml:space="preserve">. Equality of the balance of two sides in the statement </w:t>
      </w:r>
      <w:r w:rsidR="00EA0C53" w:rsidRPr="00BA46CD">
        <w:rPr>
          <w:rFonts w:ascii="Times New Roman" w:hAnsi="Times New Roman" w:cs="Times New Roman"/>
          <w:sz w:val="24"/>
          <w:szCs w:val="24"/>
        </w:rPr>
        <w:t>ensures</w:t>
      </w:r>
      <w:r w:rsidRPr="00BA46CD">
        <w:rPr>
          <w:rFonts w:ascii="Times New Roman" w:hAnsi="Times New Roman" w:cs="Times New Roman"/>
          <w:sz w:val="24"/>
          <w:szCs w:val="24"/>
        </w:rPr>
        <w:t xml:space="preserve"> the accuracy of the accounts and balances included in the statement. </w:t>
      </w:r>
      <w:r w:rsidR="00EA0C53" w:rsidRPr="00BA46CD">
        <w:rPr>
          <w:rFonts w:ascii="Times New Roman" w:hAnsi="Times New Roman" w:cs="Times New Roman"/>
          <w:sz w:val="24"/>
          <w:szCs w:val="24"/>
        </w:rPr>
        <w:t>The accounting principle of double</w:t>
      </w:r>
      <w:r w:rsidR="00BD5AF0">
        <w:rPr>
          <w:rFonts w:ascii="Times New Roman" w:hAnsi="Times New Roman" w:cs="Times New Roman"/>
          <w:sz w:val="24"/>
          <w:szCs w:val="24"/>
        </w:rPr>
        <w:t>-</w:t>
      </w:r>
      <w:r w:rsidR="00EA0C53" w:rsidRPr="00BA46CD">
        <w:rPr>
          <w:rFonts w:ascii="Times New Roman" w:hAnsi="Times New Roman" w:cs="Times New Roman"/>
          <w:sz w:val="24"/>
          <w:szCs w:val="24"/>
        </w:rPr>
        <w:t xml:space="preserve">entry is followed in the accounting practice by the organization and </w:t>
      </w:r>
      <w:r w:rsidR="00BD5AF0">
        <w:rPr>
          <w:rFonts w:ascii="Times New Roman" w:hAnsi="Times New Roman" w:cs="Times New Roman"/>
          <w:sz w:val="24"/>
          <w:szCs w:val="24"/>
        </w:rPr>
        <w:t xml:space="preserve">the </w:t>
      </w:r>
      <w:r w:rsidR="00EA0C53" w:rsidRPr="00BA46CD">
        <w:rPr>
          <w:rFonts w:ascii="Times New Roman" w:hAnsi="Times New Roman" w:cs="Times New Roman"/>
          <w:sz w:val="24"/>
          <w:szCs w:val="24"/>
        </w:rPr>
        <w:t>double</w:t>
      </w:r>
      <w:r w:rsidR="00BD5AF0">
        <w:rPr>
          <w:rFonts w:ascii="Times New Roman" w:hAnsi="Times New Roman" w:cs="Times New Roman"/>
          <w:sz w:val="24"/>
          <w:szCs w:val="24"/>
        </w:rPr>
        <w:t>-</w:t>
      </w:r>
      <w:r w:rsidR="00EA0C53" w:rsidRPr="00BA46CD">
        <w:rPr>
          <w:rFonts w:ascii="Times New Roman" w:hAnsi="Times New Roman" w:cs="Times New Roman"/>
          <w:sz w:val="24"/>
          <w:szCs w:val="24"/>
        </w:rPr>
        <w:t xml:space="preserve">entry bookkeeping system ensures </w:t>
      </w:r>
      <w:r w:rsidR="00BD5AF0">
        <w:rPr>
          <w:rFonts w:ascii="Times New Roman" w:hAnsi="Times New Roman" w:cs="Times New Roman"/>
          <w:sz w:val="24"/>
          <w:szCs w:val="24"/>
        </w:rPr>
        <w:t xml:space="preserve">the </w:t>
      </w:r>
      <w:r w:rsidR="00EA0C53" w:rsidRPr="00BA46CD">
        <w:rPr>
          <w:rFonts w:ascii="Times New Roman" w:hAnsi="Times New Roman" w:cs="Times New Roman"/>
          <w:sz w:val="24"/>
          <w:szCs w:val="24"/>
        </w:rPr>
        <w:t>double</w:t>
      </w:r>
      <w:r w:rsidR="00BD5AF0">
        <w:rPr>
          <w:rFonts w:ascii="Times New Roman" w:hAnsi="Times New Roman" w:cs="Times New Roman"/>
          <w:sz w:val="24"/>
          <w:szCs w:val="24"/>
        </w:rPr>
        <w:t>-</w:t>
      </w:r>
      <w:r w:rsidR="00EA0C53" w:rsidRPr="00BA46CD">
        <w:rPr>
          <w:rFonts w:ascii="Times New Roman" w:hAnsi="Times New Roman" w:cs="Times New Roman"/>
          <w:sz w:val="24"/>
          <w:szCs w:val="24"/>
        </w:rPr>
        <w:t>entry of each transaction</w:t>
      </w:r>
      <w:r w:rsidR="007C5731" w:rsidRPr="00BA46CD">
        <w:rPr>
          <w:rFonts w:ascii="Times New Roman" w:hAnsi="Times New Roman" w:cs="Times New Roman"/>
          <w:sz w:val="24"/>
          <w:szCs w:val="24"/>
        </w:rPr>
        <w:t xml:space="preserve"> (</w:t>
      </w:r>
      <w:r w:rsidR="007C5731" w:rsidRPr="00BA46CD">
        <w:rPr>
          <w:rFonts w:ascii="Times New Roman" w:hAnsi="Times New Roman" w:cs="Times New Roman"/>
          <w:color w:val="222222"/>
          <w:sz w:val="24"/>
          <w:szCs w:val="24"/>
          <w:shd w:val="clear" w:color="auto" w:fill="FFFFFF"/>
        </w:rPr>
        <w:t>Collier, 2015)</w:t>
      </w:r>
      <w:r w:rsidR="00EA0C53" w:rsidRPr="00BA46CD">
        <w:rPr>
          <w:rFonts w:ascii="Times New Roman" w:hAnsi="Times New Roman" w:cs="Times New Roman"/>
          <w:sz w:val="24"/>
          <w:szCs w:val="24"/>
        </w:rPr>
        <w:t xml:space="preserve">. </w:t>
      </w:r>
      <w:r w:rsidR="008070C7" w:rsidRPr="00BA46CD">
        <w:rPr>
          <w:rFonts w:ascii="Times New Roman" w:hAnsi="Times New Roman" w:cs="Times New Roman"/>
          <w:sz w:val="24"/>
          <w:szCs w:val="24"/>
        </w:rPr>
        <w:t>This system ensures</w:t>
      </w:r>
      <w:r w:rsidR="00EA0C53" w:rsidRPr="00BA46CD">
        <w:rPr>
          <w:rFonts w:ascii="Times New Roman" w:hAnsi="Times New Roman" w:cs="Times New Roman"/>
          <w:sz w:val="24"/>
          <w:szCs w:val="24"/>
        </w:rPr>
        <w:t xml:space="preserve"> the effects of each transaction on two accounts because it </w:t>
      </w:r>
      <w:r w:rsidR="008070C7" w:rsidRPr="00BA46CD">
        <w:rPr>
          <w:rFonts w:ascii="Times New Roman" w:hAnsi="Times New Roman" w:cs="Times New Roman"/>
          <w:sz w:val="24"/>
          <w:szCs w:val="24"/>
        </w:rPr>
        <w:t>aids</w:t>
      </w:r>
      <w:r w:rsidR="00EA0C53" w:rsidRPr="00BA46CD">
        <w:rPr>
          <w:rFonts w:ascii="Times New Roman" w:hAnsi="Times New Roman" w:cs="Times New Roman"/>
          <w:sz w:val="24"/>
          <w:szCs w:val="24"/>
        </w:rPr>
        <w:t xml:space="preserve"> to easily trace the issues and mistakes in the accounts. </w:t>
      </w:r>
      <w:r w:rsidR="007E5370" w:rsidRPr="00BA46CD">
        <w:rPr>
          <w:rFonts w:ascii="Times New Roman" w:hAnsi="Times New Roman" w:cs="Times New Roman"/>
          <w:sz w:val="24"/>
          <w:szCs w:val="24"/>
        </w:rPr>
        <w:t>For example, if the organization will purchase equipment for $10000, it will increase the fixed assets while will decrease the cash at hand or bank in the company. It continue</w:t>
      </w:r>
      <w:r w:rsidR="00BD5AF0">
        <w:rPr>
          <w:rFonts w:ascii="Times New Roman" w:hAnsi="Times New Roman" w:cs="Times New Roman"/>
          <w:sz w:val="24"/>
          <w:szCs w:val="24"/>
        </w:rPr>
        <w:t>s</w:t>
      </w:r>
      <w:r w:rsidR="007E5370" w:rsidRPr="00BA46CD">
        <w:rPr>
          <w:rFonts w:ascii="Times New Roman" w:hAnsi="Times New Roman" w:cs="Times New Roman"/>
          <w:sz w:val="24"/>
          <w:szCs w:val="24"/>
        </w:rPr>
        <w:t xml:space="preserve"> to balance </w:t>
      </w:r>
      <w:r w:rsidR="006B1F80" w:rsidRPr="00BA46CD">
        <w:rPr>
          <w:rFonts w:ascii="Times New Roman" w:hAnsi="Times New Roman" w:cs="Times New Roman"/>
          <w:sz w:val="24"/>
          <w:szCs w:val="24"/>
        </w:rPr>
        <w:t xml:space="preserve">assets and liabilities. </w:t>
      </w:r>
      <w:r w:rsidR="00487AC5" w:rsidRPr="00BA46CD">
        <w:rPr>
          <w:rFonts w:ascii="Times New Roman" w:hAnsi="Times New Roman" w:cs="Times New Roman"/>
          <w:sz w:val="24"/>
          <w:szCs w:val="24"/>
        </w:rPr>
        <w:t>Another example to understand balance sheet is long term liability or debt. If a company borrow fund from the banks, it would increase the liability side with the amount borrowed by the bank</w:t>
      </w:r>
      <w:r w:rsidR="005458E1" w:rsidRPr="00BA46CD">
        <w:rPr>
          <w:rFonts w:ascii="Times New Roman" w:hAnsi="Times New Roman" w:cs="Times New Roman"/>
          <w:sz w:val="24"/>
          <w:szCs w:val="24"/>
        </w:rPr>
        <w:t xml:space="preserve">  (</w:t>
      </w:r>
      <w:r w:rsidR="005458E1" w:rsidRPr="00BA46CD">
        <w:rPr>
          <w:rFonts w:ascii="Times New Roman" w:hAnsi="Times New Roman" w:cs="Times New Roman"/>
          <w:color w:val="222222"/>
          <w:sz w:val="24"/>
          <w:szCs w:val="24"/>
          <w:shd w:val="clear" w:color="auto" w:fill="FFFFFF"/>
        </w:rPr>
        <w:t>Flower and Ebbers, 2018)</w:t>
      </w:r>
      <w:r w:rsidR="00487AC5" w:rsidRPr="00BA46CD">
        <w:rPr>
          <w:rFonts w:ascii="Times New Roman" w:hAnsi="Times New Roman" w:cs="Times New Roman"/>
          <w:sz w:val="24"/>
          <w:szCs w:val="24"/>
        </w:rPr>
        <w:t xml:space="preserve">. On other hand, it would increase the asset side by increasing the cash in the company with the same amount. It would keep the balances equal. </w:t>
      </w:r>
      <w:r w:rsidR="00B30CDC" w:rsidRPr="00BA46CD">
        <w:rPr>
          <w:rFonts w:ascii="Times New Roman" w:hAnsi="Times New Roman" w:cs="Times New Roman"/>
          <w:sz w:val="24"/>
          <w:szCs w:val="24"/>
        </w:rPr>
        <w:t>T</w:t>
      </w:r>
      <w:r w:rsidR="00BD5AF0">
        <w:rPr>
          <w:rFonts w:ascii="Times New Roman" w:hAnsi="Times New Roman" w:cs="Times New Roman"/>
          <w:sz w:val="24"/>
          <w:szCs w:val="24"/>
        </w:rPr>
        <w:t>he t</w:t>
      </w:r>
      <w:r w:rsidR="00B30CDC" w:rsidRPr="00BA46CD">
        <w:rPr>
          <w:rFonts w:ascii="Times New Roman" w:hAnsi="Times New Roman" w:cs="Times New Roman"/>
          <w:sz w:val="24"/>
          <w:szCs w:val="24"/>
        </w:rPr>
        <w:t>otal assets of the company are found equal to the total of the liabilities and equity of the organization</w:t>
      </w:r>
      <w:r w:rsidR="0043573D" w:rsidRPr="00BA46CD">
        <w:rPr>
          <w:rFonts w:ascii="Times New Roman" w:hAnsi="Times New Roman" w:cs="Times New Roman"/>
          <w:sz w:val="24"/>
          <w:szCs w:val="24"/>
        </w:rPr>
        <w:t xml:space="preserve"> </w:t>
      </w:r>
      <w:r w:rsidR="00BD5AF0">
        <w:rPr>
          <w:rFonts w:ascii="Times New Roman" w:hAnsi="Times New Roman" w:cs="Times New Roman"/>
          <w:sz w:val="24"/>
          <w:szCs w:val="24"/>
        </w:rPr>
        <w:t>o</w:t>
      </w:r>
      <w:r w:rsidR="0043573D" w:rsidRPr="00BA46CD">
        <w:rPr>
          <w:rFonts w:ascii="Times New Roman" w:hAnsi="Times New Roman" w:cs="Times New Roman"/>
          <w:sz w:val="24"/>
          <w:szCs w:val="24"/>
        </w:rPr>
        <w:t xml:space="preserve">n </w:t>
      </w:r>
      <w:r w:rsidR="00BD5AF0">
        <w:rPr>
          <w:rFonts w:ascii="Times New Roman" w:hAnsi="Times New Roman" w:cs="Times New Roman"/>
          <w:sz w:val="24"/>
          <w:szCs w:val="24"/>
        </w:rPr>
        <w:t xml:space="preserve">the </w:t>
      </w:r>
      <w:r w:rsidR="0043573D" w:rsidRPr="00BA46CD">
        <w:rPr>
          <w:rFonts w:ascii="Times New Roman" w:hAnsi="Times New Roman" w:cs="Times New Roman"/>
          <w:sz w:val="24"/>
          <w:szCs w:val="24"/>
        </w:rPr>
        <w:t xml:space="preserve">balance sheet. </w:t>
      </w:r>
    </w:p>
    <w:p w:rsidR="00C97ED9" w:rsidRPr="00BA46CD" w:rsidRDefault="00C97ED9" w:rsidP="00D30166">
      <w:pPr>
        <w:pStyle w:val="Heading1"/>
        <w:spacing w:line="360" w:lineRule="auto"/>
        <w:jc w:val="both"/>
        <w:rPr>
          <w:rFonts w:ascii="Times New Roman" w:hAnsi="Times New Roman" w:cs="Times New Roman"/>
          <w:sz w:val="24"/>
          <w:szCs w:val="24"/>
        </w:rPr>
      </w:pPr>
    </w:p>
    <w:p w:rsidR="00C97ED9" w:rsidRPr="00BA46CD" w:rsidRDefault="00C97ED9" w:rsidP="00D30166">
      <w:pPr>
        <w:pStyle w:val="Heading1"/>
        <w:spacing w:line="360" w:lineRule="auto"/>
        <w:jc w:val="both"/>
        <w:rPr>
          <w:rFonts w:ascii="Times New Roman" w:hAnsi="Times New Roman" w:cs="Times New Roman"/>
          <w:sz w:val="24"/>
          <w:szCs w:val="24"/>
        </w:rPr>
      </w:pPr>
    </w:p>
    <w:p w:rsidR="009A0AEC" w:rsidRPr="00BA46CD" w:rsidRDefault="009A0AEC" w:rsidP="00D30166">
      <w:pPr>
        <w:spacing w:line="360" w:lineRule="auto"/>
        <w:jc w:val="both"/>
        <w:rPr>
          <w:rFonts w:ascii="Times New Roman" w:eastAsiaTheme="majorEastAsia" w:hAnsi="Times New Roman" w:cs="Times New Roman"/>
          <w:b/>
          <w:bCs/>
          <w:color w:val="365F91" w:themeColor="accent1" w:themeShade="BF"/>
          <w:sz w:val="24"/>
          <w:szCs w:val="24"/>
        </w:rPr>
      </w:pPr>
      <w:r w:rsidRPr="00BA46CD">
        <w:rPr>
          <w:rFonts w:ascii="Times New Roman" w:hAnsi="Times New Roman" w:cs="Times New Roman"/>
          <w:sz w:val="24"/>
          <w:szCs w:val="24"/>
        </w:rPr>
        <w:br w:type="page"/>
      </w:r>
    </w:p>
    <w:p w:rsidR="006648B8" w:rsidRPr="00BA46CD" w:rsidRDefault="006648B8" w:rsidP="00D30166">
      <w:pPr>
        <w:pStyle w:val="Heading1"/>
        <w:spacing w:line="360" w:lineRule="auto"/>
        <w:jc w:val="both"/>
        <w:rPr>
          <w:rFonts w:ascii="Times New Roman" w:hAnsi="Times New Roman" w:cs="Times New Roman"/>
          <w:sz w:val="24"/>
          <w:szCs w:val="24"/>
        </w:rPr>
      </w:pPr>
      <w:bookmarkStart w:id="3" w:name="_Toc55765056"/>
      <w:r w:rsidRPr="00BA46CD">
        <w:rPr>
          <w:rFonts w:ascii="Times New Roman" w:hAnsi="Times New Roman" w:cs="Times New Roman"/>
          <w:sz w:val="24"/>
          <w:szCs w:val="24"/>
        </w:rPr>
        <w:lastRenderedPageBreak/>
        <w:t xml:space="preserve">Portfolio </w:t>
      </w:r>
      <w:r w:rsidR="005414E8" w:rsidRPr="00BA46CD">
        <w:rPr>
          <w:rFonts w:ascii="Times New Roman" w:hAnsi="Times New Roman" w:cs="Times New Roman"/>
          <w:sz w:val="24"/>
          <w:szCs w:val="24"/>
        </w:rPr>
        <w:t>2:</w:t>
      </w:r>
      <w:bookmarkEnd w:id="3"/>
      <w:r w:rsidR="005414E8" w:rsidRPr="00BA46CD">
        <w:rPr>
          <w:rFonts w:ascii="Times New Roman" w:hAnsi="Times New Roman" w:cs="Times New Roman"/>
          <w:sz w:val="24"/>
          <w:szCs w:val="24"/>
        </w:rPr>
        <w:t xml:space="preserve"> </w:t>
      </w:r>
    </w:p>
    <w:p w:rsidR="005414E8" w:rsidRPr="00BA46CD" w:rsidRDefault="005414E8" w:rsidP="006648B8">
      <w:pPr>
        <w:pStyle w:val="Heading2"/>
        <w:rPr>
          <w:rFonts w:ascii="Times New Roman" w:hAnsi="Times New Roman" w:cs="Times New Roman"/>
          <w:sz w:val="24"/>
          <w:szCs w:val="24"/>
        </w:rPr>
      </w:pPr>
      <w:bookmarkStart w:id="4" w:name="_Toc55765057"/>
      <w:r w:rsidRPr="00BA46CD">
        <w:rPr>
          <w:rFonts w:ascii="Times New Roman" w:hAnsi="Times New Roman" w:cs="Times New Roman"/>
          <w:sz w:val="24"/>
          <w:szCs w:val="24"/>
        </w:rPr>
        <w:t>Ratio Analysis:</w:t>
      </w:r>
      <w:bookmarkEnd w:id="4"/>
      <w:r w:rsidRPr="00BA46CD">
        <w:rPr>
          <w:rFonts w:ascii="Times New Roman" w:hAnsi="Times New Roman" w:cs="Times New Roman"/>
          <w:sz w:val="24"/>
          <w:szCs w:val="24"/>
        </w:rPr>
        <w:t xml:space="preserve"> </w:t>
      </w:r>
    </w:p>
    <w:p w:rsidR="005414E8" w:rsidRPr="00BA46CD" w:rsidRDefault="00BD5AF0" w:rsidP="00D30166">
      <w:pPr>
        <w:spacing w:line="360" w:lineRule="auto"/>
        <w:jc w:val="both"/>
        <w:rPr>
          <w:rFonts w:ascii="Times New Roman" w:hAnsi="Times New Roman" w:cs="Times New Roman"/>
          <w:sz w:val="24"/>
          <w:szCs w:val="24"/>
        </w:rPr>
      </w:pPr>
      <w:r>
        <w:rPr>
          <w:rFonts w:ascii="Times New Roman" w:hAnsi="Times New Roman" w:cs="Times New Roman"/>
          <w:sz w:val="24"/>
          <w:szCs w:val="24"/>
        </w:rPr>
        <w:t>The r</w:t>
      </w:r>
      <w:r w:rsidR="009A0AEC" w:rsidRPr="00BA46CD">
        <w:rPr>
          <w:rFonts w:ascii="Times New Roman" w:hAnsi="Times New Roman" w:cs="Times New Roman"/>
          <w:sz w:val="24"/>
          <w:szCs w:val="24"/>
        </w:rPr>
        <w:t xml:space="preserve">atio is an effective measure that is useful to interpret the performance and to determine the trend of the performance of the enterprise. Ratio analysis is </w:t>
      </w:r>
      <w:r>
        <w:rPr>
          <w:rFonts w:ascii="Times New Roman" w:hAnsi="Times New Roman" w:cs="Times New Roman"/>
          <w:sz w:val="24"/>
          <w:szCs w:val="24"/>
        </w:rPr>
        <w:t xml:space="preserve">a </w:t>
      </w:r>
      <w:r w:rsidR="009A0AEC" w:rsidRPr="00BA46CD">
        <w:rPr>
          <w:rFonts w:ascii="Times New Roman" w:hAnsi="Times New Roman" w:cs="Times New Roman"/>
          <w:sz w:val="24"/>
          <w:szCs w:val="24"/>
        </w:rPr>
        <w:t>useful method for assessing the statement of finance developed by an organization and this may aid to make important decision</w:t>
      </w:r>
      <w:r>
        <w:rPr>
          <w:rFonts w:ascii="Times New Roman" w:hAnsi="Times New Roman" w:cs="Times New Roman"/>
          <w:sz w:val="24"/>
          <w:szCs w:val="24"/>
        </w:rPr>
        <w:t>s</w:t>
      </w:r>
      <w:r w:rsidR="009A0AEC" w:rsidRPr="00BA46CD">
        <w:rPr>
          <w:rFonts w:ascii="Times New Roman" w:hAnsi="Times New Roman" w:cs="Times New Roman"/>
          <w:sz w:val="24"/>
          <w:szCs w:val="24"/>
        </w:rPr>
        <w:t xml:space="preserve"> by the management and other relevant stakeholders. This is considered </w:t>
      </w:r>
      <w:r>
        <w:rPr>
          <w:rFonts w:ascii="Times New Roman" w:hAnsi="Times New Roman" w:cs="Times New Roman"/>
          <w:sz w:val="24"/>
          <w:szCs w:val="24"/>
        </w:rPr>
        <w:t xml:space="preserve">an </w:t>
      </w:r>
      <w:r w:rsidR="009A0AEC" w:rsidRPr="00BA46CD">
        <w:rPr>
          <w:rFonts w:ascii="Times New Roman" w:hAnsi="Times New Roman" w:cs="Times New Roman"/>
          <w:sz w:val="24"/>
          <w:szCs w:val="24"/>
        </w:rPr>
        <w:t>important measure because it considers four statements and determines the trend line of the performance such as profitability, efficiency, liquidity, market performance, and solvency</w:t>
      </w:r>
      <w:r w:rsidR="00733DA9" w:rsidRPr="00BA46CD">
        <w:rPr>
          <w:rFonts w:ascii="Times New Roman" w:hAnsi="Times New Roman" w:cs="Times New Roman"/>
          <w:sz w:val="24"/>
          <w:szCs w:val="24"/>
        </w:rPr>
        <w:t xml:space="preserve"> (</w:t>
      </w:r>
      <w:hyperlink r:id="rId8" w:history="1">
        <w:r w:rsidR="00733DA9" w:rsidRPr="00BA46CD">
          <w:rPr>
            <w:rStyle w:val="Hyperlink"/>
            <w:rFonts w:ascii="Times New Roman" w:hAnsi="Times New Roman" w:cs="Times New Roman"/>
            <w:color w:val="FFFFFF" w:themeColor="text1"/>
            <w:sz w:val="24"/>
            <w:szCs w:val="24"/>
            <w:u w:val="none"/>
          </w:rPr>
          <w:t>Warren</w:t>
        </w:r>
      </w:hyperlink>
      <w:r w:rsidR="00733DA9" w:rsidRPr="00BA46CD">
        <w:rPr>
          <w:rFonts w:ascii="Times New Roman" w:hAnsi="Times New Roman" w:cs="Times New Roman"/>
          <w:sz w:val="24"/>
          <w:szCs w:val="24"/>
        </w:rPr>
        <w:t xml:space="preserve"> et al., 2011)</w:t>
      </w:r>
      <w:r w:rsidR="005C76AA" w:rsidRPr="00BA46CD">
        <w:rPr>
          <w:rFonts w:ascii="Times New Roman" w:hAnsi="Times New Roman" w:cs="Times New Roman"/>
          <w:sz w:val="24"/>
          <w:szCs w:val="24"/>
        </w:rPr>
        <w:t xml:space="preserve">. </w:t>
      </w:r>
    </w:p>
    <w:tbl>
      <w:tblPr>
        <w:tblW w:w="9339" w:type="dxa"/>
        <w:tblInd w:w="93" w:type="dxa"/>
        <w:tblLook w:val="04A0"/>
      </w:tblPr>
      <w:tblGrid>
        <w:gridCol w:w="2603"/>
        <w:gridCol w:w="3736"/>
        <w:gridCol w:w="1500"/>
        <w:gridCol w:w="1500"/>
      </w:tblGrid>
      <w:tr w:rsidR="00D148B1" w:rsidRPr="00BA46CD" w:rsidTr="00D148B1">
        <w:trPr>
          <w:trHeight w:val="315"/>
        </w:trPr>
        <w:tc>
          <w:tcPr>
            <w:tcW w:w="2603" w:type="dxa"/>
            <w:tcBorders>
              <w:top w:val="single" w:sz="4" w:space="0" w:color="auto"/>
              <w:left w:val="single" w:sz="4" w:space="0" w:color="auto"/>
              <w:bottom w:val="single" w:sz="4" w:space="0" w:color="auto"/>
              <w:right w:val="single" w:sz="4" w:space="0" w:color="auto"/>
            </w:tcBorders>
            <w:shd w:val="clear" w:color="000000" w:fill="92D05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Ratio</w:t>
            </w:r>
          </w:p>
        </w:tc>
        <w:tc>
          <w:tcPr>
            <w:tcW w:w="3736" w:type="dxa"/>
            <w:tcBorders>
              <w:top w:val="single" w:sz="4" w:space="0" w:color="auto"/>
              <w:left w:val="nil"/>
              <w:bottom w:val="single" w:sz="4" w:space="0" w:color="auto"/>
              <w:right w:val="single" w:sz="4" w:space="0" w:color="auto"/>
            </w:tcBorders>
            <w:shd w:val="clear" w:color="000000" w:fill="92D05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Formula</w:t>
            </w:r>
          </w:p>
        </w:tc>
        <w:tc>
          <w:tcPr>
            <w:tcW w:w="1500" w:type="dxa"/>
            <w:tcBorders>
              <w:top w:val="single" w:sz="4" w:space="0" w:color="auto"/>
              <w:left w:val="nil"/>
              <w:bottom w:val="single" w:sz="4" w:space="0" w:color="auto"/>
              <w:right w:val="single" w:sz="4" w:space="0" w:color="auto"/>
            </w:tcBorders>
            <w:shd w:val="clear" w:color="000000" w:fill="92D05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2019</w:t>
            </w:r>
          </w:p>
        </w:tc>
        <w:tc>
          <w:tcPr>
            <w:tcW w:w="1500" w:type="dxa"/>
            <w:tcBorders>
              <w:top w:val="single" w:sz="4" w:space="0" w:color="auto"/>
              <w:left w:val="nil"/>
              <w:bottom w:val="single" w:sz="4" w:space="0" w:color="auto"/>
              <w:right w:val="single" w:sz="4" w:space="0" w:color="auto"/>
            </w:tcBorders>
            <w:shd w:val="clear" w:color="000000" w:fill="92D05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2018</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ROCE</w:t>
            </w:r>
          </w:p>
        </w:tc>
        <w:tc>
          <w:tcPr>
            <w:tcW w:w="3736" w:type="dxa"/>
            <w:tcBorders>
              <w:top w:val="nil"/>
              <w:left w:val="nil"/>
              <w:bottom w:val="single" w:sz="4" w:space="0" w:color="auto"/>
              <w:right w:val="single" w:sz="4" w:space="0" w:color="auto"/>
            </w:tcBorders>
            <w:shd w:val="clear" w:color="000000" w:fill="FCD5B4"/>
            <w:noWrap/>
            <w:vAlign w:val="bottom"/>
            <w:hideMark/>
          </w:tcPr>
          <w:p w:rsidR="00D148B1" w:rsidRPr="00BA46CD" w:rsidRDefault="009336FA" w:rsidP="00D30166">
            <w:pPr>
              <w:spacing w:after="0" w:line="360" w:lineRule="auto"/>
              <w:jc w:val="both"/>
              <w:rPr>
                <w:rFonts w:ascii="Times New Roman" w:eastAsia="Times New Roman" w:hAnsi="Times New Roman" w:cs="Times New Roman"/>
                <w:b/>
                <w:bCs/>
                <w:i/>
                <w:iCs/>
                <w:color w:val="000000"/>
                <w:sz w:val="24"/>
                <w:szCs w:val="24"/>
              </w:rPr>
            </w:pPr>
            <w:r w:rsidRPr="00BA46CD">
              <w:rPr>
                <w:rFonts w:ascii="Times New Roman" w:eastAsia="Times New Roman" w:hAnsi="Times New Roman" w:cs="Times New Roman"/>
                <w:b/>
                <w:bCs/>
                <w:i/>
                <w:iCs/>
                <w:color w:val="000000"/>
                <w:sz w:val="24"/>
                <w:szCs w:val="24"/>
              </w:rPr>
              <w:t>Profit</w:t>
            </w:r>
            <w:r w:rsidR="00D148B1" w:rsidRPr="00BA46CD">
              <w:rPr>
                <w:rFonts w:ascii="Times New Roman" w:eastAsia="Times New Roman" w:hAnsi="Times New Roman" w:cs="Times New Roman"/>
                <w:b/>
                <w:bCs/>
                <w:i/>
                <w:iCs/>
                <w:color w:val="000000"/>
                <w:sz w:val="24"/>
                <w:szCs w:val="24"/>
              </w:rPr>
              <w:t xml:space="preserve"> After Tax/Capital employed</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0.0443</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0.0363</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b/>
                <w:bCs/>
                <w:i/>
                <w:iCs/>
                <w:color w:val="000000"/>
                <w:sz w:val="24"/>
                <w:szCs w:val="24"/>
              </w:rPr>
            </w:pPr>
            <w:r w:rsidRPr="00BA46CD">
              <w:rPr>
                <w:rFonts w:ascii="Times New Roman" w:eastAsia="Times New Roman" w:hAnsi="Times New Roman" w:cs="Times New Roman"/>
                <w:b/>
                <w:bCs/>
                <w:i/>
                <w:iCs/>
                <w:color w:val="000000"/>
                <w:sz w:val="24"/>
                <w:szCs w:val="24"/>
              </w:rPr>
              <w:t>Profit after tax</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431.00</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366.00</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b/>
                <w:bCs/>
                <w:i/>
                <w:iCs/>
                <w:color w:val="000000"/>
                <w:sz w:val="24"/>
                <w:szCs w:val="24"/>
              </w:rPr>
            </w:pPr>
            <w:r w:rsidRPr="00BA46CD">
              <w:rPr>
                <w:rFonts w:ascii="Times New Roman" w:eastAsia="Times New Roman" w:hAnsi="Times New Roman" w:cs="Times New Roman"/>
                <w:b/>
                <w:bCs/>
                <w:i/>
                <w:iCs/>
                <w:color w:val="000000"/>
                <w:sz w:val="24"/>
                <w:szCs w:val="24"/>
              </w:rPr>
              <w:t>Capital employed</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9,736.00</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10,087.00</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Gross profit margin</w:t>
            </w:r>
          </w:p>
        </w:tc>
        <w:tc>
          <w:tcPr>
            <w:tcW w:w="3736"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Gross Profit / Net sales*100</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51.99%</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51.93%</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Gross profit</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3,503.00</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3,345.00</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xml:space="preserve">Net sales </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6,738.00</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6,441.00</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FCD5B4"/>
            <w:noWrap/>
            <w:vAlign w:val="bottom"/>
            <w:hideMark/>
          </w:tcPr>
          <w:p w:rsidR="00D148B1" w:rsidRPr="00BA46CD" w:rsidRDefault="00BE2860"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Net profit</w:t>
            </w:r>
            <w:r w:rsidR="00D148B1" w:rsidRPr="00BA46CD">
              <w:rPr>
                <w:rFonts w:ascii="Times New Roman" w:eastAsia="Times New Roman" w:hAnsi="Times New Roman" w:cs="Times New Roman"/>
                <w:color w:val="000000"/>
                <w:sz w:val="24"/>
                <w:szCs w:val="24"/>
              </w:rPr>
              <w:t xml:space="preserve"> </w:t>
            </w:r>
          </w:p>
        </w:tc>
        <w:tc>
          <w:tcPr>
            <w:tcW w:w="3736"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Net income / Sales*100</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6.40%</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5.68%</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Net income</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431.00</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366.00</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Sales</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6,738.00</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6,441.00</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xml:space="preserve">Asset turnover </w:t>
            </w:r>
          </w:p>
        </w:tc>
        <w:tc>
          <w:tcPr>
            <w:tcW w:w="3736"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Net sales / Total assets</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0.692</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0.639</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Net sales</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6,738.00</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6,441.00</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Total Assets</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9,736.00</w:t>
            </w:r>
          </w:p>
        </w:tc>
        <w:tc>
          <w:tcPr>
            <w:tcW w:w="1500" w:type="dxa"/>
            <w:tcBorders>
              <w:top w:val="nil"/>
              <w:left w:val="nil"/>
              <w:bottom w:val="single" w:sz="4" w:space="0" w:color="auto"/>
              <w:right w:val="single" w:sz="4" w:space="0" w:color="auto"/>
            </w:tcBorders>
            <w:shd w:val="clear" w:color="000000" w:fill="FCD5B4"/>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10,087.00</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500" w:type="dxa"/>
            <w:tcBorders>
              <w:top w:val="nil"/>
              <w:left w:val="nil"/>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500" w:type="dxa"/>
            <w:tcBorders>
              <w:top w:val="nil"/>
              <w:left w:val="nil"/>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Inventory Turnover</w:t>
            </w:r>
          </w:p>
        </w:tc>
        <w:tc>
          <w:tcPr>
            <w:tcW w:w="3736" w:type="dxa"/>
            <w:tcBorders>
              <w:top w:val="nil"/>
              <w:left w:val="nil"/>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Inventory / Cost of Goods Sold *365</w:t>
            </w:r>
          </w:p>
        </w:tc>
        <w:tc>
          <w:tcPr>
            <w:tcW w:w="1500" w:type="dxa"/>
            <w:tcBorders>
              <w:top w:val="nil"/>
              <w:left w:val="nil"/>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79.88253478</w:t>
            </w:r>
          </w:p>
        </w:tc>
        <w:tc>
          <w:tcPr>
            <w:tcW w:w="1500" w:type="dxa"/>
            <w:tcBorders>
              <w:top w:val="nil"/>
              <w:left w:val="nil"/>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77.69218346</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Inventory</w:t>
            </w:r>
          </w:p>
        </w:tc>
        <w:tc>
          <w:tcPr>
            <w:tcW w:w="1500" w:type="dxa"/>
            <w:tcBorders>
              <w:top w:val="nil"/>
              <w:left w:val="nil"/>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708.00</w:t>
            </w:r>
          </w:p>
        </w:tc>
        <w:tc>
          <w:tcPr>
            <w:tcW w:w="1500" w:type="dxa"/>
            <w:tcBorders>
              <w:top w:val="nil"/>
              <w:left w:val="nil"/>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659.00</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Cost of Goods Sold</w:t>
            </w:r>
          </w:p>
        </w:tc>
        <w:tc>
          <w:tcPr>
            <w:tcW w:w="1500" w:type="dxa"/>
            <w:tcBorders>
              <w:top w:val="nil"/>
              <w:left w:val="nil"/>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3,235.00</w:t>
            </w:r>
          </w:p>
        </w:tc>
        <w:tc>
          <w:tcPr>
            <w:tcW w:w="1500" w:type="dxa"/>
            <w:tcBorders>
              <w:top w:val="nil"/>
              <w:left w:val="nil"/>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3,096.00</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500" w:type="dxa"/>
            <w:tcBorders>
              <w:top w:val="nil"/>
              <w:left w:val="nil"/>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500" w:type="dxa"/>
            <w:tcBorders>
              <w:top w:val="nil"/>
              <w:left w:val="nil"/>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xml:space="preserve">Debtors collection </w:t>
            </w:r>
            <w:r w:rsidRPr="00BA46CD">
              <w:rPr>
                <w:rFonts w:ascii="Times New Roman" w:eastAsia="Times New Roman" w:hAnsi="Times New Roman" w:cs="Times New Roman"/>
                <w:b/>
                <w:bCs/>
                <w:color w:val="000000"/>
                <w:sz w:val="24"/>
                <w:szCs w:val="24"/>
              </w:rPr>
              <w:lastRenderedPageBreak/>
              <w:t>period</w:t>
            </w:r>
          </w:p>
        </w:tc>
        <w:tc>
          <w:tcPr>
            <w:tcW w:w="3736" w:type="dxa"/>
            <w:tcBorders>
              <w:top w:val="nil"/>
              <w:left w:val="nil"/>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b/>
                <w:bCs/>
                <w:i/>
                <w:iCs/>
                <w:color w:val="000000"/>
                <w:sz w:val="24"/>
                <w:szCs w:val="24"/>
              </w:rPr>
            </w:pPr>
            <w:r w:rsidRPr="00BA46CD">
              <w:rPr>
                <w:rFonts w:ascii="Times New Roman" w:eastAsia="Times New Roman" w:hAnsi="Times New Roman" w:cs="Times New Roman"/>
                <w:b/>
                <w:bCs/>
                <w:i/>
                <w:iCs/>
                <w:color w:val="000000"/>
                <w:sz w:val="24"/>
                <w:szCs w:val="24"/>
              </w:rPr>
              <w:lastRenderedPageBreak/>
              <w:t>Trade</w:t>
            </w:r>
            <w:r w:rsidR="009336FA" w:rsidRPr="00BA46CD">
              <w:rPr>
                <w:rFonts w:ascii="Times New Roman" w:eastAsia="Times New Roman" w:hAnsi="Times New Roman" w:cs="Times New Roman"/>
                <w:b/>
                <w:bCs/>
                <w:i/>
                <w:iCs/>
                <w:color w:val="000000"/>
                <w:sz w:val="24"/>
                <w:szCs w:val="24"/>
              </w:rPr>
              <w:t xml:space="preserve"> receivables</w:t>
            </w:r>
            <w:r w:rsidRPr="00BA46CD">
              <w:rPr>
                <w:rFonts w:ascii="Times New Roman" w:eastAsia="Times New Roman" w:hAnsi="Times New Roman" w:cs="Times New Roman"/>
                <w:b/>
                <w:bCs/>
                <w:i/>
                <w:iCs/>
                <w:color w:val="000000"/>
                <w:sz w:val="24"/>
                <w:szCs w:val="24"/>
              </w:rPr>
              <w:t>/sales*365</w:t>
            </w:r>
          </w:p>
        </w:tc>
        <w:tc>
          <w:tcPr>
            <w:tcW w:w="1500" w:type="dxa"/>
            <w:tcBorders>
              <w:top w:val="nil"/>
              <w:left w:val="nil"/>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67.65880083</w:t>
            </w:r>
          </w:p>
        </w:tc>
        <w:tc>
          <w:tcPr>
            <w:tcW w:w="1500" w:type="dxa"/>
            <w:tcBorders>
              <w:top w:val="nil"/>
              <w:left w:val="nil"/>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72.93199814</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lastRenderedPageBreak/>
              <w:t> </w:t>
            </w:r>
          </w:p>
        </w:tc>
        <w:tc>
          <w:tcPr>
            <w:tcW w:w="3736" w:type="dxa"/>
            <w:tcBorders>
              <w:top w:val="nil"/>
              <w:left w:val="nil"/>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xml:space="preserve">Trade </w:t>
            </w:r>
            <w:r w:rsidR="009336FA" w:rsidRPr="00BA46CD">
              <w:rPr>
                <w:rFonts w:ascii="Times New Roman" w:eastAsia="Times New Roman" w:hAnsi="Times New Roman" w:cs="Times New Roman"/>
                <w:color w:val="000000"/>
                <w:sz w:val="24"/>
                <w:szCs w:val="24"/>
              </w:rPr>
              <w:t>receivables</w:t>
            </w:r>
            <w:r w:rsidRPr="00BA46CD">
              <w:rPr>
                <w:rFonts w:ascii="Times New Roman" w:eastAsia="Times New Roman" w:hAnsi="Times New Roman" w:cs="Times New Roman"/>
                <w:color w:val="000000"/>
                <w:sz w:val="24"/>
                <w:szCs w:val="24"/>
              </w:rPr>
              <w:t xml:space="preserve"> </w:t>
            </w:r>
          </w:p>
        </w:tc>
        <w:tc>
          <w:tcPr>
            <w:tcW w:w="1500" w:type="dxa"/>
            <w:tcBorders>
              <w:top w:val="nil"/>
              <w:left w:val="nil"/>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1,249.00</w:t>
            </w:r>
          </w:p>
        </w:tc>
        <w:tc>
          <w:tcPr>
            <w:tcW w:w="1500" w:type="dxa"/>
            <w:tcBorders>
              <w:top w:val="nil"/>
              <w:left w:val="nil"/>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1,287.00</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xml:space="preserve">sales </w:t>
            </w:r>
          </w:p>
        </w:tc>
        <w:tc>
          <w:tcPr>
            <w:tcW w:w="1500" w:type="dxa"/>
            <w:tcBorders>
              <w:top w:val="nil"/>
              <w:left w:val="nil"/>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6,738.00</w:t>
            </w:r>
          </w:p>
        </w:tc>
        <w:tc>
          <w:tcPr>
            <w:tcW w:w="1500" w:type="dxa"/>
            <w:tcBorders>
              <w:top w:val="nil"/>
              <w:left w:val="nil"/>
              <w:bottom w:val="single" w:sz="4" w:space="0" w:color="auto"/>
              <w:right w:val="single" w:sz="4" w:space="0" w:color="auto"/>
            </w:tcBorders>
            <w:shd w:val="clear" w:color="000000" w:fill="00B0F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6,441.00</w:t>
            </w:r>
          </w:p>
        </w:tc>
      </w:tr>
      <w:tr w:rsidR="00D148B1" w:rsidRPr="00BA46CD" w:rsidTr="00D148B1">
        <w:trPr>
          <w:trHeight w:val="300"/>
        </w:trPr>
        <w:tc>
          <w:tcPr>
            <w:tcW w:w="2603" w:type="dxa"/>
            <w:tcBorders>
              <w:top w:val="nil"/>
              <w:left w:val="single" w:sz="4" w:space="0" w:color="auto"/>
              <w:bottom w:val="single" w:sz="4" w:space="0" w:color="auto"/>
              <w:right w:val="single" w:sz="4" w:space="0" w:color="auto"/>
            </w:tcBorders>
            <w:shd w:val="clear" w:color="auto" w:fill="auto"/>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auto" w:fill="auto"/>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500" w:type="dxa"/>
            <w:tcBorders>
              <w:top w:val="nil"/>
              <w:left w:val="nil"/>
              <w:bottom w:val="single" w:sz="4" w:space="0" w:color="auto"/>
              <w:right w:val="single" w:sz="4" w:space="0" w:color="auto"/>
            </w:tcBorders>
            <w:shd w:val="clear" w:color="auto" w:fill="auto"/>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1500" w:type="dxa"/>
            <w:tcBorders>
              <w:top w:val="nil"/>
              <w:left w:val="nil"/>
              <w:bottom w:val="single" w:sz="4" w:space="0" w:color="auto"/>
              <w:right w:val="single" w:sz="4" w:space="0" w:color="auto"/>
            </w:tcBorders>
            <w:shd w:val="clear" w:color="auto" w:fill="auto"/>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D7E4BC"/>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Current ratio</w:t>
            </w:r>
          </w:p>
        </w:tc>
        <w:tc>
          <w:tcPr>
            <w:tcW w:w="3736" w:type="dxa"/>
            <w:tcBorders>
              <w:top w:val="nil"/>
              <w:left w:val="nil"/>
              <w:bottom w:val="single" w:sz="4" w:space="0" w:color="auto"/>
              <w:right w:val="single" w:sz="4" w:space="0" w:color="auto"/>
            </w:tcBorders>
            <w:shd w:val="clear" w:color="000000" w:fill="D7E4BC"/>
            <w:noWrap/>
            <w:vAlign w:val="bottom"/>
            <w:hideMark/>
          </w:tcPr>
          <w:p w:rsidR="00D148B1" w:rsidRPr="00BA46CD" w:rsidRDefault="00D148B1" w:rsidP="00D30166">
            <w:pPr>
              <w:spacing w:after="0" w:line="360" w:lineRule="auto"/>
              <w:jc w:val="both"/>
              <w:rPr>
                <w:rFonts w:ascii="Times New Roman" w:eastAsia="Times New Roman" w:hAnsi="Times New Roman" w:cs="Times New Roman"/>
                <w:b/>
                <w:bCs/>
                <w:i/>
                <w:iCs/>
                <w:color w:val="000000"/>
                <w:sz w:val="24"/>
                <w:szCs w:val="24"/>
              </w:rPr>
            </w:pPr>
            <w:r w:rsidRPr="00BA46CD">
              <w:rPr>
                <w:rFonts w:ascii="Times New Roman" w:eastAsia="Times New Roman" w:hAnsi="Times New Roman" w:cs="Times New Roman"/>
                <w:b/>
                <w:bCs/>
                <w:i/>
                <w:iCs/>
                <w:color w:val="000000"/>
                <w:sz w:val="24"/>
                <w:szCs w:val="24"/>
              </w:rPr>
              <w:t>Current assets/Current Liabilities</w:t>
            </w:r>
          </w:p>
        </w:tc>
        <w:tc>
          <w:tcPr>
            <w:tcW w:w="1500" w:type="dxa"/>
            <w:tcBorders>
              <w:top w:val="nil"/>
              <w:left w:val="nil"/>
              <w:bottom w:val="single" w:sz="4" w:space="0" w:color="auto"/>
              <w:right w:val="single" w:sz="4" w:space="0" w:color="auto"/>
            </w:tcBorders>
            <w:shd w:val="clear" w:color="000000" w:fill="D7E4BC"/>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0.92</w:t>
            </w:r>
          </w:p>
        </w:tc>
        <w:tc>
          <w:tcPr>
            <w:tcW w:w="1500" w:type="dxa"/>
            <w:tcBorders>
              <w:top w:val="nil"/>
              <w:left w:val="nil"/>
              <w:bottom w:val="single" w:sz="4" w:space="0" w:color="auto"/>
              <w:right w:val="single" w:sz="4" w:space="0" w:color="auto"/>
            </w:tcBorders>
            <w:shd w:val="clear" w:color="000000" w:fill="D7E4BC"/>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0.77</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D7E4BC"/>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000000" w:fill="D7E4BC"/>
            <w:noWrap/>
            <w:vAlign w:val="bottom"/>
            <w:hideMark/>
          </w:tcPr>
          <w:p w:rsidR="00D148B1" w:rsidRPr="00BA46CD" w:rsidRDefault="00D148B1" w:rsidP="00D30166">
            <w:pPr>
              <w:spacing w:after="0" w:line="360" w:lineRule="auto"/>
              <w:jc w:val="both"/>
              <w:rPr>
                <w:rFonts w:ascii="Times New Roman" w:eastAsia="Times New Roman" w:hAnsi="Times New Roman" w:cs="Times New Roman"/>
                <w:b/>
                <w:bCs/>
                <w:i/>
                <w:iCs/>
                <w:color w:val="000000"/>
                <w:sz w:val="24"/>
                <w:szCs w:val="24"/>
              </w:rPr>
            </w:pPr>
            <w:r w:rsidRPr="00BA46CD">
              <w:rPr>
                <w:rFonts w:ascii="Times New Roman" w:eastAsia="Times New Roman" w:hAnsi="Times New Roman" w:cs="Times New Roman"/>
                <w:b/>
                <w:bCs/>
                <w:i/>
                <w:iCs/>
                <w:color w:val="000000"/>
                <w:sz w:val="24"/>
                <w:szCs w:val="24"/>
              </w:rPr>
              <w:t xml:space="preserve">Current Assets </w:t>
            </w:r>
          </w:p>
        </w:tc>
        <w:tc>
          <w:tcPr>
            <w:tcW w:w="1500" w:type="dxa"/>
            <w:tcBorders>
              <w:top w:val="nil"/>
              <w:left w:val="nil"/>
              <w:bottom w:val="single" w:sz="4" w:space="0" w:color="auto"/>
              <w:right w:val="single" w:sz="4" w:space="0" w:color="auto"/>
            </w:tcBorders>
            <w:shd w:val="clear" w:color="000000" w:fill="D7E4BC"/>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2,303.00</w:t>
            </w:r>
          </w:p>
        </w:tc>
        <w:tc>
          <w:tcPr>
            <w:tcW w:w="1500" w:type="dxa"/>
            <w:tcBorders>
              <w:top w:val="nil"/>
              <w:left w:val="nil"/>
              <w:bottom w:val="single" w:sz="4" w:space="0" w:color="auto"/>
              <w:right w:val="single" w:sz="4" w:space="0" w:color="auto"/>
            </w:tcBorders>
            <w:shd w:val="clear" w:color="000000" w:fill="D7E4BC"/>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2,355.00</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D7E4BC"/>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000000" w:fill="D7E4BC"/>
            <w:noWrap/>
            <w:vAlign w:val="bottom"/>
            <w:hideMark/>
          </w:tcPr>
          <w:p w:rsidR="00D148B1" w:rsidRPr="00BA46CD" w:rsidRDefault="00D148B1" w:rsidP="00D30166">
            <w:pPr>
              <w:spacing w:after="0" w:line="360" w:lineRule="auto"/>
              <w:jc w:val="both"/>
              <w:rPr>
                <w:rFonts w:ascii="Times New Roman" w:eastAsia="Times New Roman" w:hAnsi="Times New Roman" w:cs="Times New Roman"/>
                <w:b/>
                <w:bCs/>
                <w:i/>
                <w:iCs/>
                <w:color w:val="000000"/>
                <w:sz w:val="24"/>
                <w:szCs w:val="24"/>
              </w:rPr>
            </w:pPr>
            <w:r w:rsidRPr="00BA46CD">
              <w:rPr>
                <w:rFonts w:ascii="Times New Roman" w:eastAsia="Times New Roman" w:hAnsi="Times New Roman" w:cs="Times New Roman"/>
                <w:b/>
                <w:bCs/>
                <w:i/>
                <w:iCs/>
                <w:color w:val="000000"/>
                <w:sz w:val="24"/>
                <w:szCs w:val="24"/>
              </w:rPr>
              <w:t>Current Liabilities</w:t>
            </w:r>
          </w:p>
        </w:tc>
        <w:tc>
          <w:tcPr>
            <w:tcW w:w="1500" w:type="dxa"/>
            <w:tcBorders>
              <w:top w:val="nil"/>
              <w:left w:val="nil"/>
              <w:bottom w:val="single" w:sz="4" w:space="0" w:color="auto"/>
              <w:right w:val="single" w:sz="4" w:space="0" w:color="auto"/>
            </w:tcBorders>
            <w:shd w:val="clear" w:color="000000" w:fill="D7E4BC"/>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2,511.00</w:t>
            </w:r>
          </w:p>
        </w:tc>
        <w:tc>
          <w:tcPr>
            <w:tcW w:w="1500" w:type="dxa"/>
            <w:tcBorders>
              <w:top w:val="nil"/>
              <w:left w:val="nil"/>
              <w:bottom w:val="single" w:sz="4" w:space="0" w:color="auto"/>
              <w:right w:val="single" w:sz="4" w:space="0" w:color="auto"/>
            </w:tcBorders>
            <w:shd w:val="clear" w:color="000000" w:fill="D7E4BC"/>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3,046.00</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CCC0DA"/>
            <w:noWrap/>
            <w:vAlign w:val="bottom"/>
            <w:hideMark/>
          </w:tcPr>
          <w:p w:rsidR="00D148B1" w:rsidRPr="00BA46CD" w:rsidRDefault="00D148B1"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w:t>
            </w:r>
          </w:p>
        </w:tc>
        <w:tc>
          <w:tcPr>
            <w:tcW w:w="3736" w:type="dxa"/>
            <w:tcBorders>
              <w:top w:val="nil"/>
              <w:left w:val="nil"/>
              <w:bottom w:val="single" w:sz="4" w:space="0" w:color="auto"/>
              <w:right w:val="single" w:sz="4" w:space="0" w:color="auto"/>
            </w:tcBorders>
            <w:shd w:val="clear" w:color="000000" w:fill="CCC0DA"/>
            <w:noWrap/>
            <w:vAlign w:val="bottom"/>
            <w:hideMark/>
          </w:tcPr>
          <w:p w:rsidR="00D148B1" w:rsidRPr="00BA46CD" w:rsidRDefault="00D148B1"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w:t>
            </w:r>
          </w:p>
        </w:tc>
        <w:tc>
          <w:tcPr>
            <w:tcW w:w="1500" w:type="dxa"/>
            <w:tcBorders>
              <w:top w:val="nil"/>
              <w:left w:val="nil"/>
              <w:bottom w:val="single" w:sz="4" w:space="0" w:color="auto"/>
              <w:right w:val="single" w:sz="4" w:space="0" w:color="auto"/>
            </w:tcBorders>
            <w:shd w:val="clear" w:color="000000" w:fill="CCC0DA"/>
            <w:noWrap/>
            <w:vAlign w:val="bottom"/>
            <w:hideMark/>
          </w:tcPr>
          <w:p w:rsidR="00D148B1" w:rsidRPr="00BA46CD" w:rsidRDefault="00D148B1"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w:t>
            </w:r>
          </w:p>
        </w:tc>
        <w:tc>
          <w:tcPr>
            <w:tcW w:w="1500" w:type="dxa"/>
            <w:tcBorders>
              <w:top w:val="nil"/>
              <w:left w:val="nil"/>
              <w:bottom w:val="single" w:sz="4" w:space="0" w:color="auto"/>
              <w:right w:val="single" w:sz="4" w:space="0" w:color="auto"/>
            </w:tcBorders>
            <w:shd w:val="clear" w:color="000000" w:fill="CCC0DA"/>
            <w:noWrap/>
            <w:vAlign w:val="bottom"/>
            <w:hideMark/>
          </w:tcPr>
          <w:p w:rsidR="00D148B1" w:rsidRPr="00BA46CD" w:rsidRDefault="00D148B1"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 </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CCC0DA"/>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Gearing Ratio</w:t>
            </w:r>
          </w:p>
        </w:tc>
        <w:tc>
          <w:tcPr>
            <w:tcW w:w="3736" w:type="dxa"/>
            <w:tcBorders>
              <w:top w:val="nil"/>
              <w:left w:val="nil"/>
              <w:bottom w:val="single" w:sz="4" w:space="0" w:color="auto"/>
              <w:right w:val="single" w:sz="4" w:space="0" w:color="auto"/>
            </w:tcBorders>
            <w:shd w:val="clear" w:color="000000" w:fill="CCC0DA"/>
            <w:noWrap/>
            <w:vAlign w:val="bottom"/>
            <w:hideMark/>
          </w:tcPr>
          <w:p w:rsidR="00D148B1" w:rsidRPr="00BA46CD" w:rsidRDefault="00D148B1" w:rsidP="00D30166">
            <w:pPr>
              <w:spacing w:after="0" w:line="360" w:lineRule="auto"/>
              <w:jc w:val="both"/>
              <w:rPr>
                <w:rFonts w:ascii="Times New Roman" w:eastAsia="Times New Roman" w:hAnsi="Times New Roman" w:cs="Times New Roman"/>
                <w:b/>
                <w:bCs/>
                <w:i/>
                <w:iCs/>
                <w:color w:val="000000"/>
                <w:sz w:val="24"/>
                <w:szCs w:val="24"/>
              </w:rPr>
            </w:pPr>
            <w:r w:rsidRPr="00BA46CD">
              <w:rPr>
                <w:rFonts w:ascii="Times New Roman" w:eastAsia="Times New Roman" w:hAnsi="Times New Roman" w:cs="Times New Roman"/>
                <w:b/>
                <w:bCs/>
                <w:i/>
                <w:iCs/>
                <w:color w:val="000000"/>
                <w:sz w:val="24"/>
                <w:szCs w:val="24"/>
              </w:rPr>
              <w:t>Long term loans/Internal liabilities</w:t>
            </w:r>
          </w:p>
        </w:tc>
        <w:tc>
          <w:tcPr>
            <w:tcW w:w="1500" w:type="dxa"/>
            <w:tcBorders>
              <w:top w:val="nil"/>
              <w:left w:val="nil"/>
              <w:bottom w:val="single" w:sz="4" w:space="0" w:color="auto"/>
              <w:right w:val="single" w:sz="4" w:space="0" w:color="auto"/>
            </w:tcBorders>
            <w:shd w:val="clear" w:color="000000" w:fill="CCC0DA"/>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1.34</w:t>
            </w:r>
          </w:p>
        </w:tc>
        <w:tc>
          <w:tcPr>
            <w:tcW w:w="1500" w:type="dxa"/>
            <w:tcBorders>
              <w:top w:val="nil"/>
              <w:left w:val="nil"/>
              <w:bottom w:val="single" w:sz="4" w:space="0" w:color="auto"/>
              <w:right w:val="single" w:sz="4" w:space="0" w:color="auto"/>
            </w:tcBorders>
            <w:shd w:val="clear" w:color="000000" w:fill="CCC0DA"/>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1.42</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CCC0DA"/>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000000" w:fill="CCC0DA"/>
            <w:noWrap/>
            <w:vAlign w:val="bottom"/>
            <w:hideMark/>
          </w:tcPr>
          <w:p w:rsidR="00D148B1" w:rsidRPr="00BA46CD" w:rsidRDefault="00D148B1" w:rsidP="00D30166">
            <w:pPr>
              <w:spacing w:after="0" w:line="360" w:lineRule="auto"/>
              <w:jc w:val="both"/>
              <w:rPr>
                <w:rFonts w:ascii="Times New Roman" w:eastAsia="Times New Roman" w:hAnsi="Times New Roman" w:cs="Times New Roman"/>
                <w:b/>
                <w:bCs/>
                <w:i/>
                <w:iCs/>
                <w:color w:val="000000"/>
                <w:sz w:val="24"/>
                <w:szCs w:val="24"/>
              </w:rPr>
            </w:pPr>
            <w:r w:rsidRPr="00BA46CD">
              <w:rPr>
                <w:rFonts w:ascii="Times New Roman" w:eastAsia="Times New Roman" w:hAnsi="Times New Roman" w:cs="Times New Roman"/>
                <w:b/>
                <w:bCs/>
                <w:i/>
                <w:iCs/>
                <w:color w:val="000000"/>
                <w:sz w:val="24"/>
                <w:szCs w:val="24"/>
              </w:rPr>
              <w:t>Long term liability</w:t>
            </w:r>
          </w:p>
        </w:tc>
        <w:tc>
          <w:tcPr>
            <w:tcW w:w="1500" w:type="dxa"/>
            <w:tcBorders>
              <w:top w:val="nil"/>
              <w:left w:val="nil"/>
              <w:bottom w:val="single" w:sz="4" w:space="0" w:color="auto"/>
              <w:right w:val="single" w:sz="4" w:space="0" w:color="auto"/>
            </w:tcBorders>
            <w:shd w:val="clear" w:color="000000" w:fill="CCC0DA"/>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4,137.00</w:t>
            </w:r>
          </w:p>
        </w:tc>
        <w:tc>
          <w:tcPr>
            <w:tcW w:w="1500" w:type="dxa"/>
            <w:tcBorders>
              <w:top w:val="nil"/>
              <w:left w:val="nil"/>
              <w:bottom w:val="single" w:sz="4" w:space="0" w:color="auto"/>
              <w:right w:val="single" w:sz="4" w:space="0" w:color="auto"/>
            </w:tcBorders>
            <w:shd w:val="clear" w:color="000000" w:fill="CCC0DA"/>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4,129.00</w:t>
            </w:r>
          </w:p>
        </w:tc>
      </w:tr>
      <w:tr w:rsidR="00D148B1" w:rsidRPr="00BA46CD" w:rsidTr="00D148B1">
        <w:trPr>
          <w:trHeight w:val="315"/>
        </w:trPr>
        <w:tc>
          <w:tcPr>
            <w:tcW w:w="2603" w:type="dxa"/>
            <w:tcBorders>
              <w:top w:val="nil"/>
              <w:left w:val="single" w:sz="4" w:space="0" w:color="auto"/>
              <w:bottom w:val="single" w:sz="4" w:space="0" w:color="auto"/>
              <w:right w:val="single" w:sz="4" w:space="0" w:color="auto"/>
            </w:tcBorders>
            <w:shd w:val="clear" w:color="000000" w:fill="CCC0DA"/>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000000" w:fill="CCC0DA"/>
            <w:noWrap/>
            <w:vAlign w:val="bottom"/>
            <w:hideMark/>
          </w:tcPr>
          <w:p w:rsidR="00D148B1" w:rsidRPr="00BA46CD" w:rsidRDefault="00D148B1" w:rsidP="00D30166">
            <w:pPr>
              <w:spacing w:after="0" w:line="360" w:lineRule="auto"/>
              <w:jc w:val="both"/>
              <w:rPr>
                <w:rFonts w:ascii="Times New Roman" w:eastAsia="Times New Roman" w:hAnsi="Times New Roman" w:cs="Times New Roman"/>
                <w:b/>
                <w:bCs/>
                <w:i/>
                <w:iCs/>
                <w:color w:val="000000"/>
                <w:sz w:val="24"/>
                <w:szCs w:val="24"/>
              </w:rPr>
            </w:pPr>
            <w:r w:rsidRPr="00BA46CD">
              <w:rPr>
                <w:rFonts w:ascii="Times New Roman" w:eastAsia="Times New Roman" w:hAnsi="Times New Roman" w:cs="Times New Roman"/>
                <w:b/>
                <w:bCs/>
                <w:i/>
                <w:iCs/>
                <w:color w:val="000000"/>
                <w:sz w:val="24"/>
                <w:szCs w:val="24"/>
              </w:rPr>
              <w:t xml:space="preserve">Total equity </w:t>
            </w:r>
          </w:p>
        </w:tc>
        <w:tc>
          <w:tcPr>
            <w:tcW w:w="1500" w:type="dxa"/>
            <w:tcBorders>
              <w:top w:val="nil"/>
              <w:left w:val="nil"/>
              <w:bottom w:val="single" w:sz="4" w:space="0" w:color="auto"/>
              <w:right w:val="single" w:sz="4" w:space="0" w:color="auto"/>
            </w:tcBorders>
            <w:shd w:val="clear" w:color="000000" w:fill="CCC0DA"/>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3,088.00</w:t>
            </w:r>
          </w:p>
        </w:tc>
        <w:tc>
          <w:tcPr>
            <w:tcW w:w="1500" w:type="dxa"/>
            <w:tcBorders>
              <w:top w:val="nil"/>
              <w:left w:val="nil"/>
              <w:bottom w:val="single" w:sz="4" w:space="0" w:color="auto"/>
              <w:right w:val="single" w:sz="4" w:space="0" w:color="auto"/>
            </w:tcBorders>
            <w:shd w:val="clear" w:color="000000" w:fill="CCC0DA"/>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2,912.00</w:t>
            </w:r>
          </w:p>
        </w:tc>
      </w:tr>
      <w:tr w:rsidR="00D148B1" w:rsidRPr="00BA46CD" w:rsidTr="009336FA">
        <w:trPr>
          <w:trHeight w:val="315"/>
        </w:trPr>
        <w:tc>
          <w:tcPr>
            <w:tcW w:w="2603" w:type="dxa"/>
            <w:tcBorders>
              <w:top w:val="nil"/>
              <w:left w:val="single" w:sz="4" w:space="0" w:color="auto"/>
              <w:bottom w:val="single" w:sz="4" w:space="0" w:color="auto"/>
              <w:right w:val="single" w:sz="4" w:space="0" w:color="auto"/>
            </w:tcBorders>
            <w:shd w:val="clear" w:color="auto" w:fill="92D050"/>
            <w:noWrap/>
            <w:vAlign w:val="bottom"/>
            <w:hideMark/>
          </w:tcPr>
          <w:p w:rsidR="00D148B1" w:rsidRPr="00BA46CD" w:rsidRDefault="00D30166"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Earnings</w:t>
            </w:r>
            <w:r w:rsidR="00D148B1" w:rsidRPr="00BA46CD">
              <w:rPr>
                <w:rFonts w:ascii="Times New Roman" w:eastAsia="Times New Roman" w:hAnsi="Times New Roman" w:cs="Times New Roman"/>
                <w:color w:val="000000"/>
                <w:sz w:val="24"/>
                <w:szCs w:val="24"/>
              </w:rPr>
              <w:t xml:space="preserve"> per share</w:t>
            </w:r>
          </w:p>
        </w:tc>
        <w:tc>
          <w:tcPr>
            <w:tcW w:w="3736" w:type="dxa"/>
            <w:tcBorders>
              <w:top w:val="nil"/>
              <w:left w:val="nil"/>
              <w:bottom w:val="single" w:sz="4" w:space="0" w:color="auto"/>
              <w:right w:val="single" w:sz="4" w:space="0" w:color="auto"/>
            </w:tcBorders>
            <w:shd w:val="clear" w:color="auto" w:fill="92D050"/>
            <w:noWrap/>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Net income/number of ordinary shares</w:t>
            </w:r>
          </w:p>
        </w:tc>
        <w:tc>
          <w:tcPr>
            <w:tcW w:w="1500" w:type="dxa"/>
            <w:tcBorders>
              <w:top w:val="nil"/>
              <w:left w:val="nil"/>
              <w:bottom w:val="single" w:sz="4" w:space="0" w:color="auto"/>
              <w:right w:val="single" w:sz="4" w:space="0" w:color="auto"/>
            </w:tcBorders>
            <w:shd w:val="clear" w:color="auto" w:fill="92D050"/>
            <w:noWrap/>
            <w:hideMark/>
          </w:tcPr>
          <w:p w:rsidR="00D148B1" w:rsidRPr="00BA46CD" w:rsidRDefault="00D148B1"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0.72</w:t>
            </w:r>
          </w:p>
        </w:tc>
        <w:tc>
          <w:tcPr>
            <w:tcW w:w="1500" w:type="dxa"/>
            <w:tcBorders>
              <w:top w:val="nil"/>
              <w:left w:val="nil"/>
              <w:bottom w:val="single" w:sz="4" w:space="0" w:color="auto"/>
              <w:right w:val="single" w:sz="4" w:space="0" w:color="auto"/>
            </w:tcBorders>
            <w:shd w:val="clear" w:color="auto" w:fill="92D050"/>
            <w:noWrap/>
            <w:hideMark/>
          </w:tcPr>
          <w:p w:rsidR="00D148B1" w:rsidRPr="00BA46CD" w:rsidRDefault="00D148B1"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0.61</w:t>
            </w:r>
          </w:p>
        </w:tc>
      </w:tr>
      <w:tr w:rsidR="00D148B1" w:rsidRPr="00BA46CD" w:rsidTr="009336FA">
        <w:trPr>
          <w:trHeight w:val="315"/>
        </w:trPr>
        <w:tc>
          <w:tcPr>
            <w:tcW w:w="2603" w:type="dxa"/>
            <w:tcBorders>
              <w:top w:val="nil"/>
              <w:left w:val="single" w:sz="4" w:space="0" w:color="auto"/>
              <w:bottom w:val="single" w:sz="4" w:space="0" w:color="auto"/>
              <w:right w:val="single" w:sz="4" w:space="0" w:color="auto"/>
            </w:tcBorders>
            <w:shd w:val="clear" w:color="auto" w:fill="92D05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auto" w:fill="92D050"/>
            <w:noWrap/>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Net income</w:t>
            </w:r>
          </w:p>
        </w:tc>
        <w:tc>
          <w:tcPr>
            <w:tcW w:w="1500" w:type="dxa"/>
            <w:tcBorders>
              <w:top w:val="nil"/>
              <w:left w:val="nil"/>
              <w:bottom w:val="single" w:sz="4" w:space="0" w:color="auto"/>
              <w:right w:val="single" w:sz="4" w:space="0" w:color="auto"/>
            </w:tcBorders>
            <w:shd w:val="clear" w:color="auto" w:fill="92D05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431.00</w:t>
            </w:r>
          </w:p>
        </w:tc>
        <w:tc>
          <w:tcPr>
            <w:tcW w:w="1500" w:type="dxa"/>
            <w:tcBorders>
              <w:top w:val="nil"/>
              <w:left w:val="nil"/>
              <w:bottom w:val="single" w:sz="4" w:space="0" w:color="auto"/>
              <w:right w:val="single" w:sz="4" w:space="0" w:color="auto"/>
            </w:tcBorders>
            <w:shd w:val="clear" w:color="auto" w:fill="92D05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366.00</w:t>
            </w:r>
          </w:p>
        </w:tc>
      </w:tr>
      <w:tr w:rsidR="00D148B1" w:rsidRPr="00BA46CD" w:rsidTr="009336FA">
        <w:trPr>
          <w:trHeight w:val="315"/>
        </w:trPr>
        <w:tc>
          <w:tcPr>
            <w:tcW w:w="2603" w:type="dxa"/>
            <w:tcBorders>
              <w:top w:val="nil"/>
              <w:left w:val="single" w:sz="4" w:space="0" w:color="auto"/>
              <w:bottom w:val="single" w:sz="4" w:space="0" w:color="auto"/>
              <w:right w:val="single" w:sz="4" w:space="0" w:color="auto"/>
            </w:tcBorders>
            <w:shd w:val="clear" w:color="auto" w:fill="92D05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auto" w:fill="92D050"/>
            <w:noWrap/>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number of ordinary shares</w:t>
            </w:r>
          </w:p>
        </w:tc>
        <w:tc>
          <w:tcPr>
            <w:tcW w:w="1500" w:type="dxa"/>
            <w:tcBorders>
              <w:top w:val="nil"/>
              <w:left w:val="nil"/>
              <w:bottom w:val="single" w:sz="4" w:space="0" w:color="auto"/>
              <w:right w:val="single" w:sz="4" w:space="0" w:color="auto"/>
            </w:tcBorders>
            <w:shd w:val="clear" w:color="auto" w:fill="92D05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600.00</w:t>
            </w:r>
          </w:p>
        </w:tc>
        <w:tc>
          <w:tcPr>
            <w:tcW w:w="1500" w:type="dxa"/>
            <w:tcBorders>
              <w:top w:val="nil"/>
              <w:left w:val="nil"/>
              <w:bottom w:val="single" w:sz="4" w:space="0" w:color="auto"/>
              <w:right w:val="single" w:sz="4" w:space="0" w:color="auto"/>
            </w:tcBorders>
            <w:shd w:val="clear" w:color="auto" w:fill="92D05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600.00</w:t>
            </w:r>
          </w:p>
        </w:tc>
      </w:tr>
      <w:tr w:rsidR="00D148B1" w:rsidRPr="00BA46CD" w:rsidTr="009336FA">
        <w:trPr>
          <w:trHeight w:val="315"/>
        </w:trPr>
        <w:tc>
          <w:tcPr>
            <w:tcW w:w="2603" w:type="dxa"/>
            <w:tcBorders>
              <w:top w:val="nil"/>
              <w:left w:val="single" w:sz="4" w:space="0" w:color="auto"/>
              <w:bottom w:val="single" w:sz="4" w:space="0" w:color="auto"/>
              <w:right w:val="single" w:sz="4" w:space="0" w:color="auto"/>
            </w:tcBorders>
            <w:shd w:val="clear" w:color="auto" w:fill="92D050"/>
            <w:noWrap/>
            <w:vAlign w:val="bottom"/>
            <w:hideMark/>
          </w:tcPr>
          <w:p w:rsidR="00D148B1" w:rsidRPr="00BA46CD" w:rsidRDefault="00D148B1" w:rsidP="00BD5AF0">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xml:space="preserve">Dividend payout </w:t>
            </w:r>
          </w:p>
        </w:tc>
        <w:tc>
          <w:tcPr>
            <w:tcW w:w="3736" w:type="dxa"/>
            <w:tcBorders>
              <w:top w:val="nil"/>
              <w:left w:val="nil"/>
              <w:bottom w:val="single" w:sz="4" w:space="0" w:color="auto"/>
              <w:right w:val="single" w:sz="4" w:space="0" w:color="auto"/>
            </w:tcBorders>
            <w:shd w:val="clear" w:color="auto" w:fill="92D050"/>
            <w:noWrap/>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Dividend/income</w:t>
            </w:r>
          </w:p>
        </w:tc>
        <w:tc>
          <w:tcPr>
            <w:tcW w:w="1500" w:type="dxa"/>
            <w:tcBorders>
              <w:top w:val="nil"/>
              <w:left w:val="nil"/>
              <w:bottom w:val="single" w:sz="4" w:space="0" w:color="auto"/>
              <w:right w:val="single" w:sz="4" w:space="0" w:color="auto"/>
            </w:tcBorders>
            <w:shd w:val="clear" w:color="auto" w:fill="92D050"/>
            <w:noWrap/>
            <w:hideMark/>
          </w:tcPr>
          <w:p w:rsidR="00D148B1" w:rsidRPr="00BA46CD" w:rsidRDefault="00D148B1"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0.59</w:t>
            </w:r>
          </w:p>
        </w:tc>
        <w:tc>
          <w:tcPr>
            <w:tcW w:w="1500" w:type="dxa"/>
            <w:tcBorders>
              <w:top w:val="nil"/>
              <w:left w:val="nil"/>
              <w:bottom w:val="single" w:sz="4" w:space="0" w:color="auto"/>
              <w:right w:val="single" w:sz="4" w:space="0" w:color="auto"/>
            </w:tcBorders>
            <w:shd w:val="clear" w:color="auto" w:fill="92D050"/>
            <w:noWrap/>
            <w:hideMark/>
          </w:tcPr>
          <w:p w:rsidR="00D148B1" w:rsidRPr="00BA46CD" w:rsidRDefault="00D148B1"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0.66</w:t>
            </w:r>
          </w:p>
        </w:tc>
      </w:tr>
      <w:tr w:rsidR="00D148B1" w:rsidRPr="00BA46CD" w:rsidTr="009336FA">
        <w:trPr>
          <w:trHeight w:val="315"/>
        </w:trPr>
        <w:tc>
          <w:tcPr>
            <w:tcW w:w="2603" w:type="dxa"/>
            <w:tcBorders>
              <w:top w:val="nil"/>
              <w:left w:val="single" w:sz="4" w:space="0" w:color="auto"/>
              <w:bottom w:val="single" w:sz="4" w:space="0" w:color="auto"/>
              <w:right w:val="single" w:sz="4" w:space="0" w:color="auto"/>
            </w:tcBorders>
            <w:shd w:val="clear" w:color="auto" w:fill="92D05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auto" w:fill="92D050"/>
            <w:noWrap/>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Dividend</w:t>
            </w:r>
          </w:p>
        </w:tc>
        <w:tc>
          <w:tcPr>
            <w:tcW w:w="1500" w:type="dxa"/>
            <w:tcBorders>
              <w:top w:val="nil"/>
              <w:left w:val="nil"/>
              <w:bottom w:val="single" w:sz="4" w:space="0" w:color="auto"/>
              <w:right w:val="single" w:sz="4" w:space="0" w:color="auto"/>
            </w:tcBorders>
            <w:shd w:val="clear" w:color="auto" w:fill="92D05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255.00</w:t>
            </w:r>
          </w:p>
        </w:tc>
        <w:tc>
          <w:tcPr>
            <w:tcW w:w="1500" w:type="dxa"/>
            <w:tcBorders>
              <w:top w:val="nil"/>
              <w:left w:val="nil"/>
              <w:bottom w:val="single" w:sz="4" w:space="0" w:color="auto"/>
              <w:right w:val="single" w:sz="4" w:space="0" w:color="auto"/>
            </w:tcBorders>
            <w:shd w:val="clear" w:color="auto" w:fill="92D05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242.00</w:t>
            </w:r>
          </w:p>
        </w:tc>
      </w:tr>
      <w:tr w:rsidR="00D148B1" w:rsidRPr="00BA46CD" w:rsidTr="009336FA">
        <w:trPr>
          <w:trHeight w:val="315"/>
        </w:trPr>
        <w:tc>
          <w:tcPr>
            <w:tcW w:w="2603" w:type="dxa"/>
            <w:tcBorders>
              <w:top w:val="nil"/>
              <w:left w:val="single" w:sz="4" w:space="0" w:color="auto"/>
              <w:bottom w:val="single" w:sz="4" w:space="0" w:color="auto"/>
              <w:right w:val="single" w:sz="4" w:space="0" w:color="auto"/>
            </w:tcBorders>
            <w:shd w:val="clear" w:color="auto" w:fill="92D05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auto" w:fill="92D050"/>
            <w:noWrap/>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Income</w:t>
            </w:r>
          </w:p>
        </w:tc>
        <w:tc>
          <w:tcPr>
            <w:tcW w:w="1500" w:type="dxa"/>
            <w:tcBorders>
              <w:top w:val="nil"/>
              <w:left w:val="nil"/>
              <w:bottom w:val="single" w:sz="4" w:space="0" w:color="auto"/>
              <w:right w:val="single" w:sz="4" w:space="0" w:color="auto"/>
            </w:tcBorders>
            <w:shd w:val="clear" w:color="auto" w:fill="92D05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431.00</w:t>
            </w:r>
          </w:p>
        </w:tc>
        <w:tc>
          <w:tcPr>
            <w:tcW w:w="1500" w:type="dxa"/>
            <w:tcBorders>
              <w:top w:val="nil"/>
              <w:left w:val="nil"/>
              <w:bottom w:val="single" w:sz="4" w:space="0" w:color="auto"/>
              <w:right w:val="single" w:sz="4" w:space="0" w:color="auto"/>
            </w:tcBorders>
            <w:shd w:val="clear" w:color="auto" w:fill="92D05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366.00</w:t>
            </w:r>
          </w:p>
        </w:tc>
      </w:tr>
      <w:tr w:rsidR="00D148B1" w:rsidRPr="00BA46CD" w:rsidTr="009336FA">
        <w:trPr>
          <w:trHeight w:val="315"/>
        </w:trPr>
        <w:tc>
          <w:tcPr>
            <w:tcW w:w="2603" w:type="dxa"/>
            <w:tcBorders>
              <w:top w:val="nil"/>
              <w:left w:val="single" w:sz="4" w:space="0" w:color="auto"/>
              <w:bottom w:val="single" w:sz="4" w:space="0" w:color="auto"/>
              <w:right w:val="single" w:sz="4" w:space="0" w:color="auto"/>
            </w:tcBorders>
            <w:shd w:val="clear" w:color="auto" w:fill="92D05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P/E ratio</w:t>
            </w:r>
          </w:p>
        </w:tc>
        <w:tc>
          <w:tcPr>
            <w:tcW w:w="3736" w:type="dxa"/>
            <w:tcBorders>
              <w:top w:val="nil"/>
              <w:left w:val="nil"/>
              <w:bottom w:val="single" w:sz="4" w:space="0" w:color="auto"/>
              <w:right w:val="single" w:sz="4" w:space="0" w:color="auto"/>
            </w:tcBorders>
            <w:shd w:val="clear" w:color="auto" w:fill="92D050"/>
            <w:noWrap/>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Share Price/EPS</w:t>
            </w:r>
          </w:p>
        </w:tc>
        <w:tc>
          <w:tcPr>
            <w:tcW w:w="1500" w:type="dxa"/>
            <w:tcBorders>
              <w:top w:val="nil"/>
              <w:left w:val="nil"/>
              <w:bottom w:val="single" w:sz="4" w:space="0" w:color="auto"/>
              <w:right w:val="single" w:sz="4" w:space="0" w:color="auto"/>
            </w:tcBorders>
            <w:shd w:val="clear" w:color="auto" w:fill="92D050"/>
            <w:noWrap/>
            <w:hideMark/>
          </w:tcPr>
          <w:p w:rsidR="00D148B1" w:rsidRPr="00BA46CD" w:rsidRDefault="00D148B1"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7.11</w:t>
            </w:r>
          </w:p>
        </w:tc>
        <w:tc>
          <w:tcPr>
            <w:tcW w:w="1500" w:type="dxa"/>
            <w:tcBorders>
              <w:top w:val="nil"/>
              <w:left w:val="nil"/>
              <w:bottom w:val="single" w:sz="4" w:space="0" w:color="auto"/>
              <w:right w:val="single" w:sz="4" w:space="0" w:color="auto"/>
            </w:tcBorders>
            <w:shd w:val="clear" w:color="auto" w:fill="92D050"/>
            <w:noWrap/>
            <w:hideMark/>
          </w:tcPr>
          <w:p w:rsidR="00D148B1" w:rsidRPr="00BA46CD" w:rsidRDefault="00D148B1" w:rsidP="00D30166">
            <w:pPr>
              <w:spacing w:after="0" w:line="360" w:lineRule="auto"/>
              <w:jc w:val="both"/>
              <w:rPr>
                <w:rFonts w:ascii="Times New Roman" w:eastAsia="Times New Roman" w:hAnsi="Times New Roman" w:cs="Times New Roman"/>
                <w:b/>
                <w:bCs/>
                <w:color w:val="000000"/>
                <w:sz w:val="24"/>
                <w:szCs w:val="24"/>
              </w:rPr>
            </w:pPr>
            <w:r w:rsidRPr="00BA46CD">
              <w:rPr>
                <w:rFonts w:ascii="Times New Roman" w:eastAsia="Times New Roman" w:hAnsi="Times New Roman" w:cs="Times New Roman"/>
                <w:b/>
                <w:bCs/>
                <w:color w:val="000000"/>
                <w:sz w:val="24"/>
                <w:szCs w:val="24"/>
              </w:rPr>
              <w:t>6.56</w:t>
            </w:r>
          </w:p>
        </w:tc>
      </w:tr>
      <w:tr w:rsidR="00D148B1" w:rsidRPr="00BA46CD" w:rsidTr="009336FA">
        <w:trPr>
          <w:trHeight w:val="315"/>
        </w:trPr>
        <w:tc>
          <w:tcPr>
            <w:tcW w:w="2603" w:type="dxa"/>
            <w:tcBorders>
              <w:top w:val="nil"/>
              <w:left w:val="single" w:sz="4" w:space="0" w:color="auto"/>
              <w:bottom w:val="single" w:sz="4" w:space="0" w:color="auto"/>
              <w:right w:val="single" w:sz="4" w:space="0" w:color="auto"/>
            </w:tcBorders>
            <w:shd w:val="clear" w:color="auto" w:fill="92D05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auto" w:fill="92D050"/>
            <w:noWrap/>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Share Price</w:t>
            </w:r>
          </w:p>
        </w:tc>
        <w:tc>
          <w:tcPr>
            <w:tcW w:w="1500" w:type="dxa"/>
            <w:tcBorders>
              <w:top w:val="nil"/>
              <w:left w:val="nil"/>
              <w:bottom w:val="single" w:sz="4" w:space="0" w:color="auto"/>
              <w:right w:val="single" w:sz="4" w:space="0" w:color="auto"/>
            </w:tcBorders>
            <w:shd w:val="clear" w:color="auto" w:fill="92D05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5.12</w:t>
            </w:r>
          </w:p>
        </w:tc>
        <w:tc>
          <w:tcPr>
            <w:tcW w:w="1500" w:type="dxa"/>
            <w:tcBorders>
              <w:top w:val="nil"/>
              <w:left w:val="nil"/>
              <w:bottom w:val="single" w:sz="4" w:space="0" w:color="auto"/>
              <w:right w:val="single" w:sz="4" w:space="0" w:color="auto"/>
            </w:tcBorders>
            <w:shd w:val="clear" w:color="auto" w:fill="92D05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4.00</w:t>
            </w:r>
          </w:p>
        </w:tc>
      </w:tr>
      <w:tr w:rsidR="00D148B1" w:rsidRPr="00BA46CD" w:rsidTr="009336FA">
        <w:trPr>
          <w:trHeight w:val="315"/>
        </w:trPr>
        <w:tc>
          <w:tcPr>
            <w:tcW w:w="2603" w:type="dxa"/>
            <w:tcBorders>
              <w:top w:val="nil"/>
              <w:left w:val="single" w:sz="4" w:space="0" w:color="auto"/>
              <w:bottom w:val="single" w:sz="4" w:space="0" w:color="auto"/>
              <w:right w:val="single" w:sz="4" w:space="0" w:color="auto"/>
            </w:tcBorders>
            <w:shd w:val="clear" w:color="auto" w:fill="92D05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 </w:t>
            </w:r>
          </w:p>
        </w:tc>
        <w:tc>
          <w:tcPr>
            <w:tcW w:w="3736" w:type="dxa"/>
            <w:tcBorders>
              <w:top w:val="nil"/>
              <w:left w:val="nil"/>
              <w:bottom w:val="single" w:sz="4" w:space="0" w:color="auto"/>
              <w:right w:val="single" w:sz="4" w:space="0" w:color="auto"/>
            </w:tcBorders>
            <w:shd w:val="clear" w:color="auto" w:fill="92D050"/>
            <w:noWrap/>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EPS</w:t>
            </w:r>
          </w:p>
        </w:tc>
        <w:tc>
          <w:tcPr>
            <w:tcW w:w="1500" w:type="dxa"/>
            <w:tcBorders>
              <w:top w:val="nil"/>
              <w:left w:val="nil"/>
              <w:bottom w:val="single" w:sz="4" w:space="0" w:color="auto"/>
              <w:right w:val="single" w:sz="4" w:space="0" w:color="auto"/>
            </w:tcBorders>
            <w:shd w:val="clear" w:color="auto" w:fill="92D05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0.72</w:t>
            </w:r>
          </w:p>
        </w:tc>
        <w:tc>
          <w:tcPr>
            <w:tcW w:w="1500" w:type="dxa"/>
            <w:tcBorders>
              <w:top w:val="nil"/>
              <w:left w:val="nil"/>
              <w:bottom w:val="single" w:sz="4" w:space="0" w:color="auto"/>
              <w:right w:val="single" w:sz="4" w:space="0" w:color="auto"/>
            </w:tcBorders>
            <w:shd w:val="clear" w:color="auto" w:fill="92D050"/>
            <w:noWrap/>
            <w:vAlign w:val="bottom"/>
            <w:hideMark/>
          </w:tcPr>
          <w:p w:rsidR="00D148B1" w:rsidRPr="00BA46CD" w:rsidRDefault="00D148B1" w:rsidP="00D30166">
            <w:pPr>
              <w:spacing w:after="0" w:line="360" w:lineRule="auto"/>
              <w:jc w:val="both"/>
              <w:rPr>
                <w:rFonts w:ascii="Times New Roman" w:eastAsia="Times New Roman" w:hAnsi="Times New Roman" w:cs="Times New Roman"/>
                <w:color w:val="000000"/>
                <w:sz w:val="24"/>
                <w:szCs w:val="24"/>
              </w:rPr>
            </w:pPr>
            <w:r w:rsidRPr="00BA46CD">
              <w:rPr>
                <w:rFonts w:ascii="Times New Roman" w:eastAsia="Times New Roman" w:hAnsi="Times New Roman" w:cs="Times New Roman"/>
                <w:color w:val="000000"/>
                <w:sz w:val="24"/>
                <w:szCs w:val="24"/>
              </w:rPr>
              <w:t>0.61</w:t>
            </w:r>
          </w:p>
        </w:tc>
      </w:tr>
    </w:tbl>
    <w:p w:rsidR="00D939B3" w:rsidRPr="00BA46CD" w:rsidRDefault="00D939B3" w:rsidP="00D30166">
      <w:pPr>
        <w:spacing w:line="360" w:lineRule="auto"/>
        <w:jc w:val="both"/>
        <w:rPr>
          <w:rFonts w:ascii="Times New Roman" w:hAnsi="Times New Roman" w:cs="Times New Roman"/>
          <w:sz w:val="24"/>
          <w:szCs w:val="24"/>
        </w:rPr>
      </w:pPr>
    </w:p>
    <w:p w:rsidR="006648B8" w:rsidRPr="00BA46CD" w:rsidRDefault="006648B8" w:rsidP="006648B8">
      <w:pPr>
        <w:pStyle w:val="Heading2"/>
        <w:rPr>
          <w:rFonts w:ascii="Times New Roman" w:hAnsi="Times New Roman" w:cs="Times New Roman"/>
          <w:sz w:val="24"/>
          <w:szCs w:val="24"/>
        </w:rPr>
      </w:pPr>
      <w:bookmarkStart w:id="5" w:name="_Toc55765058"/>
      <w:r w:rsidRPr="00BA46CD">
        <w:rPr>
          <w:rFonts w:ascii="Times New Roman" w:hAnsi="Times New Roman" w:cs="Times New Roman"/>
          <w:sz w:val="24"/>
          <w:szCs w:val="24"/>
        </w:rPr>
        <w:t>Interpretation of ratios</w:t>
      </w:r>
      <w:bookmarkEnd w:id="5"/>
    </w:p>
    <w:p w:rsidR="007A1A1F" w:rsidRPr="00BA46CD" w:rsidRDefault="007A1A1F" w:rsidP="00D30166">
      <w:pPr>
        <w:spacing w:line="360" w:lineRule="auto"/>
        <w:jc w:val="both"/>
        <w:rPr>
          <w:rFonts w:ascii="Times New Roman" w:hAnsi="Times New Roman" w:cs="Times New Roman"/>
          <w:b/>
          <w:sz w:val="24"/>
          <w:szCs w:val="24"/>
        </w:rPr>
      </w:pPr>
      <w:r w:rsidRPr="00BA46CD">
        <w:rPr>
          <w:rFonts w:ascii="Times New Roman" w:hAnsi="Times New Roman" w:cs="Times New Roman"/>
          <w:b/>
          <w:sz w:val="24"/>
          <w:szCs w:val="24"/>
        </w:rPr>
        <w:t>Profitability:</w:t>
      </w:r>
    </w:p>
    <w:p w:rsidR="00BE2860" w:rsidRPr="00BA46CD" w:rsidRDefault="00BE2860" w:rsidP="00D30166">
      <w:pPr>
        <w:spacing w:line="360" w:lineRule="auto"/>
        <w:jc w:val="both"/>
        <w:rPr>
          <w:rFonts w:ascii="Times New Roman" w:hAnsi="Times New Roman" w:cs="Times New Roman"/>
          <w:sz w:val="24"/>
          <w:szCs w:val="24"/>
        </w:rPr>
      </w:pPr>
      <w:r w:rsidRPr="00BA46CD">
        <w:rPr>
          <w:rFonts w:ascii="Times New Roman" w:hAnsi="Times New Roman" w:cs="Times New Roman"/>
          <w:sz w:val="24"/>
          <w:szCs w:val="24"/>
        </w:rPr>
        <w:t xml:space="preserve">From the analysis of the ratio table, it can be stated that </w:t>
      </w:r>
      <w:r w:rsidR="00BD5AF0">
        <w:rPr>
          <w:rFonts w:ascii="Times New Roman" w:hAnsi="Times New Roman" w:cs="Times New Roman"/>
          <w:sz w:val="24"/>
          <w:szCs w:val="24"/>
        </w:rPr>
        <w:t xml:space="preserve">the </w:t>
      </w:r>
      <w:r w:rsidRPr="00BA46CD">
        <w:rPr>
          <w:rFonts w:ascii="Times New Roman" w:hAnsi="Times New Roman" w:cs="Times New Roman"/>
          <w:sz w:val="24"/>
          <w:szCs w:val="24"/>
        </w:rPr>
        <w:t xml:space="preserve">profitability of Chocco plc is </w:t>
      </w:r>
      <w:r w:rsidR="003C1D6B" w:rsidRPr="00BA46CD">
        <w:rPr>
          <w:rFonts w:ascii="Times New Roman" w:hAnsi="Times New Roman" w:cs="Times New Roman"/>
          <w:sz w:val="24"/>
          <w:szCs w:val="24"/>
        </w:rPr>
        <w:t xml:space="preserve">increasing. This can be measured </w:t>
      </w:r>
      <w:r w:rsidR="00BD5AF0">
        <w:rPr>
          <w:rFonts w:ascii="Times New Roman" w:hAnsi="Times New Roman" w:cs="Times New Roman"/>
          <w:sz w:val="24"/>
          <w:szCs w:val="24"/>
        </w:rPr>
        <w:t>based on</w:t>
      </w:r>
      <w:r w:rsidR="003C1D6B" w:rsidRPr="00BA46CD">
        <w:rPr>
          <w:rFonts w:ascii="Times New Roman" w:hAnsi="Times New Roman" w:cs="Times New Roman"/>
          <w:sz w:val="24"/>
          <w:szCs w:val="24"/>
        </w:rPr>
        <w:t xml:space="preserve"> net profit, gross profit</w:t>
      </w:r>
      <w:r w:rsidR="00BD5AF0">
        <w:rPr>
          <w:rFonts w:ascii="Times New Roman" w:hAnsi="Times New Roman" w:cs="Times New Roman"/>
          <w:sz w:val="24"/>
          <w:szCs w:val="24"/>
        </w:rPr>
        <w:t>,</w:t>
      </w:r>
      <w:r w:rsidR="003C1D6B" w:rsidRPr="00BA46CD">
        <w:rPr>
          <w:rFonts w:ascii="Times New Roman" w:hAnsi="Times New Roman" w:cs="Times New Roman"/>
          <w:sz w:val="24"/>
          <w:szCs w:val="24"/>
        </w:rPr>
        <w:t xml:space="preserve"> and ROCE. </w:t>
      </w:r>
      <w:r w:rsidR="00BD5AF0">
        <w:rPr>
          <w:rFonts w:ascii="Times New Roman" w:hAnsi="Times New Roman" w:cs="Times New Roman"/>
          <w:sz w:val="24"/>
          <w:szCs w:val="24"/>
        </w:rPr>
        <w:t>The o</w:t>
      </w:r>
      <w:r w:rsidR="003C1D6B" w:rsidRPr="00BA46CD">
        <w:rPr>
          <w:rFonts w:ascii="Times New Roman" w:hAnsi="Times New Roman" w:cs="Times New Roman"/>
          <w:sz w:val="24"/>
          <w:szCs w:val="24"/>
        </w:rPr>
        <w:t xml:space="preserve">verall profitability of Chocco Plc is quite effective and has swelled up in 2019. </w:t>
      </w:r>
      <w:r w:rsidR="0072729D" w:rsidRPr="00BA46CD">
        <w:rPr>
          <w:rFonts w:ascii="Times New Roman" w:hAnsi="Times New Roman" w:cs="Times New Roman"/>
          <w:sz w:val="24"/>
          <w:szCs w:val="24"/>
        </w:rPr>
        <w:t xml:space="preserve">This is the indicating the ability of the organization to produce </w:t>
      </w:r>
      <w:r w:rsidR="00BD5AF0">
        <w:rPr>
          <w:rFonts w:ascii="Times New Roman" w:hAnsi="Times New Roman" w:cs="Times New Roman"/>
          <w:sz w:val="24"/>
          <w:szCs w:val="24"/>
        </w:rPr>
        <w:t xml:space="preserve">a </w:t>
      </w:r>
      <w:r w:rsidR="0072729D" w:rsidRPr="00BA46CD">
        <w:rPr>
          <w:rFonts w:ascii="Times New Roman" w:hAnsi="Times New Roman" w:cs="Times New Roman"/>
          <w:sz w:val="24"/>
          <w:szCs w:val="24"/>
        </w:rPr>
        <w:t>good amount of profit and income so that the wealth of the owner of the company can be improved</w:t>
      </w:r>
      <w:r w:rsidR="00DC5559" w:rsidRPr="00BA46CD">
        <w:rPr>
          <w:rFonts w:ascii="Times New Roman" w:hAnsi="Times New Roman" w:cs="Times New Roman"/>
          <w:sz w:val="24"/>
          <w:szCs w:val="24"/>
        </w:rPr>
        <w:t xml:space="preserve"> (Robinson et al., 2015)</w:t>
      </w:r>
      <w:r w:rsidR="0072729D" w:rsidRPr="00BA46CD">
        <w:rPr>
          <w:rFonts w:ascii="Times New Roman" w:hAnsi="Times New Roman" w:cs="Times New Roman"/>
          <w:sz w:val="24"/>
          <w:szCs w:val="24"/>
        </w:rPr>
        <w:t xml:space="preserve">. </w:t>
      </w:r>
    </w:p>
    <w:p w:rsidR="000F446B" w:rsidRPr="00BA46CD" w:rsidRDefault="000F446B" w:rsidP="00D30166">
      <w:pPr>
        <w:spacing w:line="360" w:lineRule="auto"/>
        <w:jc w:val="both"/>
        <w:rPr>
          <w:rFonts w:ascii="Times New Roman" w:hAnsi="Times New Roman" w:cs="Times New Roman"/>
          <w:sz w:val="24"/>
          <w:szCs w:val="24"/>
        </w:rPr>
      </w:pPr>
      <w:r w:rsidRPr="00BA46CD">
        <w:rPr>
          <w:rFonts w:ascii="Times New Roman" w:hAnsi="Times New Roman" w:cs="Times New Roman"/>
          <w:sz w:val="24"/>
          <w:szCs w:val="24"/>
        </w:rPr>
        <w:lastRenderedPageBreak/>
        <w:t xml:space="preserve">Net profit to Chocco plc in 2019 is 6.40% but it was just 5.83% only in 2018. The situation identified and profit growth ascertained is showing the efficacy of Chocco plc to reduce the operating expenses and grow the sales of the products in the market to attain the objective of growth in the profit. </w:t>
      </w:r>
    </w:p>
    <w:p w:rsidR="004B53D4" w:rsidRPr="00BA46CD" w:rsidRDefault="0028018D" w:rsidP="00D30166">
      <w:pPr>
        <w:spacing w:line="360" w:lineRule="auto"/>
        <w:jc w:val="both"/>
        <w:rPr>
          <w:rFonts w:ascii="Times New Roman" w:hAnsi="Times New Roman" w:cs="Times New Roman"/>
          <w:sz w:val="24"/>
          <w:szCs w:val="24"/>
        </w:rPr>
      </w:pPr>
      <w:r w:rsidRPr="00BA46CD">
        <w:rPr>
          <w:rFonts w:ascii="Times New Roman" w:hAnsi="Times New Roman" w:cs="Times New Roman"/>
          <w:sz w:val="24"/>
          <w:szCs w:val="24"/>
        </w:rPr>
        <w:t>Similarly, gross profit is showing slight growth but is not significant. It has gone to 51.99% in 2019 that was 51.93% in lasts year.</w:t>
      </w:r>
      <w:r w:rsidR="00E90C6A" w:rsidRPr="00BA46CD">
        <w:rPr>
          <w:rFonts w:ascii="Times New Roman" w:hAnsi="Times New Roman" w:cs="Times New Roman"/>
          <w:sz w:val="24"/>
          <w:szCs w:val="24"/>
        </w:rPr>
        <w:t xml:space="preserve"> Here, the cost of sales is higher and fluctuation in the cost of material and labor has influenced the gross profit of </w:t>
      </w:r>
      <w:r w:rsidR="00BD5AF0">
        <w:rPr>
          <w:rFonts w:ascii="Times New Roman" w:hAnsi="Times New Roman" w:cs="Times New Roman"/>
          <w:sz w:val="24"/>
          <w:szCs w:val="24"/>
        </w:rPr>
        <w:t xml:space="preserve">the </w:t>
      </w:r>
      <w:r w:rsidR="00E90C6A" w:rsidRPr="00BA46CD">
        <w:rPr>
          <w:rFonts w:ascii="Times New Roman" w:hAnsi="Times New Roman" w:cs="Times New Roman"/>
          <w:sz w:val="24"/>
          <w:szCs w:val="24"/>
        </w:rPr>
        <w:t>entity</w:t>
      </w:r>
      <w:r w:rsidR="00DC5559" w:rsidRPr="00BA46CD">
        <w:rPr>
          <w:rFonts w:ascii="Times New Roman" w:hAnsi="Times New Roman" w:cs="Times New Roman"/>
          <w:sz w:val="24"/>
          <w:szCs w:val="24"/>
        </w:rPr>
        <w:t xml:space="preserve"> (Robinson et al., 2015)</w:t>
      </w:r>
      <w:r w:rsidR="00E90C6A" w:rsidRPr="00BA46CD">
        <w:rPr>
          <w:rFonts w:ascii="Times New Roman" w:hAnsi="Times New Roman" w:cs="Times New Roman"/>
          <w:sz w:val="24"/>
          <w:szCs w:val="24"/>
        </w:rPr>
        <w:t>. Here, Chocco plc needs to take action and adopt strategies to control the soaring cost of labor and material to inflate the profit</w:t>
      </w:r>
      <w:r w:rsidR="00DC5559" w:rsidRPr="00BA46CD">
        <w:rPr>
          <w:rFonts w:ascii="Times New Roman" w:hAnsi="Times New Roman" w:cs="Times New Roman"/>
          <w:sz w:val="24"/>
          <w:szCs w:val="24"/>
        </w:rPr>
        <w:t xml:space="preserve"> (</w:t>
      </w:r>
      <w:hyperlink r:id="rId9" w:history="1">
        <w:r w:rsidR="00DC5559" w:rsidRPr="00BA46CD">
          <w:rPr>
            <w:rStyle w:val="Hyperlink"/>
            <w:rFonts w:ascii="Times New Roman" w:hAnsi="Times New Roman" w:cs="Times New Roman"/>
            <w:color w:val="FFFFFF" w:themeColor="text1" w:themeTint="D9"/>
            <w:sz w:val="24"/>
            <w:szCs w:val="24"/>
            <w:u w:val="none"/>
            <w:shd w:val="clear" w:color="auto" w:fill="FFFFFF"/>
          </w:rPr>
          <w:t>Brigham</w:t>
        </w:r>
      </w:hyperlink>
      <w:r w:rsidR="00DC5559" w:rsidRPr="00BA46CD">
        <w:rPr>
          <w:rFonts w:ascii="Times New Roman" w:hAnsi="Times New Roman" w:cs="Times New Roman"/>
          <w:color w:val="FFFFFF" w:themeColor="text1" w:themeTint="D9"/>
          <w:sz w:val="24"/>
          <w:szCs w:val="24"/>
          <w:shd w:val="clear" w:color="auto" w:fill="FFFFFF"/>
        </w:rPr>
        <w:t xml:space="preserve"> </w:t>
      </w:r>
      <w:r w:rsidR="00DC5559" w:rsidRPr="00BA46CD">
        <w:rPr>
          <w:rFonts w:ascii="Times New Roman" w:hAnsi="Times New Roman" w:cs="Times New Roman"/>
          <w:noProof/>
          <w:color w:val="FFFFFF" w:themeColor="text1" w:themeTint="D9"/>
          <w:sz w:val="24"/>
          <w:szCs w:val="24"/>
          <w:shd w:val="clear" w:color="auto" w:fill="FFFFFF"/>
        </w:rPr>
        <w:t>and</w:t>
      </w:r>
      <w:r w:rsidR="00DC5559" w:rsidRPr="00BA46CD">
        <w:rPr>
          <w:rStyle w:val="apple-converted-space"/>
          <w:rFonts w:ascii="Times New Roman" w:hAnsi="Times New Roman" w:cs="Times New Roman"/>
          <w:color w:val="FFFFFF" w:themeColor="text1" w:themeTint="D9"/>
          <w:sz w:val="24"/>
          <w:szCs w:val="24"/>
          <w:shd w:val="clear" w:color="auto" w:fill="FFFFFF"/>
        </w:rPr>
        <w:t> </w:t>
      </w:r>
      <w:hyperlink r:id="rId10" w:history="1">
        <w:r w:rsidR="00DC5559" w:rsidRPr="00BA46CD">
          <w:rPr>
            <w:rStyle w:val="Hyperlink"/>
            <w:rFonts w:ascii="Times New Roman" w:hAnsi="Times New Roman" w:cs="Times New Roman"/>
            <w:color w:val="FFFFFF" w:themeColor="text1" w:themeTint="D9"/>
            <w:sz w:val="24"/>
            <w:szCs w:val="24"/>
            <w:u w:val="none"/>
            <w:shd w:val="clear" w:color="auto" w:fill="FFFFFF"/>
          </w:rPr>
          <w:t xml:space="preserve"> Daves</w:t>
        </w:r>
      </w:hyperlink>
      <w:r w:rsidR="00DC5559" w:rsidRPr="00BA46CD">
        <w:rPr>
          <w:rFonts w:ascii="Times New Roman" w:hAnsi="Times New Roman" w:cs="Times New Roman"/>
          <w:color w:val="FFFFFF" w:themeColor="text1" w:themeTint="D9"/>
          <w:sz w:val="24"/>
          <w:szCs w:val="24"/>
        </w:rPr>
        <w:t>, 2012)</w:t>
      </w:r>
      <w:r w:rsidR="00E90C6A" w:rsidRPr="00BA46CD">
        <w:rPr>
          <w:rFonts w:ascii="Times New Roman" w:hAnsi="Times New Roman" w:cs="Times New Roman"/>
          <w:sz w:val="24"/>
          <w:szCs w:val="24"/>
        </w:rPr>
        <w:t xml:space="preserve">. </w:t>
      </w:r>
    </w:p>
    <w:p w:rsidR="007A1A1F" w:rsidRPr="00BA46CD" w:rsidRDefault="007A1A1F" w:rsidP="00D30166">
      <w:pPr>
        <w:spacing w:line="360" w:lineRule="auto"/>
        <w:jc w:val="both"/>
        <w:rPr>
          <w:rFonts w:ascii="Times New Roman" w:hAnsi="Times New Roman" w:cs="Times New Roman"/>
          <w:b/>
          <w:sz w:val="24"/>
          <w:szCs w:val="24"/>
        </w:rPr>
      </w:pPr>
      <w:r w:rsidRPr="00BA46CD">
        <w:rPr>
          <w:rFonts w:ascii="Times New Roman" w:hAnsi="Times New Roman" w:cs="Times New Roman"/>
          <w:b/>
          <w:sz w:val="24"/>
          <w:szCs w:val="24"/>
        </w:rPr>
        <w:t>Efficiency</w:t>
      </w:r>
      <w:r w:rsidR="003C1D6B" w:rsidRPr="00BA46CD">
        <w:rPr>
          <w:rFonts w:ascii="Times New Roman" w:hAnsi="Times New Roman" w:cs="Times New Roman"/>
          <w:b/>
          <w:sz w:val="24"/>
          <w:szCs w:val="24"/>
        </w:rPr>
        <w:t xml:space="preserve"> and management effectiveness</w:t>
      </w:r>
      <w:r w:rsidRPr="00BA46CD">
        <w:rPr>
          <w:rFonts w:ascii="Times New Roman" w:hAnsi="Times New Roman" w:cs="Times New Roman"/>
          <w:b/>
          <w:sz w:val="24"/>
          <w:szCs w:val="24"/>
        </w:rPr>
        <w:t>:</w:t>
      </w:r>
    </w:p>
    <w:p w:rsidR="003D2F10" w:rsidRPr="00BA46CD" w:rsidRDefault="003D2F10" w:rsidP="00D30166">
      <w:pPr>
        <w:spacing w:line="360" w:lineRule="auto"/>
        <w:jc w:val="both"/>
        <w:rPr>
          <w:rFonts w:ascii="Times New Roman" w:hAnsi="Times New Roman" w:cs="Times New Roman"/>
          <w:sz w:val="24"/>
          <w:szCs w:val="24"/>
        </w:rPr>
      </w:pPr>
      <w:r w:rsidRPr="00BA46CD">
        <w:rPr>
          <w:rFonts w:ascii="Times New Roman" w:hAnsi="Times New Roman" w:cs="Times New Roman"/>
          <w:sz w:val="24"/>
          <w:szCs w:val="24"/>
        </w:rPr>
        <w:t xml:space="preserve">ROCE of Chocco Plc is showing this company </w:t>
      </w:r>
      <w:r w:rsidR="00BD5AF0">
        <w:rPr>
          <w:rFonts w:ascii="Times New Roman" w:hAnsi="Times New Roman" w:cs="Times New Roman"/>
          <w:sz w:val="24"/>
          <w:szCs w:val="24"/>
        </w:rPr>
        <w:t>can</w:t>
      </w:r>
      <w:r w:rsidRPr="00BA46CD">
        <w:rPr>
          <w:rFonts w:ascii="Times New Roman" w:hAnsi="Times New Roman" w:cs="Times New Roman"/>
          <w:sz w:val="24"/>
          <w:szCs w:val="24"/>
        </w:rPr>
        <w:t xml:space="preserve"> </w:t>
      </w:r>
      <w:r w:rsidR="00BD5AF0">
        <w:rPr>
          <w:rFonts w:ascii="Times New Roman" w:hAnsi="Times New Roman" w:cs="Times New Roman"/>
          <w:sz w:val="24"/>
          <w:szCs w:val="24"/>
        </w:rPr>
        <w:t>inves</w:t>
      </w:r>
      <w:r w:rsidRPr="00BA46CD">
        <w:rPr>
          <w:rFonts w:ascii="Times New Roman" w:hAnsi="Times New Roman" w:cs="Times New Roman"/>
          <w:sz w:val="24"/>
          <w:szCs w:val="24"/>
        </w:rPr>
        <w:t xml:space="preserve">t in effective and productive activities and projects to raise the value and increase the income. Hence, the ROCE for Chocco Plc is 0.044 in 2019 whereas it was only 0.36 in 2018. Chocco Plc is quite efficient </w:t>
      </w:r>
      <w:r w:rsidR="00BD5AF0">
        <w:rPr>
          <w:rFonts w:ascii="Times New Roman" w:hAnsi="Times New Roman" w:cs="Times New Roman"/>
          <w:sz w:val="24"/>
          <w:szCs w:val="24"/>
        </w:rPr>
        <w:t>in</w:t>
      </w:r>
      <w:r w:rsidRPr="00BA46CD">
        <w:rPr>
          <w:rFonts w:ascii="Times New Roman" w:hAnsi="Times New Roman" w:cs="Times New Roman"/>
          <w:sz w:val="24"/>
          <w:szCs w:val="24"/>
        </w:rPr>
        <w:t xml:space="preserve"> making good investment decision</w:t>
      </w:r>
      <w:r w:rsidR="00BD5AF0">
        <w:rPr>
          <w:rFonts w:ascii="Times New Roman" w:hAnsi="Times New Roman" w:cs="Times New Roman"/>
          <w:sz w:val="24"/>
          <w:szCs w:val="24"/>
        </w:rPr>
        <w:t>s</w:t>
      </w:r>
      <w:r w:rsidRPr="00BA46CD">
        <w:rPr>
          <w:rFonts w:ascii="Times New Roman" w:hAnsi="Times New Roman" w:cs="Times New Roman"/>
          <w:sz w:val="24"/>
          <w:szCs w:val="24"/>
        </w:rPr>
        <w:t xml:space="preserve"> to improve income</w:t>
      </w:r>
      <w:r w:rsidR="00D30166" w:rsidRPr="00BA46CD">
        <w:rPr>
          <w:rFonts w:ascii="Times New Roman" w:hAnsi="Times New Roman" w:cs="Times New Roman"/>
          <w:sz w:val="24"/>
          <w:szCs w:val="24"/>
        </w:rPr>
        <w:t xml:space="preserve"> (</w:t>
      </w:r>
      <w:hyperlink r:id="rId11" w:history="1">
        <w:r w:rsidR="00D30166" w:rsidRPr="00BA46CD">
          <w:rPr>
            <w:rStyle w:val="Hyperlink"/>
            <w:rFonts w:ascii="Times New Roman" w:hAnsi="Times New Roman" w:cs="Times New Roman"/>
            <w:color w:val="FFFFFF" w:themeColor="text1"/>
            <w:sz w:val="24"/>
            <w:szCs w:val="24"/>
            <w:u w:val="none"/>
          </w:rPr>
          <w:t>Warren</w:t>
        </w:r>
      </w:hyperlink>
      <w:r w:rsidR="00D30166" w:rsidRPr="00BA46CD">
        <w:rPr>
          <w:rFonts w:ascii="Times New Roman" w:hAnsi="Times New Roman" w:cs="Times New Roman"/>
          <w:sz w:val="24"/>
          <w:szCs w:val="24"/>
        </w:rPr>
        <w:t xml:space="preserve"> et al., 2011)</w:t>
      </w:r>
      <w:r w:rsidRPr="00BA46CD">
        <w:rPr>
          <w:rFonts w:ascii="Times New Roman" w:hAnsi="Times New Roman" w:cs="Times New Roman"/>
          <w:sz w:val="24"/>
          <w:szCs w:val="24"/>
        </w:rPr>
        <w:t xml:space="preserve">. </w:t>
      </w:r>
    </w:p>
    <w:p w:rsidR="00D45AAC" w:rsidRPr="00BA46CD" w:rsidRDefault="00D45AAC" w:rsidP="00D30166">
      <w:pPr>
        <w:spacing w:line="360" w:lineRule="auto"/>
        <w:jc w:val="both"/>
        <w:rPr>
          <w:rFonts w:ascii="Times New Roman" w:hAnsi="Times New Roman" w:cs="Times New Roman"/>
          <w:sz w:val="24"/>
          <w:szCs w:val="24"/>
        </w:rPr>
      </w:pPr>
      <w:r w:rsidRPr="00BA46CD">
        <w:rPr>
          <w:rFonts w:ascii="Times New Roman" w:hAnsi="Times New Roman" w:cs="Times New Roman"/>
          <w:sz w:val="24"/>
          <w:szCs w:val="24"/>
        </w:rPr>
        <w:t xml:space="preserve">The turnover on the assets of Chocco Plc is extended to 0.692 in 2019 which was about 0.639 in </w:t>
      </w:r>
      <w:r w:rsidR="00BD5AF0">
        <w:rPr>
          <w:rFonts w:ascii="Times New Roman" w:hAnsi="Times New Roman" w:cs="Times New Roman"/>
          <w:sz w:val="24"/>
          <w:szCs w:val="24"/>
        </w:rPr>
        <w:t xml:space="preserve">the </w:t>
      </w:r>
      <w:r w:rsidRPr="00BA46CD">
        <w:rPr>
          <w:rFonts w:ascii="Times New Roman" w:hAnsi="Times New Roman" w:cs="Times New Roman"/>
          <w:sz w:val="24"/>
          <w:szCs w:val="24"/>
        </w:rPr>
        <w:t xml:space="preserve">preceding year. It is depicting the ability of the enterprise to use the assets and </w:t>
      </w:r>
      <w:r w:rsidR="00BD5AF0">
        <w:rPr>
          <w:rFonts w:ascii="Times New Roman" w:hAnsi="Times New Roman" w:cs="Times New Roman"/>
          <w:sz w:val="24"/>
          <w:szCs w:val="24"/>
        </w:rPr>
        <w:t>effectively manage the assets</w:t>
      </w:r>
      <w:r w:rsidRPr="00BA46CD">
        <w:rPr>
          <w:rFonts w:ascii="Times New Roman" w:hAnsi="Times New Roman" w:cs="Times New Roman"/>
          <w:sz w:val="24"/>
          <w:szCs w:val="24"/>
        </w:rPr>
        <w:t xml:space="preserve"> to create </w:t>
      </w:r>
      <w:r w:rsidR="00BD5AF0">
        <w:rPr>
          <w:rFonts w:ascii="Times New Roman" w:hAnsi="Times New Roman" w:cs="Times New Roman"/>
          <w:sz w:val="24"/>
          <w:szCs w:val="24"/>
        </w:rPr>
        <w:t xml:space="preserve">a </w:t>
      </w:r>
      <w:r w:rsidRPr="00BA46CD">
        <w:rPr>
          <w:rFonts w:ascii="Times New Roman" w:hAnsi="Times New Roman" w:cs="Times New Roman"/>
          <w:sz w:val="24"/>
          <w:szCs w:val="24"/>
        </w:rPr>
        <w:t xml:space="preserve">good return on the utilization and improve the sales. Chocco Plc has good effectiveness </w:t>
      </w:r>
      <w:r w:rsidR="00953C28" w:rsidRPr="00BA46CD">
        <w:rPr>
          <w:rFonts w:ascii="Times New Roman" w:hAnsi="Times New Roman" w:cs="Times New Roman"/>
          <w:sz w:val="24"/>
          <w:szCs w:val="24"/>
        </w:rPr>
        <w:t xml:space="preserve">in managing the assets for their use to attain the goals of </w:t>
      </w:r>
      <w:r w:rsidR="00BD5AF0">
        <w:rPr>
          <w:rFonts w:ascii="Times New Roman" w:hAnsi="Times New Roman" w:cs="Times New Roman"/>
          <w:sz w:val="24"/>
          <w:szCs w:val="24"/>
        </w:rPr>
        <w:t>profit growth</w:t>
      </w:r>
      <w:r w:rsidR="00D30166" w:rsidRPr="00BA46CD">
        <w:rPr>
          <w:rFonts w:ascii="Times New Roman" w:hAnsi="Times New Roman" w:cs="Times New Roman"/>
          <w:sz w:val="24"/>
          <w:szCs w:val="24"/>
        </w:rPr>
        <w:t xml:space="preserve"> (</w:t>
      </w:r>
      <w:r w:rsidR="00D30166" w:rsidRPr="00BA46CD">
        <w:rPr>
          <w:rFonts w:ascii="Times New Roman" w:hAnsi="Times New Roman" w:cs="Times New Roman"/>
          <w:color w:val="000000"/>
          <w:sz w:val="24"/>
          <w:szCs w:val="24"/>
        </w:rPr>
        <w:t>Martin and Alvarez, 2011)</w:t>
      </w:r>
      <w:r w:rsidR="00953C28" w:rsidRPr="00BA46CD">
        <w:rPr>
          <w:rFonts w:ascii="Times New Roman" w:hAnsi="Times New Roman" w:cs="Times New Roman"/>
          <w:sz w:val="24"/>
          <w:szCs w:val="24"/>
        </w:rPr>
        <w:t xml:space="preserve">. </w:t>
      </w:r>
    </w:p>
    <w:p w:rsidR="00D45AAC" w:rsidRPr="00BA46CD" w:rsidRDefault="00311EEF" w:rsidP="00D30166">
      <w:pPr>
        <w:spacing w:line="360" w:lineRule="auto"/>
        <w:jc w:val="both"/>
        <w:rPr>
          <w:rFonts w:ascii="Times New Roman" w:hAnsi="Times New Roman" w:cs="Times New Roman"/>
          <w:sz w:val="24"/>
          <w:szCs w:val="24"/>
        </w:rPr>
      </w:pPr>
      <w:r w:rsidRPr="00BA46CD">
        <w:rPr>
          <w:rFonts w:ascii="Times New Roman" w:hAnsi="Times New Roman" w:cs="Times New Roman"/>
          <w:sz w:val="24"/>
          <w:szCs w:val="24"/>
        </w:rPr>
        <w:t xml:space="preserve">Inventory turnover in Chocco Plc has increased that is indicating the lesser efficiency in the management of the stock and using the stocks because </w:t>
      </w:r>
      <w:r w:rsidR="00BD5AF0">
        <w:rPr>
          <w:rFonts w:ascii="Times New Roman" w:hAnsi="Times New Roman" w:cs="Times New Roman"/>
          <w:sz w:val="24"/>
          <w:szCs w:val="24"/>
        </w:rPr>
        <w:t xml:space="preserve">a </w:t>
      </w:r>
      <w:r w:rsidRPr="00BA46CD">
        <w:rPr>
          <w:rFonts w:ascii="Times New Roman" w:hAnsi="Times New Roman" w:cs="Times New Roman"/>
          <w:sz w:val="24"/>
          <w:szCs w:val="24"/>
        </w:rPr>
        <w:t xml:space="preserve">higher inventory turnover period is stating </w:t>
      </w:r>
      <w:r w:rsidR="00BD5AF0">
        <w:rPr>
          <w:rFonts w:ascii="Times New Roman" w:hAnsi="Times New Roman" w:cs="Times New Roman"/>
          <w:sz w:val="24"/>
          <w:szCs w:val="24"/>
        </w:rPr>
        <w:t xml:space="preserve">a </w:t>
      </w:r>
      <w:r w:rsidRPr="00BA46CD">
        <w:rPr>
          <w:rFonts w:ascii="Times New Roman" w:hAnsi="Times New Roman" w:cs="Times New Roman"/>
          <w:sz w:val="24"/>
          <w:szCs w:val="24"/>
        </w:rPr>
        <w:t>lesser frequency of filling the stocks</w:t>
      </w:r>
      <w:r w:rsidR="00D30166" w:rsidRPr="00BA46CD">
        <w:rPr>
          <w:rFonts w:ascii="Times New Roman" w:hAnsi="Times New Roman" w:cs="Times New Roman"/>
          <w:sz w:val="24"/>
          <w:szCs w:val="24"/>
        </w:rPr>
        <w:t xml:space="preserve"> (</w:t>
      </w:r>
      <w:r w:rsidR="00D30166" w:rsidRPr="00BA46CD">
        <w:rPr>
          <w:rFonts w:ascii="Times New Roman" w:hAnsi="Times New Roman" w:cs="Times New Roman"/>
          <w:color w:val="222222"/>
          <w:sz w:val="24"/>
          <w:szCs w:val="24"/>
          <w:shd w:val="clear" w:color="auto" w:fill="FFFFFF"/>
        </w:rPr>
        <w:t>Brigham and Houston, 2012)</w:t>
      </w:r>
      <w:r w:rsidRPr="00BA46CD">
        <w:rPr>
          <w:rFonts w:ascii="Times New Roman" w:hAnsi="Times New Roman" w:cs="Times New Roman"/>
          <w:sz w:val="24"/>
          <w:szCs w:val="24"/>
        </w:rPr>
        <w:t>.</w:t>
      </w:r>
      <w:r w:rsidR="00CF33F9" w:rsidRPr="00BA46CD">
        <w:rPr>
          <w:rFonts w:ascii="Times New Roman" w:hAnsi="Times New Roman" w:cs="Times New Roman"/>
          <w:sz w:val="24"/>
          <w:szCs w:val="24"/>
        </w:rPr>
        <w:t xml:space="preserve"> The period for </w:t>
      </w:r>
      <w:r w:rsidR="00BD5AF0">
        <w:rPr>
          <w:rFonts w:ascii="Times New Roman" w:hAnsi="Times New Roman" w:cs="Times New Roman"/>
          <w:sz w:val="24"/>
          <w:szCs w:val="24"/>
        </w:rPr>
        <w:t xml:space="preserve">a </w:t>
      </w:r>
      <w:r w:rsidR="00CF33F9" w:rsidRPr="00BA46CD">
        <w:rPr>
          <w:rFonts w:ascii="Times New Roman" w:hAnsi="Times New Roman" w:cs="Times New Roman"/>
          <w:sz w:val="24"/>
          <w:szCs w:val="24"/>
        </w:rPr>
        <w:t xml:space="preserve">stock is 79.88 days in 2019 but this period was 77.69 days in 2018. </w:t>
      </w:r>
      <w:r w:rsidR="000373D0" w:rsidRPr="00BA46CD">
        <w:rPr>
          <w:rFonts w:ascii="Times New Roman" w:hAnsi="Times New Roman" w:cs="Times New Roman"/>
          <w:sz w:val="24"/>
          <w:szCs w:val="24"/>
        </w:rPr>
        <w:t xml:space="preserve">It makes the cash blocked for </w:t>
      </w:r>
      <w:r w:rsidR="00BD5AF0">
        <w:rPr>
          <w:rFonts w:ascii="Times New Roman" w:hAnsi="Times New Roman" w:cs="Times New Roman"/>
          <w:sz w:val="24"/>
          <w:szCs w:val="24"/>
        </w:rPr>
        <w:t xml:space="preserve">a </w:t>
      </w:r>
      <w:r w:rsidR="000373D0" w:rsidRPr="00BA46CD">
        <w:rPr>
          <w:rFonts w:ascii="Times New Roman" w:hAnsi="Times New Roman" w:cs="Times New Roman"/>
          <w:sz w:val="24"/>
          <w:szCs w:val="24"/>
        </w:rPr>
        <w:t xml:space="preserve">long time that indicates </w:t>
      </w:r>
      <w:r w:rsidR="00BD5AF0">
        <w:rPr>
          <w:rFonts w:ascii="Times New Roman" w:hAnsi="Times New Roman" w:cs="Times New Roman"/>
          <w:sz w:val="24"/>
          <w:szCs w:val="24"/>
        </w:rPr>
        <w:t xml:space="preserve">the </w:t>
      </w:r>
      <w:r w:rsidR="000373D0" w:rsidRPr="00BA46CD">
        <w:rPr>
          <w:rFonts w:ascii="Times New Roman" w:hAnsi="Times New Roman" w:cs="Times New Roman"/>
          <w:sz w:val="24"/>
          <w:szCs w:val="24"/>
        </w:rPr>
        <w:t xml:space="preserve">ineffectiveness of the management in </w:t>
      </w:r>
      <w:r w:rsidR="00BD5AF0">
        <w:rPr>
          <w:rFonts w:ascii="Times New Roman" w:hAnsi="Times New Roman" w:cs="Times New Roman"/>
          <w:sz w:val="24"/>
          <w:szCs w:val="24"/>
        </w:rPr>
        <w:t xml:space="preserve">the </w:t>
      </w:r>
      <w:r w:rsidR="000373D0" w:rsidRPr="00BA46CD">
        <w:rPr>
          <w:rFonts w:ascii="Times New Roman" w:hAnsi="Times New Roman" w:cs="Times New Roman"/>
          <w:sz w:val="24"/>
          <w:szCs w:val="24"/>
        </w:rPr>
        <w:t>utilization of the assets and management of the inventory.</w:t>
      </w:r>
    </w:p>
    <w:p w:rsidR="003D2F10" w:rsidRPr="00BA46CD" w:rsidRDefault="00D30166" w:rsidP="00D30166">
      <w:pPr>
        <w:spacing w:line="360" w:lineRule="auto"/>
        <w:jc w:val="both"/>
        <w:rPr>
          <w:rFonts w:ascii="Times New Roman" w:hAnsi="Times New Roman" w:cs="Times New Roman"/>
          <w:sz w:val="24"/>
          <w:szCs w:val="24"/>
        </w:rPr>
      </w:pPr>
      <w:r w:rsidRPr="00BA46CD">
        <w:rPr>
          <w:rFonts w:ascii="Times New Roman" w:hAnsi="Times New Roman" w:cs="Times New Roman"/>
          <w:sz w:val="24"/>
          <w:szCs w:val="24"/>
        </w:rPr>
        <w:t xml:space="preserve">At the same time, </w:t>
      </w:r>
      <w:r w:rsidR="00BD5AF0">
        <w:rPr>
          <w:rFonts w:ascii="Times New Roman" w:hAnsi="Times New Roman" w:cs="Times New Roman"/>
          <w:sz w:val="24"/>
          <w:szCs w:val="24"/>
        </w:rPr>
        <w:t xml:space="preserve">the </w:t>
      </w:r>
      <w:r w:rsidRPr="00BA46CD">
        <w:rPr>
          <w:rFonts w:ascii="Times New Roman" w:hAnsi="Times New Roman" w:cs="Times New Roman"/>
          <w:sz w:val="24"/>
          <w:szCs w:val="24"/>
        </w:rPr>
        <w:t xml:space="preserve">period for debtors has been down by 67.65 days from 72.93 days. It is depicting the efficiency of the credit policy of Chocco Plc to recover money from the consumer </w:t>
      </w:r>
      <w:r w:rsidRPr="00BA46CD">
        <w:rPr>
          <w:rFonts w:ascii="Times New Roman" w:hAnsi="Times New Roman" w:cs="Times New Roman"/>
          <w:sz w:val="24"/>
          <w:szCs w:val="24"/>
        </w:rPr>
        <w:lastRenderedPageBreak/>
        <w:t>frequently that enhances the position of the company. It contributes to increas</w:t>
      </w:r>
      <w:r w:rsidR="00BD5AF0">
        <w:rPr>
          <w:rFonts w:ascii="Times New Roman" w:hAnsi="Times New Roman" w:cs="Times New Roman"/>
          <w:sz w:val="24"/>
          <w:szCs w:val="24"/>
        </w:rPr>
        <w:t>ing</w:t>
      </w:r>
      <w:r w:rsidRPr="00BA46CD">
        <w:rPr>
          <w:rFonts w:ascii="Times New Roman" w:hAnsi="Times New Roman" w:cs="Times New Roman"/>
          <w:sz w:val="24"/>
          <w:szCs w:val="24"/>
        </w:rPr>
        <w:t xml:space="preserve"> the cash in the company as consumers pay off their money</w:t>
      </w:r>
      <w:r w:rsidR="00D1236C" w:rsidRPr="00BA46CD">
        <w:rPr>
          <w:rFonts w:ascii="Times New Roman" w:hAnsi="Times New Roman" w:cs="Times New Roman"/>
          <w:sz w:val="24"/>
          <w:szCs w:val="24"/>
        </w:rPr>
        <w:t xml:space="preserve"> (Weil et al., 2013)</w:t>
      </w:r>
      <w:r w:rsidRPr="00BA46CD">
        <w:rPr>
          <w:rFonts w:ascii="Times New Roman" w:hAnsi="Times New Roman" w:cs="Times New Roman"/>
          <w:sz w:val="24"/>
          <w:szCs w:val="24"/>
        </w:rPr>
        <w:t xml:space="preserve">. </w:t>
      </w:r>
    </w:p>
    <w:p w:rsidR="007A1A1F" w:rsidRPr="00BA46CD" w:rsidRDefault="007A1A1F" w:rsidP="00D30166">
      <w:pPr>
        <w:spacing w:line="360" w:lineRule="auto"/>
        <w:jc w:val="both"/>
        <w:rPr>
          <w:rFonts w:ascii="Times New Roman" w:hAnsi="Times New Roman" w:cs="Times New Roman"/>
          <w:b/>
          <w:sz w:val="24"/>
          <w:szCs w:val="24"/>
        </w:rPr>
      </w:pPr>
      <w:r w:rsidRPr="00BA46CD">
        <w:rPr>
          <w:rFonts w:ascii="Times New Roman" w:hAnsi="Times New Roman" w:cs="Times New Roman"/>
          <w:b/>
          <w:sz w:val="24"/>
          <w:szCs w:val="24"/>
        </w:rPr>
        <w:t>Liquidity:</w:t>
      </w:r>
    </w:p>
    <w:p w:rsidR="00D30166" w:rsidRPr="00BA46CD" w:rsidRDefault="00D30166" w:rsidP="00D30166">
      <w:pPr>
        <w:spacing w:line="360" w:lineRule="auto"/>
        <w:jc w:val="both"/>
        <w:rPr>
          <w:rFonts w:ascii="Times New Roman" w:hAnsi="Times New Roman" w:cs="Times New Roman"/>
          <w:sz w:val="24"/>
          <w:szCs w:val="24"/>
        </w:rPr>
      </w:pPr>
      <w:r w:rsidRPr="00BA46CD">
        <w:rPr>
          <w:rFonts w:ascii="Times New Roman" w:hAnsi="Times New Roman" w:cs="Times New Roman"/>
          <w:sz w:val="24"/>
          <w:szCs w:val="24"/>
        </w:rPr>
        <w:t xml:space="preserve">Liquidity experienced by Chocco Plc went high in 2019 but it was lesser in 2018. </w:t>
      </w:r>
      <w:r w:rsidR="002E16F5" w:rsidRPr="00BA46CD">
        <w:rPr>
          <w:rFonts w:ascii="Times New Roman" w:hAnsi="Times New Roman" w:cs="Times New Roman"/>
          <w:sz w:val="24"/>
          <w:szCs w:val="24"/>
        </w:rPr>
        <w:t xml:space="preserve">The liquidity refers to the ability </w:t>
      </w:r>
      <w:r w:rsidR="008375CA" w:rsidRPr="00BA46CD">
        <w:rPr>
          <w:rFonts w:ascii="Times New Roman" w:hAnsi="Times New Roman" w:cs="Times New Roman"/>
          <w:sz w:val="24"/>
          <w:szCs w:val="24"/>
        </w:rPr>
        <w:t xml:space="preserve">of an enterprise </w:t>
      </w:r>
      <w:r w:rsidR="005F73FB" w:rsidRPr="00BA46CD">
        <w:rPr>
          <w:rFonts w:ascii="Times New Roman" w:hAnsi="Times New Roman" w:cs="Times New Roman"/>
          <w:sz w:val="24"/>
          <w:szCs w:val="24"/>
        </w:rPr>
        <w:t>to settle up the short term obligations towards the creditors. The excess of the current assets over the current liabilities of an enterprise may state the liquidity whether it is good or bad</w:t>
      </w:r>
      <w:r w:rsidR="00397257" w:rsidRPr="00BA46CD">
        <w:rPr>
          <w:rFonts w:ascii="Times New Roman" w:hAnsi="Times New Roman" w:cs="Times New Roman"/>
          <w:sz w:val="24"/>
          <w:szCs w:val="24"/>
        </w:rPr>
        <w:t xml:space="preserve"> (Weetman, 2013)</w:t>
      </w:r>
      <w:r w:rsidR="005F73FB" w:rsidRPr="00BA46CD">
        <w:rPr>
          <w:rFonts w:ascii="Times New Roman" w:hAnsi="Times New Roman" w:cs="Times New Roman"/>
          <w:sz w:val="24"/>
          <w:szCs w:val="24"/>
        </w:rPr>
        <w:t xml:space="preserve">. If the current liability is over the current assets, it is not good because the company does not have good capacity. Hence, it should be above 1.0 to ensure the firm has </w:t>
      </w:r>
      <w:r w:rsidR="00BD5AF0">
        <w:rPr>
          <w:rFonts w:ascii="Times New Roman" w:hAnsi="Times New Roman" w:cs="Times New Roman"/>
          <w:sz w:val="24"/>
          <w:szCs w:val="24"/>
        </w:rPr>
        <w:t xml:space="preserve">a </w:t>
      </w:r>
      <w:r w:rsidR="005F73FB" w:rsidRPr="00BA46CD">
        <w:rPr>
          <w:rFonts w:ascii="Times New Roman" w:hAnsi="Times New Roman" w:cs="Times New Roman"/>
          <w:sz w:val="24"/>
          <w:szCs w:val="24"/>
        </w:rPr>
        <w:t xml:space="preserve">good ability to reimburse its liabilities. </w:t>
      </w:r>
      <w:r w:rsidR="00C71A92" w:rsidRPr="00BA46CD">
        <w:rPr>
          <w:rFonts w:ascii="Times New Roman" w:hAnsi="Times New Roman" w:cs="Times New Roman"/>
          <w:sz w:val="24"/>
          <w:szCs w:val="24"/>
        </w:rPr>
        <w:t xml:space="preserve">The current ratio identified for Chocco Plc was 0.77 in 2018 and it extended to 0.92 in 2019. It is depicting the progression in the </w:t>
      </w:r>
      <w:r w:rsidR="007C6EA9" w:rsidRPr="00BA46CD">
        <w:rPr>
          <w:rFonts w:ascii="Times New Roman" w:hAnsi="Times New Roman" w:cs="Times New Roman"/>
          <w:sz w:val="24"/>
          <w:szCs w:val="24"/>
        </w:rPr>
        <w:t xml:space="preserve">liquidity of Chocco Plc that may put the company in </w:t>
      </w:r>
      <w:r w:rsidR="00BD5AF0">
        <w:rPr>
          <w:rFonts w:ascii="Times New Roman" w:hAnsi="Times New Roman" w:cs="Times New Roman"/>
          <w:sz w:val="24"/>
          <w:szCs w:val="24"/>
        </w:rPr>
        <w:t xml:space="preserve">a </w:t>
      </w:r>
      <w:r w:rsidR="007C6EA9" w:rsidRPr="00BA46CD">
        <w:rPr>
          <w:rFonts w:ascii="Times New Roman" w:hAnsi="Times New Roman" w:cs="Times New Roman"/>
          <w:sz w:val="24"/>
          <w:szCs w:val="24"/>
        </w:rPr>
        <w:t xml:space="preserve">better position to reimburse its short duties and liabilities. </w:t>
      </w:r>
    </w:p>
    <w:p w:rsidR="007A1A1F" w:rsidRPr="00BA46CD" w:rsidRDefault="007A1A1F" w:rsidP="00D30166">
      <w:pPr>
        <w:spacing w:line="360" w:lineRule="auto"/>
        <w:jc w:val="both"/>
        <w:rPr>
          <w:rFonts w:ascii="Times New Roman" w:hAnsi="Times New Roman" w:cs="Times New Roman"/>
          <w:b/>
          <w:sz w:val="24"/>
          <w:szCs w:val="24"/>
        </w:rPr>
      </w:pPr>
      <w:r w:rsidRPr="00BA46CD">
        <w:rPr>
          <w:rFonts w:ascii="Times New Roman" w:hAnsi="Times New Roman" w:cs="Times New Roman"/>
          <w:b/>
          <w:sz w:val="24"/>
          <w:szCs w:val="24"/>
        </w:rPr>
        <w:t>Solvency:</w:t>
      </w:r>
    </w:p>
    <w:p w:rsidR="00D30166" w:rsidRPr="00BA46CD" w:rsidRDefault="00397257" w:rsidP="00D30166">
      <w:pPr>
        <w:spacing w:line="360" w:lineRule="auto"/>
        <w:jc w:val="both"/>
        <w:rPr>
          <w:rFonts w:ascii="Times New Roman" w:hAnsi="Times New Roman" w:cs="Times New Roman"/>
          <w:sz w:val="24"/>
          <w:szCs w:val="24"/>
        </w:rPr>
      </w:pPr>
      <w:r w:rsidRPr="00BA46CD">
        <w:rPr>
          <w:rFonts w:ascii="Times New Roman" w:hAnsi="Times New Roman" w:cs="Times New Roman"/>
          <w:sz w:val="24"/>
          <w:szCs w:val="24"/>
        </w:rPr>
        <w:t xml:space="preserve">The solvency aid to investigate </w:t>
      </w:r>
      <w:r w:rsidR="00BD5AF0">
        <w:rPr>
          <w:rFonts w:ascii="Times New Roman" w:hAnsi="Times New Roman" w:cs="Times New Roman"/>
          <w:sz w:val="24"/>
          <w:szCs w:val="24"/>
        </w:rPr>
        <w:t xml:space="preserve">the </w:t>
      </w:r>
      <w:r w:rsidRPr="00BA46CD">
        <w:rPr>
          <w:rFonts w:ascii="Times New Roman" w:hAnsi="Times New Roman" w:cs="Times New Roman"/>
          <w:sz w:val="24"/>
          <w:szCs w:val="24"/>
        </w:rPr>
        <w:t>firm’s ability to ensure improvement in the return on investment and pay the money back to the shareholders, debenture holder</w:t>
      </w:r>
      <w:r w:rsidR="00BD5AF0">
        <w:rPr>
          <w:rFonts w:ascii="Times New Roman" w:hAnsi="Times New Roman" w:cs="Times New Roman"/>
          <w:sz w:val="24"/>
          <w:szCs w:val="24"/>
        </w:rPr>
        <w:t>,</w:t>
      </w:r>
      <w:r w:rsidRPr="00BA46CD">
        <w:rPr>
          <w:rFonts w:ascii="Times New Roman" w:hAnsi="Times New Roman" w:cs="Times New Roman"/>
          <w:sz w:val="24"/>
          <w:szCs w:val="24"/>
        </w:rPr>
        <w:t xml:space="preserve"> and lenders. The risk of solvency is considered by investors and lenders because they consider </w:t>
      </w:r>
      <w:r w:rsidR="00BD5AF0">
        <w:rPr>
          <w:rFonts w:ascii="Times New Roman" w:hAnsi="Times New Roman" w:cs="Times New Roman"/>
          <w:sz w:val="24"/>
          <w:szCs w:val="24"/>
        </w:rPr>
        <w:t xml:space="preserve">a </w:t>
      </w:r>
      <w:r w:rsidRPr="00BA46CD">
        <w:rPr>
          <w:rFonts w:ascii="Times New Roman" w:hAnsi="Times New Roman" w:cs="Times New Roman"/>
          <w:sz w:val="24"/>
          <w:szCs w:val="24"/>
        </w:rPr>
        <w:t xml:space="preserve">higher risk of solvency bad for their investment and vice versa. </w:t>
      </w:r>
      <w:r w:rsidR="00BD5AF0">
        <w:rPr>
          <w:rFonts w:ascii="Times New Roman" w:hAnsi="Times New Roman" w:cs="Times New Roman"/>
          <w:sz w:val="24"/>
          <w:szCs w:val="24"/>
        </w:rPr>
        <w:t>The g</w:t>
      </w:r>
      <w:r w:rsidR="003B5A6D" w:rsidRPr="00BA46CD">
        <w:rPr>
          <w:rFonts w:ascii="Times New Roman" w:hAnsi="Times New Roman" w:cs="Times New Roman"/>
          <w:sz w:val="24"/>
          <w:szCs w:val="24"/>
        </w:rPr>
        <w:t xml:space="preserve">earing ratio is generally applied for measuring the solvency of the firms. Hence, the gearing ratio found for Chocco Plc in 2018 was 1.42 that went down to 1.34 in 2019. The ratio is not favorable and effective in two years but somewhat Chocco Plc improved its position. </w:t>
      </w:r>
      <w:r w:rsidR="00565B37" w:rsidRPr="00BA46CD">
        <w:rPr>
          <w:rFonts w:ascii="Times New Roman" w:hAnsi="Times New Roman" w:cs="Times New Roman"/>
          <w:sz w:val="24"/>
          <w:szCs w:val="24"/>
        </w:rPr>
        <w:t xml:space="preserve">Therefore, the debt fund and capital </w:t>
      </w:r>
      <w:r w:rsidR="00BD5AF0">
        <w:rPr>
          <w:rFonts w:ascii="Times New Roman" w:hAnsi="Times New Roman" w:cs="Times New Roman"/>
          <w:sz w:val="24"/>
          <w:szCs w:val="24"/>
        </w:rPr>
        <w:t>are</w:t>
      </w:r>
      <w:r w:rsidR="00565B37" w:rsidRPr="00BA46CD">
        <w:rPr>
          <w:rFonts w:ascii="Times New Roman" w:hAnsi="Times New Roman" w:cs="Times New Roman"/>
          <w:sz w:val="24"/>
          <w:szCs w:val="24"/>
        </w:rPr>
        <w:t xml:space="preserve"> much greater than the equity of the businesses</w:t>
      </w:r>
      <w:r w:rsidR="00AB5F5B" w:rsidRPr="00BA46CD">
        <w:rPr>
          <w:rFonts w:ascii="Times New Roman" w:hAnsi="Times New Roman" w:cs="Times New Roman"/>
          <w:sz w:val="24"/>
          <w:szCs w:val="24"/>
        </w:rPr>
        <w:t xml:space="preserve"> (</w:t>
      </w:r>
      <w:r w:rsidR="00AB5F5B" w:rsidRPr="00BA46CD">
        <w:rPr>
          <w:rFonts w:ascii="Times New Roman" w:hAnsi="Times New Roman" w:cs="Times New Roman"/>
          <w:color w:val="222222"/>
          <w:sz w:val="24"/>
          <w:szCs w:val="24"/>
          <w:shd w:val="clear" w:color="auto" w:fill="FFFFFF"/>
        </w:rPr>
        <w:t>Epstein and Lee, 2014)</w:t>
      </w:r>
      <w:r w:rsidR="00565B37" w:rsidRPr="00BA46CD">
        <w:rPr>
          <w:rFonts w:ascii="Times New Roman" w:hAnsi="Times New Roman" w:cs="Times New Roman"/>
          <w:sz w:val="24"/>
          <w:szCs w:val="24"/>
        </w:rPr>
        <w:t xml:space="preserve">. </w:t>
      </w:r>
      <w:r w:rsidR="007B39CA" w:rsidRPr="00BA46CD">
        <w:rPr>
          <w:rFonts w:ascii="Times New Roman" w:hAnsi="Times New Roman" w:cs="Times New Roman"/>
          <w:sz w:val="24"/>
          <w:szCs w:val="24"/>
        </w:rPr>
        <w:t xml:space="preserve">This needs to be improved more for managing the capital structure. </w:t>
      </w:r>
    </w:p>
    <w:p w:rsidR="00AB5F5B" w:rsidRPr="00BA46CD" w:rsidRDefault="007A1A1F" w:rsidP="00D30166">
      <w:pPr>
        <w:spacing w:line="360" w:lineRule="auto"/>
        <w:jc w:val="both"/>
        <w:rPr>
          <w:rFonts w:ascii="Times New Roman" w:hAnsi="Times New Roman" w:cs="Times New Roman"/>
          <w:b/>
          <w:sz w:val="24"/>
          <w:szCs w:val="24"/>
        </w:rPr>
      </w:pPr>
      <w:r w:rsidRPr="00BA46CD">
        <w:rPr>
          <w:rFonts w:ascii="Times New Roman" w:hAnsi="Times New Roman" w:cs="Times New Roman"/>
          <w:b/>
          <w:sz w:val="24"/>
          <w:szCs w:val="24"/>
        </w:rPr>
        <w:t xml:space="preserve">Market Performance: </w:t>
      </w:r>
    </w:p>
    <w:p w:rsidR="00334CB6" w:rsidRPr="00BA46CD" w:rsidRDefault="00AB5F5B" w:rsidP="00D30166">
      <w:pPr>
        <w:spacing w:line="360" w:lineRule="auto"/>
        <w:jc w:val="both"/>
        <w:rPr>
          <w:rFonts w:ascii="Times New Roman" w:hAnsi="Times New Roman" w:cs="Times New Roman"/>
          <w:sz w:val="24"/>
          <w:szCs w:val="24"/>
        </w:rPr>
      </w:pPr>
      <w:r w:rsidRPr="00BA46CD">
        <w:rPr>
          <w:rFonts w:ascii="Times New Roman" w:hAnsi="Times New Roman" w:cs="Times New Roman"/>
          <w:sz w:val="24"/>
          <w:szCs w:val="24"/>
        </w:rPr>
        <w:t>The performance should be improved to raise th</w:t>
      </w:r>
      <w:r w:rsidR="00373987" w:rsidRPr="00BA46CD">
        <w:rPr>
          <w:rFonts w:ascii="Times New Roman" w:hAnsi="Times New Roman" w:cs="Times New Roman"/>
          <w:sz w:val="24"/>
          <w:szCs w:val="24"/>
        </w:rPr>
        <w:t xml:space="preserve">e share value and income of shareholders. </w:t>
      </w:r>
      <w:r w:rsidR="008D3A51" w:rsidRPr="00BA46CD">
        <w:rPr>
          <w:rFonts w:ascii="Times New Roman" w:hAnsi="Times New Roman" w:cs="Times New Roman"/>
          <w:sz w:val="24"/>
          <w:szCs w:val="24"/>
        </w:rPr>
        <w:t xml:space="preserve">Earnings </w:t>
      </w:r>
      <w:r w:rsidR="00BD5AF0">
        <w:rPr>
          <w:rFonts w:ascii="Times New Roman" w:hAnsi="Times New Roman" w:cs="Times New Roman"/>
          <w:sz w:val="24"/>
          <w:szCs w:val="24"/>
        </w:rPr>
        <w:t>p</w:t>
      </w:r>
      <w:r w:rsidR="008D3A51" w:rsidRPr="00BA46CD">
        <w:rPr>
          <w:rFonts w:ascii="Times New Roman" w:hAnsi="Times New Roman" w:cs="Times New Roman"/>
          <w:sz w:val="24"/>
          <w:szCs w:val="24"/>
        </w:rPr>
        <w:t xml:space="preserve">er share in Chocco Plc in 2018 were 0.61 which went high in 2019 by 0.72. This indicates the growth of the revenue and income of the enterprise. </w:t>
      </w:r>
      <w:r w:rsidR="007E4511" w:rsidRPr="00BA46CD">
        <w:rPr>
          <w:rFonts w:ascii="Times New Roman" w:hAnsi="Times New Roman" w:cs="Times New Roman"/>
          <w:sz w:val="24"/>
          <w:szCs w:val="24"/>
        </w:rPr>
        <w:t>The net income should be higher for boosting up EPS so that shareholder</w:t>
      </w:r>
      <w:r w:rsidR="00BD5AF0">
        <w:rPr>
          <w:rFonts w:ascii="Times New Roman" w:hAnsi="Times New Roman" w:cs="Times New Roman"/>
          <w:sz w:val="24"/>
          <w:szCs w:val="24"/>
        </w:rPr>
        <w:t>s</w:t>
      </w:r>
      <w:r w:rsidR="007E4511" w:rsidRPr="00BA46CD">
        <w:rPr>
          <w:rFonts w:ascii="Times New Roman" w:hAnsi="Times New Roman" w:cs="Times New Roman"/>
          <w:sz w:val="24"/>
          <w:szCs w:val="24"/>
        </w:rPr>
        <w:t xml:space="preserve"> of the business can get </w:t>
      </w:r>
      <w:r w:rsidR="00BD5AF0">
        <w:rPr>
          <w:rFonts w:ascii="Times New Roman" w:hAnsi="Times New Roman" w:cs="Times New Roman"/>
          <w:sz w:val="24"/>
          <w:szCs w:val="24"/>
        </w:rPr>
        <w:t xml:space="preserve">a </w:t>
      </w:r>
      <w:r w:rsidR="007E4511" w:rsidRPr="00BA46CD">
        <w:rPr>
          <w:rFonts w:ascii="Times New Roman" w:hAnsi="Times New Roman" w:cs="Times New Roman"/>
          <w:sz w:val="24"/>
          <w:szCs w:val="24"/>
        </w:rPr>
        <w:t xml:space="preserve">higher return on their investment. </w:t>
      </w:r>
      <w:r w:rsidR="00334CB6" w:rsidRPr="00BA46CD">
        <w:rPr>
          <w:rFonts w:ascii="Times New Roman" w:hAnsi="Times New Roman" w:cs="Times New Roman"/>
          <w:sz w:val="24"/>
          <w:szCs w:val="24"/>
        </w:rPr>
        <w:t xml:space="preserve">This indicates </w:t>
      </w:r>
      <w:r w:rsidR="00BD5AF0">
        <w:rPr>
          <w:rFonts w:ascii="Times New Roman" w:hAnsi="Times New Roman" w:cs="Times New Roman"/>
          <w:sz w:val="24"/>
          <w:szCs w:val="24"/>
        </w:rPr>
        <w:t xml:space="preserve">a </w:t>
      </w:r>
      <w:r w:rsidR="00334CB6" w:rsidRPr="00BA46CD">
        <w:rPr>
          <w:rFonts w:ascii="Times New Roman" w:hAnsi="Times New Roman" w:cs="Times New Roman"/>
          <w:sz w:val="24"/>
          <w:szCs w:val="24"/>
        </w:rPr>
        <w:t>higher performance of the enterprise (</w:t>
      </w:r>
      <w:r w:rsidR="00334CB6" w:rsidRPr="00BA46CD">
        <w:rPr>
          <w:rFonts w:ascii="Times New Roman" w:hAnsi="Times New Roman" w:cs="Times New Roman"/>
          <w:color w:val="000000"/>
          <w:sz w:val="24"/>
          <w:szCs w:val="24"/>
        </w:rPr>
        <w:t>Martin and Alvarez, 2011)</w:t>
      </w:r>
      <w:r w:rsidR="00334CB6" w:rsidRPr="00BA46CD">
        <w:rPr>
          <w:rFonts w:ascii="Times New Roman" w:hAnsi="Times New Roman" w:cs="Times New Roman"/>
          <w:sz w:val="24"/>
          <w:szCs w:val="24"/>
        </w:rPr>
        <w:t xml:space="preserve">. </w:t>
      </w:r>
    </w:p>
    <w:p w:rsidR="00BB794A" w:rsidRPr="00BA46CD" w:rsidRDefault="00334CB6" w:rsidP="00D30166">
      <w:pPr>
        <w:spacing w:line="360" w:lineRule="auto"/>
        <w:jc w:val="both"/>
        <w:rPr>
          <w:rFonts w:ascii="Times New Roman" w:hAnsi="Times New Roman" w:cs="Times New Roman"/>
          <w:sz w:val="24"/>
          <w:szCs w:val="24"/>
        </w:rPr>
      </w:pPr>
      <w:r w:rsidRPr="00BA46CD">
        <w:rPr>
          <w:rFonts w:ascii="Times New Roman" w:hAnsi="Times New Roman" w:cs="Times New Roman"/>
          <w:sz w:val="24"/>
          <w:szCs w:val="24"/>
        </w:rPr>
        <w:lastRenderedPageBreak/>
        <w:t xml:space="preserve">Dividend payout is also an important ratio for the measurement of the statement of the company. Chocco Plc’’s dividend payout is 0.59 in 2019 that was higher in 2018. It was 0.66 in 2018. </w:t>
      </w:r>
      <w:r w:rsidR="00EA211A" w:rsidRPr="00BA46CD">
        <w:rPr>
          <w:rFonts w:ascii="Times New Roman" w:hAnsi="Times New Roman" w:cs="Times New Roman"/>
          <w:sz w:val="24"/>
          <w:szCs w:val="24"/>
        </w:rPr>
        <w:t>The dividend paid to the consumer has inflated in 2019 but the ratio is lesser</w:t>
      </w:r>
      <w:r w:rsidR="0062682F" w:rsidRPr="00BA46CD">
        <w:rPr>
          <w:rFonts w:ascii="Times New Roman" w:hAnsi="Times New Roman" w:cs="Times New Roman"/>
          <w:sz w:val="24"/>
          <w:szCs w:val="24"/>
        </w:rPr>
        <w:t xml:space="preserve"> (</w:t>
      </w:r>
      <w:r w:rsidR="0062682F" w:rsidRPr="00BA46CD">
        <w:rPr>
          <w:rFonts w:ascii="Times New Roman" w:hAnsi="Times New Roman" w:cs="Times New Roman"/>
          <w:color w:val="222222"/>
          <w:sz w:val="24"/>
          <w:szCs w:val="24"/>
          <w:shd w:val="clear" w:color="auto" w:fill="FFFFFF"/>
        </w:rPr>
        <w:t>Brigham and Ehrhardt, 2013)</w:t>
      </w:r>
      <w:r w:rsidR="00EA211A" w:rsidRPr="00BA46CD">
        <w:rPr>
          <w:rFonts w:ascii="Times New Roman" w:hAnsi="Times New Roman" w:cs="Times New Roman"/>
          <w:sz w:val="24"/>
          <w:szCs w:val="24"/>
        </w:rPr>
        <w:t xml:space="preserve">. It is indicating the policy of the dividend in 2019 has been shrunk by the company due to some reason </w:t>
      </w:r>
      <w:r w:rsidR="00BD5AF0">
        <w:rPr>
          <w:rFonts w:ascii="Times New Roman" w:hAnsi="Times New Roman" w:cs="Times New Roman"/>
          <w:sz w:val="24"/>
          <w:szCs w:val="24"/>
        </w:rPr>
        <w:t>for</w:t>
      </w:r>
      <w:r w:rsidR="00EA211A" w:rsidRPr="00BA46CD">
        <w:rPr>
          <w:rFonts w:ascii="Times New Roman" w:hAnsi="Times New Roman" w:cs="Times New Roman"/>
          <w:sz w:val="24"/>
          <w:szCs w:val="24"/>
        </w:rPr>
        <w:t xml:space="preserve"> further investment and others. </w:t>
      </w:r>
    </w:p>
    <w:p w:rsidR="00BB794A" w:rsidRPr="00BA46CD" w:rsidRDefault="00BB794A" w:rsidP="00D30166">
      <w:pPr>
        <w:spacing w:line="360" w:lineRule="auto"/>
        <w:jc w:val="both"/>
        <w:rPr>
          <w:rFonts w:ascii="Times New Roman" w:hAnsi="Times New Roman" w:cs="Times New Roman"/>
          <w:sz w:val="24"/>
          <w:szCs w:val="24"/>
        </w:rPr>
      </w:pPr>
      <w:r w:rsidRPr="00BA46CD">
        <w:rPr>
          <w:rFonts w:ascii="Times New Roman" w:hAnsi="Times New Roman" w:cs="Times New Roman"/>
          <w:sz w:val="24"/>
          <w:szCs w:val="24"/>
        </w:rPr>
        <w:t xml:space="preserve">P/E ratio is indicating </w:t>
      </w:r>
      <w:r w:rsidR="00BD5AF0">
        <w:rPr>
          <w:rFonts w:ascii="Times New Roman" w:hAnsi="Times New Roman" w:cs="Times New Roman"/>
          <w:sz w:val="24"/>
          <w:szCs w:val="24"/>
        </w:rPr>
        <w:t xml:space="preserve">a </w:t>
      </w:r>
      <w:r w:rsidRPr="00BA46CD">
        <w:rPr>
          <w:rFonts w:ascii="Times New Roman" w:hAnsi="Times New Roman" w:cs="Times New Roman"/>
          <w:sz w:val="24"/>
          <w:szCs w:val="24"/>
        </w:rPr>
        <w:t>good improvement in the market performance of Chocco Plc because it became 7.11 in 2019 but it was just 6.56 in 2018. It means there is good growth in the market performance and share prices of the company in 2019</w:t>
      </w:r>
      <w:r w:rsidR="0062682F" w:rsidRPr="00BA46CD">
        <w:rPr>
          <w:rFonts w:ascii="Times New Roman" w:hAnsi="Times New Roman" w:cs="Times New Roman"/>
          <w:sz w:val="24"/>
          <w:szCs w:val="24"/>
        </w:rPr>
        <w:t xml:space="preserve"> (</w:t>
      </w:r>
      <w:r w:rsidR="0062682F" w:rsidRPr="00BA46CD">
        <w:rPr>
          <w:rFonts w:ascii="Times New Roman" w:hAnsi="Times New Roman" w:cs="Times New Roman"/>
          <w:color w:val="222222"/>
          <w:sz w:val="24"/>
          <w:szCs w:val="24"/>
          <w:shd w:val="clear" w:color="auto" w:fill="FFFFFF"/>
        </w:rPr>
        <w:t>Brigham and Ehrhardt, 2013)</w:t>
      </w:r>
      <w:r w:rsidRPr="00BA46CD">
        <w:rPr>
          <w:rFonts w:ascii="Times New Roman" w:hAnsi="Times New Roman" w:cs="Times New Roman"/>
          <w:sz w:val="24"/>
          <w:szCs w:val="24"/>
        </w:rPr>
        <w:t xml:space="preserve">. </w:t>
      </w:r>
    </w:p>
    <w:p w:rsidR="009807AF" w:rsidRPr="00BA46CD" w:rsidRDefault="00BB794A" w:rsidP="00D30166">
      <w:pPr>
        <w:spacing w:line="360" w:lineRule="auto"/>
        <w:jc w:val="both"/>
        <w:rPr>
          <w:rFonts w:ascii="Times New Roman" w:hAnsi="Times New Roman" w:cs="Times New Roman"/>
          <w:sz w:val="24"/>
          <w:szCs w:val="24"/>
        </w:rPr>
      </w:pPr>
      <w:r w:rsidRPr="00BA46CD">
        <w:rPr>
          <w:rFonts w:ascii="Times New Roman" w:hAnsi="Times New Roman" w:cs="Times New Roman"/>
          <w:sz w:val="24"/>
          <w:szCs w:val="24"/>
        </w:rPr>
        <w:t xml:space="preserve">Overall, it can be stated that </w:t>
      </w:r>
      <w:r w:rsidR="00BD5AF0">
        <w:rPr>
          <w:rFonts w:ascii="Times New Roman" w:hAnsi="Times New Roman" w:cs="Times New Roman"/>
          <w:sz w:val="24"/>
          <w:szCs w:val="24"/>
        </w:rPr>
        <w:t xml:space="preserve">the </w:t>
      </w:r>
      <w:r w:rsidRPr="00BA46CD">
        <w:rPr>
          <w:rFonts w:ascii="Times New Roman" w:hAnsi="Times New Roman" w:cs="Times New Roman"/>
          <w:sz w:val="24"/>
          <w:szCs w:val="24"/>
        </w:rPr>
        <w:t xml:space="preserve">performance of the firm is not effective but it has controlled and improved its performance in 2019 </w:t>
      </w:r>
      <w:r w:rsidR="009E2820" w:rsidRPr="00BA46CD">
        <w:rPr>
          <w:rFonts w:ascii="Times New Roman" w:hAnsi="Times New Roman" w:cs="Times New Roman"/>
          <w:sz w:val="24"/>
          <w:szCs w:val="24"/>
        </w:rPr>
        <w:t xml:space="preserve">as compared to performance in </w:t>
      </w:r>
      <w:r w:rsidRPr="00BA46CD">
        <w:rPr>
          <w:rFonts w:ascii="Times New Roman" w:hAnsi="Times New Roman" w:cs="Times New Roman"/>
          <w:sz w:val="24"/>
          <w:szCs w:val="24"/>
        </w:rPr>
        <w:t xml:space="preserve">2018. </w:t>
      </w:r>
      <w:r w:rsidR="00C97ED9" w:rsidRPr="00BA46CD">
        <w:rPr>
          <w:rFonts w:ascii="Times New Roman" w:hAnsi="Times New Roman" w:cs="Times New Roman"/>
          <w:sz w:val="24"/>
          <w:szCs w:val="24"/>
        </w:rPr>
        <w:br w:type="page"/>
      </w:r>
    </w:p>
    <w:p w:rsidR="00973F91" w:rsidRPr="00BA46CD" w:rsidRDefault="00263040" w:rsidP="0062682F">
      <w:pPr>
        <w:pStyle w:val="Heading1"/>
        <w:rPr>
          <w:rFonts w:ascii="Times New Roman" w:hAnsi="Times New Roman" w:cs="Times New Roman"/>
          <w:sz w:val="24"/>
          <w:szCs w:val="24"/>
        </w:rPr>
      </w:pPr>
      <w:bookmarkStart w:id="6" w:name="_Toc55765059"/>
      <w:r w:rsidRPr="00BA46CD">
        <w:rPr>
          <w:rFonts w:ascii="Times New Roman" w:hAnsi="Times New Roman" w:cs="Times New Roman"/>
          <w:sz w:val="24"/>
          <w:szCs w:val="24"/>
        </w:rPr>
        <w:lastRenderedPageBreak/>
        <w:t>References:</w:t>
      </w:r>
      <w:bookmarkEnd w:id="6"/>
    </w:p>
    <w:p w:rsidR="00F76FF6" w:rsidRPr="00BA46CD" w:rsidRDefault="00F76FF6" w:rsidP="00D30166">
      <w:pPr>
        <w:spacing w:line="360" w:lineRule="auto"/>
        <w:ind w:left="720" w:hanging="720"/>
        <w:jc w:val="both"/>
        <w:rPr>
          <w:rFonts w:ascii="Times New Roman" w:hAnsi="Times New Roman" w:cs="Times New Roman"/>
          <w:color w:val="222222"/>
          <w:sz w:val="24"/>
          <w:szCs w:val="24"/>
          <w:shd w:val="clear" w:color="auto" w:fill="FFFFFF"/>
        </w:rPr>
      </w:pPr>
      <w:r w:rsidRPr="00BA46CD">
        <w:rPr>
          <w:rFonts w:ascii="Times New Roman" w:hAnsi="Times New Roman" w:cs="Times New Roman"/>
          <w:color w:val="222222"/>
          <w:sz w:val="24"/>
          <w:szCs w:val="24"/>
          <w:shd w:val="clear" w:color="auto" w:fill="FFFFFF"/>
        </w:rPr>
        <w:t>Brigham, E. F., and Ehrhardt, M. C. (2013) </w:t>
      </w:r>
      <w:r w:rsidRPr="00BA46CD">
        <w:rPr>
          <w:rFonts w:ascii="Times New Roman" w:hAnsi="Times New Roman" w:cs="Times New Roman"/>
          <w:i/>
          <w:iCs/>
          <w:color w:val="222222"/>
          <w:sz w:val="24"/>
          <w:szCs w:val="24"/>
          <w:shd w:val="clear" w:color="auto" w:fill="FFFFFF"/>
        </w:rPr>
        <w:t>Financial management: Theory &amp; practice</w:t>
      </w:r>
      <w:r w:rsidRPr="00BA46CD">
        <w:rPr>
          <w:rFonts w:ascii="Times New Roman" w:hAnsi="Times New Roman" w:cs="Times New Roman"/>
          <w:color w:val="222222"/>
          <w:sz w:val="24"/>
          <w:szCs w:val="24"/>
          <w:shd w:val="clear" w:color="auto" w:fill="FFFFFF"/>
        </w:rPr>
        <w:t>. USA: Cengage Learning.</w:t>
      </w:r>
    </w:p>
    <w:p w:rsidR="00F76FF6" w:rsidRPr="00BA46CD" w:rsidRDefault="00F76FF6" w:rsidP="00D30166">
      <w:pPr>
        <w:spacing w:line="360" w:lineRule="auto"/>
        <w:ind w:left="720" w:hanging="720"/>
        <w:jc w:val="both"/>
        <w:rPr>
          <w:rFonts w:ascii="Times New Roman" w:hAnsi="Times New Roman" w:cs="Times New Roman"/>
          <w:color w:val="222222"/>
          <w:sz w:val="24"/>
          <w:szCs w:val="24"/>
          <w:shd w:val="clear" w:color="auto" w:fill="FFFFFF"/>
        </w:rPr>
      </w:pPr>
      <w:r w:rsidRPr="00BA46CD">
        <w:rPr>
          <w:rFonts w:ascii="Times New Roman" w:hAnsi="Times New Roman" w:cs="Times New Roman"/>
          <w:color w:val="222222"/>
          <w:sz w:val="24"/>
          <w:szCs w:val="24"/>
          <w:shd w:val="clear" w:color="auto" w:fill="FFFFFF"/>
        </w:rPr>
        <w:t>Brigham, E. F., and Houston, J. F. (2012) </w:t>
      </w:r>
      <w:r w:rsidRPr="00BA46CD">
        <w:rPr>
          <w:rFonts w:ascii="Times New Roman" w:hAnsi="Times New Roman" w:cs="Times New Roman"/>
          <w:i/>
          <w:iCs/>
          <w:color w:val="222222"/>
          <w:sz w:val="24"/>
          <w:szCs w:val="24"/>
          <w:shd w:val="clear" w:color="auto" w:fill="FFFFFF"/>
        </w:rPr>
        <w:t>Fundamentals of financial management</w:t>
      </w:r>
      <w:r w:rsidRPr="00BA46CD">
        <w:rPr>
          <w:rFonts w:ascii="Times New Roman" w:hAnsi="Times New Roman" w:cs="Times New Roman"/>
          <w:color w:val="222222"/>
          <w:sz w:val="24"/>
          <w:szCs w:val="24"/>
          <w:shd w:val="clear" w:color="auto" w:fill="FFFFFF"/>
        </w:rPr>
        <w:t>. USA: Cengage Learning.</w:t>
      </w:r>
    </w:p>
    <w:p w:rsidR="00F76FF6" w:rsidRPr="00BA46CD" w:rsidRDefault="00CD46E9" w:rsidP="00D30166">
      <w:pPr>
        <w:spacing w:after="0" w:line="360" w:lineRule="auto"/>
        <w:ind w:left="720" w:hanging="720"/>
        <w:jc w:val="both"/>
        <w:rPr>
          <w:rFonts w:ascii="Times New Roman" w:hAnsi="Times New Roman" w:cs="Times New Roman"/>
          <w:color w:val="FFFFFF" w:themeColor="text1" w:themeTint="D9"/>
          <w:sz w:val="24"/>
          <w:szCs w:val="24"/>
          <w:shd w:val="clear" w:color="auto" w:fill="FFFFFF"/>
        </w:rPr>
      </w:pPr>
      <w:hyperlink r:id="rId12" w:history="1">
        <w:r w:rsidR="00F76FF6" w:rsidRPr="00BA46CD">
          <w:rPr>
            <w:rStyle w:val="Hyperlink"/>
            <w:rFonts w:ascii="Times New Roman" w:hAnsi="Times New Roman" w:cs="Times New Roman"/>
            <w:color w:val="FFFFFF" w:themeColor="text1" w:themeTint="D9"/>
            <w:sz w:val="24"/>
            <w:szCs w:val="24"/>
            <w:u w:val="none"/>
            <w:shd w:val="clear" w:color="auto" w:fill="FFFFFF"/>
          </w:rPr>
          <w:t>Brigham</w:t>
        </w:r>
      </w:hyperlink>
      <w:r w:rsidR="00F76FF6" w:rsidRPr="00BA46CD">
        <w:rPr>
          <w:rFonts w:ascii="Times New Roman" w:hAnsi="Times New Roman" w:cs="Times New Roman"/>
          <w:color w:val="FFFFFF" w:themeColor="text1" w:themeTint="D9"/>
          <w:sz w:val="24"/>
          <w:szCs w:val="24"/>
          <w:shd w:val="clear" w:color="auto" w:fill="FFFFFF"/>
        </w:rPr>
        <w:t xml:space="preserve">, E., </w:t>
      </w:r>
      <w:r w:rsidR="00F76FF6" w:rsidRPr="00BA46CD">
        <w:rPr>
          <w:rFonts w:ascii="Times New Roman" w:hAnsi="Times New Roman" w:cs="Times New Roman"/>
          <w:noProof/>
          <w:color w:val="FFFFFF" w:themeColor="text1" w:themeTint="D9"/>
          <w:sz w:val="24"/>
          <w:szCs w:val="24"/>
          <w:shd w:val="clear" w:color="auto" w:fill="FFFFFF"/>
        </w:rPr>
        <w:t>and</w:t>
      </w:r>
      <w:r w:rsidR="00F76FF6" w:rsidRPr="00BA46CD">
        <w:rPr>
          <w:rStyle w:val="apple-converted-space"/>
          <w:rFonts w:ascii="Times New Roman" w:hAnsi="Times New Roman" w:cs="Times New Roman"/>
          <w:color w:val="FFFFFF" w:themeColor="text1" w:themeTint="D9"/>
          <w:sz w:val="24"/>
          <w:szCs w:val="24"/>
          <w:shd w:val="clear" w:color="auto" w:fill="FFFFFF"/>
        </w:rPr>
        <w:t> </w:t>
      </w:r>
      <w:hyperlink r:id="rId13" w:history="1">
        <w:r w:rsidR="00F76FF6" w:rsidRPr="00BA46CD">
          <w:rPr>
            <w:rStyle w:val="Hyperlink"/>
            <w:rFonts w:ascii="Times New Roman" w:hAnsi="Times New Roman" w:cs="Times New Roman"/>
            <w:color w:val="FFFFFF" w:themeColor="text1" w:themeTint="D9"/>
            <w:sz w:val="24"/>
            <w:szCs w:val="24"/>
            <w:u w:val="none"/>
            <w:shd w:val="clear" w:color="auto" w:fill="FFFFFF"/>
          </w:rPr>
          <w:t xml:space="preserve"> Daves</w:t>
        </w:r>
      </w:hyperlink>
      <w:r w:rsidR="00F76FF6" w:rsidRPr="00BA46CD">
        <w:rPr>
          <w:rFonts w:ascii="Times New Roman" w:hAnsi="Times New Roman" w:cs="Times New Roman"/>
          <w:color w:val="FFFFFF" w:themeColor="text1" w:themeTint="D9"/>
          <w:sz w:val="24"/>
          <w:szCs w:val="24"/>
        </w:rPr>
        <w:t xml:space="preserve">, P. (2012) </w:t>
      </w:r>
      <w:r w:rsidR="00F76FF6" w:rsidRPr="00BA46CD">
        <w:rPr>
          <w:rFonts w:ascii="Times New Roman" w:hAnsi="Times New Roman" w:cs="Times New Roman"/>
          <w:i/>
          <w:color w:val="FFFFFF" w:themeColor="text1" w:themeTint="D9"/>
          <w:sz w:val="24"/>
          <w:szCs w:val="24"/>
          <w:shd w:val="clear" w:color="auto" w:fill="FFFFFF"/>
        </w:rPr>
        <w:t>Intermediate Financial Management</w:t>
      </w:r>
      <w:r w:rsidR="00F76FF6" w:rsidRPr="00BA46CD">
        <w:rPr>
          <w:rFonts w:ascii="Times New Roman" w:hAnsi="Times New Roman" w:cs="Times New Roman"/>
          <w:color w:val="FFFFFF" w:themeColor="text1" w:themeTint="D9"/>
          <w:sz w:val="24"/>
          <w:szCs w:val="24"/>
          <w:shd w:val="clear" w:color="auto" w:fill="FFFFFF"/>
        </w:rPr>
        <w:t xml:space="preserve">. USA: Cengage Learning. </w:t>
      </w:r>
    </w:p>
    <w:p w:rsidR="00F76FF6" w:rsidRPr="00BA46CD" w:rsidRDefault="00F76FF6" w:rsidP="00D30166">
      <w:pPr>
        <w:spacing w:line="360" w:lineRule="auto"/>
        <w:ind w:left="720" w:hanging="720"/>
        <w:jc w:val="both"/>
        <w:rPr>
          <w:rFonts w:ascii="Times New Roman" w:hAnsi="Times New Roman" w:cs="Times New Roman"/>
          <w:color w:val="222222"/>
          <w:sz w:val="24"/>
          <w:szCs w:val="24"/>
          <w:shd w:val="clear" w:color="auto" w:fill="FFFFFF"/>
        </w:rPr>
      </w:pPr>
      <w:r w:rsidRPr="00BA46CD">
        <w:rPr>
          <w:rFonts w:ascii="Times New Roman" w:hAnsi="Times New Roman" w:cs="Times New Roman"/>
          <w:color w:val="222222"/>
          <w:sz w:val="24"/>
          <w:szCs w:val="24"/>
          <w:shd w:val="clear" w:color="auto" w:fill="FFFFFF"/>
        </w:rPr>
        <w:t>Collier, P. M. (2015) </w:t>
      </w:r>
      <w:r w:rsidRPr="00BA46CD">
        <w:rPr>
          <w:rFonts w:ascii="Times New Roman" w:hAnsi="Times New Roman" w:cs="Times New Roman"/>
          <w:i/>
          <w:iCs/>
          <w:color w:val="222222"/>
          <w:sz w:val="24"/>
          <w:szCs w:val="24"/>
          <w:shd w:val="clear" w:color="auto" w:fill="FFFFFF"/>
        </w:rPr>
        <w:t>Accounting for managers: Interpreting accounting information for decision making</w:t>
      </w:r>
      <w:r w:rsidRPr="00BA46CD">
        <w:rPr>
          <w:rFonts w:ascii="Times New Roman" w:hAnsi="Times New Roman" w:cs="Times New Roman"/>
          <w:color w:val="222222"/>
          <w:sz w:val="24"/>
          <w:szCs w:val="24"/>
          <w:shd w:val="clear" w:color="auto" w:fill="FFFFFF"/>
        </w:rPr>
        <w:t>. USA: John Wiley &amp; Sons.</w:t>
      </w:r>
    </w:p>
    <w:p w:rsidR="00F76FF6" w:rsidRPr="00BA46CD" w:rsidRDefault="00F76FF6" w:rsidP="00D30166">
      <w:pPr>
        <w:spacing w:line="360" w:lineRule="auto"/>
        <w:ind w:left="720" w:hanging="720"/>
        <w:jc w:val="both"/>
        <w:rPr>
          <w:rFonts w:ascii="Times New Roman" w:hAnsi="Times New Roman" w:cs="Times New Roman"/>
          <w:color w:val="222222"/>
          <w:sz w:val="24"/>
          <w:szCs w:val="24"/>
          <w:shd w:val="clear" w:color="auto" w:fill="FFFFFF"/>
        </w:rPr>
      </w:pPr>
      <w:r w:rsidRPr="00BA46CD">
        <w:rPr>
          <w:rFonts w:ascii="Times New Roman" w:hAnsi="Times New Roman" w:cs="Times New Roman"/>
          <w:color w:val="222222"/>
          <w:sz w:val="24"/>
          <w:szCs w:val="24"/>
          <w:shd w:val="clear" w:color="auto" w:fill="FFFFFF"/>
        </w:rPr>
        <w:t xml:space="preserve">Epstein, M. and </w:t>
      </w:r>
      <w:r w:rsidRPr="00BA46CD">
        <w:rPr>
          <w:rFonts w:ascii="Times New Roman" w:hAnsi="Times New Roman" w:cs="Times New Roman"/>
          <w:color w:val="222222"/>
          <w:sz w:val="24"/>
          <w:szCs w:val="24"/>
          <w:shd w:val="clear" w:color="auto" w:fill="FFFFFF"/>
        </w:rPr>
        <w:tab/>
        <w:t xml:space="preserve">Lee, J. (2014) </w:t>
      </w:r>
      <w:r w:rsidRPr="00BA46CD">
        <w:rPr>
          <w:rFonts w:ascii="Times New Roman" w:hAnsi="Times New Roman" w:cs="Times New Roman"/>
          <w:i/>
          <w:color w:val="222222"/>
          <w:sz w:val="24"/>
          <w:szCs w:val="24"/>
          <w:shd w:val="clear" w:color="auto" w:fill="FFFFFF"/>
        </w:rPr>
        <w:t>Principle of Managerial Finance</w:t>
      </w:r>
      <w:r w:rsidRPr="00BA46CD">
        <w:rPr>
          <w:rFonts w:ascii="Times New Roman" w:hAnsi="Times New Roman" w:cs="Times New Roman"/>
          <w:color w:val="222222"/>
          <w:sz w:val="24"/>
          <w:szCs w:val="24"/>
          <w:shd w:val="clear" w:color="auto" w:fill="FFFFFF"/>
        </w:rPr>
        <w:t xml:space="preserve">. AU: Pearson Higher Education. </w:t>
      </w:r>
    </w:p>
    <w:p w:rsidR="00F76FF6" w:rsidRPr="00BA46CD" w:rsidRDefault="00F76FF6" w:rsidP="00D30166">
      <w:pPr>
        <w:spacing w:line="360" w:lineRule="auto"/>
        <w:ind w:left="720" w:hanging="720"/>
        <w:jc w:val="both"/>
        <w:rPr>
          <w:rFonts w:ascii="Times New Roman" w:hAnsi="Times New Roman" w:cs="Times New Roman"/>
          <w:color w:val="222222"/>
          <w:sz w:val="24"/>
          <w:szCs w:val="24"/>
          <w:shd w:val="clear" w:color="auto" w:fill="FFFFFF"/>
        </w:rPr>
      </w:pPr>
      <w:r w:rsidRPr="00BA46CD">
        <w:rPr>
          <w:rFonts w:ascii="Times New Roman" w:hAnsi="Times New Roman" w:cs="Times New Roman"/>
          <w:color w:val="222222"/>
          <w:sz w:val="24"/>
          <w:szCs w:val="24"/>
          <w:shd w:val="clear" w:color="auto" w:fill="FFFFFF"/>
        </w:rPr>
        <w:t>Flower, J., and Ebbers, G. (2018) </w:t>
      </w:r>
      <w:r w:rsidRPr="00BA46CD">
        <w:rPr>
          <w:rFonts w:ascii="Times New Roman" w:hAnsi="Times New Roman" w:cs="Times New Roman"/>
          <w:i/>
          <w:iCs/>
          <w:color w:val="222222"/>
          <w:sz w:val="24"/>
          <w:szCs w:val="24"/>
          <w:shd w:val="clear" w:color="auto" w:fill="FFFFFF"/>
        </w:rPr>
        <w:t>Global financial reporting</w:t>
      </w:r>
      <w:r w:rsidRPr="00BA46CD">
        <w:rPr>
          <w:rFonts w:ascii="Times New Roman" w:hAnsi="Times New Roman" w:cs="Times New Roman"/>
          <w:color w:val="222222"/>
          <w:sz w:val="24"/>
          <w:szCs w:val="24"/>
          <w:shd w:val="clear" w:color="auto" w:fill="FFFFFF"/>
        </w:rPr>
        <w:t>. USA: Macmillan International Higher Education.</w:t>
      </w:r>
    </w:p>
    <w:p w:rsidR="00F76FF6" w:rsidRPr="00BA46CD" w:rsidRDefault="00F76FF6" w:rsidP="00D30166">
      <w:pPr>
        <w:spacing w:line="360" w:lineRule="auto"/>
        <w:ind w:left="720" w:hanging="720"/>
        <w:jc w:val="both"/>
        <w:rPr>
          <w:rFonts w:ascii="Times New Roman" w:hAnsi="Times New Roman" w:cs="Times New Roman"/>
          <w:color w:val="222222"/>
          <w:sz w:val="24"/>
          <w:szCs w:val="24"/>
          <w:shd w:val="clear" w:color="auto" w:fill="FFFFFF"/>
        </w:rPr>
      </w:pPr>
      <w:r w:rsidRPr="00BA46CD">
        <w:rPr>
          <w:rFonts w:ascii="Times New Roman" w:hAnsi="Times New Roman" w:cs="Times New Roman"/>
          <w:color w:val="222222"/>
          <w:sz w:val="24"/>
          <w:szCs w:val="24"/>
          <w:shd w:val="clear" w:color="auto" w:fill="FFFFFF"/>
        </w:rPr>
        <w:t>Kanakriyah, R. (2016) The Effect of Using Accounting information Systems on the Quality of Accounting Information According to Users Perspective in Jordan. </w:t>
      </w:r>
      <w:r w:rsidRPr="00BA46CD">
        <w:rPr>
          <w:rFonts w:ascii="Times New Roman" w:hAnsi="Times New Roman" w:cs="Times New Roman"/>
          <w:i/>
          <w:iCs/>
          <w:color w:val="222222"/>
          <w:sz w:val="24"/>
          <w:szCs w:val="24"/>
          <w:shd w:val="clear" w:color="auto" w:fill="FFFFFF"/>
        </w:rPr>
        <w:t>European Journal of Accounting, Auditing and Finance Research</w:t>
      </w:r>
      <w:r w:rsidRPr="00BA46CD">
        <w:rPr>
          <w:rFonts w:ascii="Times New Roman" w:hAnsi="Times New Roman" w:cs="Times New Roman"/>
          <w:color w:val="222222"/>
          <w:sz w:val="24"/>
          <w:szCs w:val="24"/>
          <w:shd w:val="clear" w:color="auto" w:fill="FFFFFF"/>
        </w:rPr>
        <w:t>, </w:t>
      </w:r>
      <w:r w:rsidRPr="00BA46CD">
        <w:rPr>
          <w:rFonts w:ascii="Times New Roman" w:hAnsi="Times New Roman" w:cs="Times New Roman"/>
          <w:i/>
          <w:iCs/>
          <w:color w:val="222222"/>
          <w:sz w:val="24"/>
          <w:szCs w:val="24"/>
          <w:shd w:val="clear" w:color="auto" w:fill="FFFFFF"/>
        </w:rPr>
        <w:t>4</w:t>
      </w:r>
      <w:r w:rsidRPr="00BA46CD">
        <w:rPr>
          <w:rFonts w:ascii="Times New Roman" w:hAnsi="Times New Roman" w:cs="Times New Roman"/>
          <w:color w:val="222222"/>
          <w:sz w:val="24"/>
          <w:szCs w:val="24"/>
          <w:shd w:val="clear" w:color="auto" w:fill="FFFFFF"/>
        </w:rPr>
        <w:t>(11), 58-75.</w:t>
      </w:r>
    </w:p>
    <w:p w:rsidR="00F76FF6" w:rsidRPr="00BA46CD" w:rsidRDefault="00F76FF6" w:rsidP="00D30166">
      <w:pPr>
        <w:spacing w:after="0" w:line="360" w:lineRule="auto"/>
        <w:ind w:left="720" w:hanging="720"/>
        <w:jc w:val="both"/>
        <w:rPr>
          <w:rFonts w:ascii="Times New Roman" w:hAnsi="Times New Roman" w:cs="Times New Roman"/>
          <w:color w:val="000000"/>
          <w:sz w:val="24"/>
          <w:szCs w:val="24"/>
        </w:rPr>
      </w:pPr>
      <w:r w:rsidRPr="00BA46CD">
        <w:rPr>
          <w:rFonts w:ascii="Times New Roman" w:hAnsi="Times New Roman" w:cs="Times New Roman"/>
          <w:color w:val="000000"/>
          <w:sz w:val="24"/>
          <w:szCs w:val="24"/>
        </w:rPr>
        <w:t xml:space="preserve">Martin, S. and Alvarez, F. (2011) </w:t>
      </w:r>
      <w:r w:rsidRPr="00BA46CD">
        <w:rPr>
          <w:rFonts w:ascii="Times New Roman" w:hAnsi="Times New Roman" w:cs="Times New Roman"/>
          <w:i/>
          <w:color w:val="000000"/>
          <w:sz w:val="24"/>
          <w:szCs w:val="24"/>
        </w:rPr>
        <w:t xml:space="preserve">Financial Statement Analysis Workbook: A Practitioner's Guide </w:t>
      </w:r>
      <w:r w:rsidRPr="00BA46CD">
        <w:rPr>
          <w:rFonts w:ascii="Times New Roman" w:hAnsi="Times New Roman" w:cs="Times New Roman"/>
          <w:color w:val="000000"/>
          <w:sz w:val="24"/>
          <w:szCs w:val="24"/>
        </w:rPr>
        <w:t xml:space="preserve"> USA: John Wiley &amp; Sons.</w:t>
      </w:r>
    </w:p>
    <w:p w:rsidR="00F76FF6" w:rsidRPr="00BA46CD" w:rsidRDefault="00F76FF6" w:rsidP="00D30166">
      <w:pPr>
        <w:spacing w:line="360" w:lineRule="auto"/>
        <w:ind w:left="720" w:hanging="720"/>
        <w:jc w:val="both"/>
        <w:rPr>
          <w:rFonts w:ascii="Times New Roman" w:hAnsi="Times New Roman" w:cs="Times New Roman"/>
          <w:color w:val="222222"/>
          <w:sz w:val="24"/>
          <w:szCs w:val="24"/>
          <w:shd w:val="clear" w:color="auto" w:fill="FFFFFF"/>
        </w:rPr>
      </w:pPr>
      <w:r w:rsidRPr="00BA46CD">
        <w:rPr>
          <w:rFonts w:ascii="Times New Roman" w:hAnsi="Times New Roman" w:cs="Times New Roman"/>
          <w:color w:val="222222"/>
          <w:sz w:val="24"/>
          <w:szCs w:val="24"/>
          <w:shd w:val="clear" w:color="auto" w:fill="FFFFFF"/>
        </w:rPr>
        <w:t>Robinson, T. R. (2020) </w:t>
      </w:r>
      <w:r w:rsidRPr="00BA46CD">
        <w:rPr>
          <w:rFonts w:ascii="Times New Roman" w:hAnsi="Times New Roman" w:cs="Times New Roman"/>
          <w:i/>
          <w:iCs/>
          <w:color w:val="222222"/>
          <w:sz w:val="24"/>
          <w:szCs w:val="24"/>
          <w:shd w:val="clear" w:color="auto" w:fill="FFFFFF"/>
        </w:rPr>
        <w:t>International financial statement analysis</w:t>
      </w:r>
      <w:r w:rsidRPr="00BA46CD">
        <w:rPr>
          <w:rFonts w:ascii="Times New Roman" w:hAnsi="Times New Roman" w:cs="Times New Roman"/>
          <w:color w:val="222222"/>
          <w:sz w:val="24"/>
          <w:szCs w:val="24"/>
          <w:shd w:val="clear" w:color="auto" w:fill="FFFFFF"/>
        </w:rPr>
        <w:t>. USA: John Wiley &amp; Sons.</w:t>
      </w:r>
    </w:p>
    <w:p w:rsidR="00F76FF6" w:rsidRPr="00BA46CD" w:rsidRDefault="00F76FF6" w:rsidP="00D30166">
      <w:pPr>
        <w:spacing w:line="360" w:lineRule="auto"/>
        <w:ind w:left="720" w:hanging="720"/>
        <w:jc w:val="both"/>
        <w:rPr>
          <w:rFonts w:ascii="Times New Roman" w:hAnsi="Times New Roman" w:cs="Times New Roman"/>
          <w:sz w:val="24"/>
          <w:szCs w:val="24"/>
        </w:rPr>
      </w:pPr>
      <w:r w:rsidRPr="00BA46CD">
        <w:rPr>
          <w:rFonts w:ascii="Times New Roman" w:hAnsi="Times New Roman" w:cs="Times New Roman"/>
          <w:sz w:val="24"/>
          <w:szCs w:val="24"/>
        </w:rPr>
        <w:t>Robinson, T. R., Henry, E., Pirie, W. L., and Broihahn, M. A. (2015) </w:t>
      </w:r>
      <w:r w:rsidRPr="00BA46CD">
        <w:rPr>
          <w:rFonts w:ascii="Times New Roman" w:hAnsi="Times New Roman" w:cs="Times New Roman"/>
          <w:i/>
          <w:iCs/>
          <w:sz w:val="24"/>
          <w:szCs w:val="24"/>
        </w:rPr>
        <w:t>International financial statement analysis</w:t>
      </w:r>
      <w:r w:rsidRPr="00BA46CD">
        <w:rPr>
          <w:rFonts w:ascii="Times New Roman" w:hAnsi="Times New Roman" w:cs="Times New Roman"/>
          <w:sz w:val="24"/>
          <w:szCs w:val="24"/>
        </w:rPr>
        <w:t>. USA: John Wiley &amp; Sons.</w:t>
      </w:r>
    </w:p>
    <w:p w:rsidR="00F76FF6" w:rsidRPr="00BA46CD" w:rsidRDefault="00CD46E9" w:rsidP="00D30166">
      <w:pPr>
        <w:spacing w:line="360" w:lineRule="auto"/>
        <w:ind w:left="720" w:hanging="720"/>
        <w:jc w:val="both"/>
        <w:rPr>
          <w:rFonts w:ascii="Times New Roman" w:hAnsi="Times New Roman" w:cs="Times New Roman"/>
          <w:color w:val="FFFFFF" w:themeColor="text1"/>
          <w:sz w:val="24"/>
          <w:szCs w:val="24"/>
        </w:rPr>
      </w:pPr>
      <w:hyperlink r:id="rId14" w:history="1">
        <w:r w:rsidR="00F76FF6" w:rsidRPr="00BA46CD">
          <w:rPr>
            <w:rStyle w:val="Hyperlink"/>
            <w:rFonts w:ascii="Times New Roman" w:hAnsi="Times New Roman" w:cs="Times New Roman"/>
            <w:color w:val="FFFFFF" w:themeColor="text1"/>
            <w:sz w:val="24"/>
            <w:szCs w:val="24"/>
            <w:u w:val="none"/>
          </w:rPr>
          <w:t>Warren</w:t>
        </w:r>
      </w:hyperlink>
      <w:r w:rsidR="00F76FF6" w:rsidRPr="00BA46CD">
        <w:rPr>
          <w:rFonts w:ascii="Times New Roman" w:hAnsi="Times New Roman" w:cs="Times New Roman"/>
          <w:color w:val="FFFFFF" w:themeColor="text1"/>
          <w:sz w:val="24"/>
          <w:szCs w:val="24"/>
        </w:rPr>
        <w:t xml:space="preserve">, C., </w:t>
      </w:r>
      <w:hyperlink r:id="rId15" w:history="1">
        <w:r w:rsidR="00F76FF6" w:rsidRPr="00BA46CD">
          <w:rPr>
            <w:rStyle w:val="Hyperlink"/>
            <w:rFonts w:ascii="Times New Roman" w:hAnsi="Times New Roman" w:cs="Times New Roman"/>
            <w:color w:val="FFFFFF" w:themeColor="text1"/>
            <w:sz w:val="24"/>
            <w:szCs w:val="24"/>
            <w:u w:val="none"/>
          </w:rPr>
          <w:t>Reeve</w:t>
        </w:r>
      </w:hyperlink>
      <w:r w:rsidR="00F76FF6" w:rsidRPr="00BA46CD">
        <w:rPr>
          <w:rFonts w:ascii="Times New Roman" w:hAnsi="Times New Roman" w:cs="Times New Roman"/>
          <w:color w:val="FFFFFF" w:themeColor="text1"/>
          <w:sz w:val="24"/>
          <w:szCs w:val="24"/>
        </w:rPr>
        <w:t xml:space="preserve">, J., and </w:t>
      </w:r>
      <w:hyperlink r:id="rId16" w:history="1">
        <w:r w:rsidR="00F76FF6" w:rsidRPr="00BA46CD">
          <w:rPr>
            <w:rStyle w:val="Hyperlink"/>
            <w:rFonts w:ascii="Times New Roman" w:hAnsi="Times New Roman" w:cs="Times New Roman"/>
            <w:color w:val="FFFFFF" w:themeColor="text1"/>
            <w:sz w:val="24"/>
            <w:szCs w:val="24"/>
            <w:u w:val="none"/>
          </w:rPr>
          <w:t xml:space="preserve"> Duchac</w:t>
        </w:r>
      </w:hyperlink>
      <w:r w:rsidR="00F76FF6" w:rsidRPr="00BA46CD">
        <w:rPr>
          <w:rFonts w:ascii="Times New Roman" w:hAnsi="Times New Roman" w:cs="Times New Roman"/>
          <w:color w:val="FFFFFF" w:themeColor="text1"/>
          <w:sz w:val="24"/>
          <w:szCs w:val="24"/>
        </w:rPr>
        <w:t xml:space="preserve">, J. (2011) </w:t>
      </w:r>
      <w:r w:rsidR="00F76FF6" w:rsidRPr="00BA46CD">
        <w:rPr>
          <w:rFonts w:ascii="Times New Roman" w:hAnsi="Times New Roman" w:cs="Times New Roman"/>
          <w:i/>
          <w:color w:val="FFFFFF" w:themeColor="text1"/>
          <w:sz w:val="24"/>
          <w:szCs w:val="24"/>
        </w:rPr>
        <w:t>Financial &amp; Managerial Accounting</w:t>
      </w:r>
      <w:r w:rsidR="00F76FF6" w:rsidRPr="00BA46CD">
        <w:rPr>
          <w:rFonts w:ascii="Times New Roman" w:hAnsi="Times New Roman" w:cs="Times New Roman"/>
          <w:color w:val="FFFFFF" w:themeColor="text1"/>
          <w:sz w:val="24"/>
          <w:szCs w:val="24"/>
        </w:rPr>
        <w:t xml:space="preserve">. USA: Cengage Learning </w:t>
      </w:r>
    </w:p>
    <w:p w:rsidR="00F76FF6" w:rsidRPr="00BA46CD" w:rsidRDefault="00F76FF6" w:rsidP="00D30166">
      <w:pPr>
        <w:spacing w:line="360" w:lineRule="auto"/>
        <w:ind w:left="720" w:hanging="720"/>
        <w:jc w:val="both"/>
        <w:rPr>
          <w:rFonts w:ascii="Times New Roman" w:hAnsi="Times New Roman" w:cs="Times New Roman"/>
          <w:sz w:val="24"/>
          <w:szCs w:val="24"/>
        </w:rPr>
      </w:pPr>
      <w:r w:rsidRPr="00BA46CD">
        <w:rPr>
          <w:rFonts w:ascii="Times New Roman" w:hAnsi="Times New Roman" w:cs="Times New Roman"/>
          <w:sz w:val="24"/>
          <w:szCs w:val="24"/>
        </w:rPr>
        <w:t xml:space="preserve">Watson, D. and Head, A. (2013) </w:t>
      </w:r>
      <w:r w:rsidRPr="00BA46CD">
        <w:rPr>
          <w:rFonts w:ascii="Times New Roman" w:hAnsi="Times New Roman" w:cs="Times New Roman"/>
          <w:i/>
          <w:sz w:val="24"/>
          <w:szCs w:val="24"/>
        </w:rPr>
        <w:t>Corporate Finance Principles and Practice, 6th edition</w:t>
      </w:r>
      <w:r w:rsidRPr="00BA46CD">
        <w:rPr>
          <w:rFonts w:ascii="Times New Roman" w:hAnsi="Times New Roman" w:cs="Times New Roman"/>
          <w:sz w:val="24"/>
          <w:szCs w:val="24"/>
        </w:rPr>
        <w:t xml:space="preserve">. AU: Pearson Education </w:t>
      </w:r>
    </w:p>
    <w:p w:rsidR="00F76FF6" w:rsidRPr="00BA46CD" w:rsidRDefault="00F76FF6" w:rsidP="00D30166">
      <w:pPr>
        <w:spacing w:line="360" w:lineRule="auto"/>
        <w:ind w:left="720" w:hanging="720"/>
        <w:jc w:val="both"/>
        <w:rPr>
          <w:rFonts w:ascii="Times New Roman" w:hAnsi="Times New Roman" w:cs="Times New Roman"/>
          <w:sz w:val="24"/>
          <w:szCs w:val="24"/>
        </w:rPr>
      </w:pPr>
      <w:r w:rsidRPr="00BA46CD">
        <w:rPr>
          <w:rFonts w:ascii="Times New Roman" w:hAnsi="Times New Roman" w:cs="Times New Roman"/>
          <w:sz w:val="24"/>
          <w:szCs w:val="24"/>
        </w:rPr>
        <w:t xml:space="preserve">Weetman, P. (2013) </w:t>
      </w:r>
      <w:r w:rsidRPr="00BA46CD">
        <w:rPr>
          <w:rFonts w:ascii="Times New Roman" w:hAnsi="Times New Roman" w:cs="Times New Roman"/>
          <w:i/>
          <w:sz w:val="24"/>
          <w:szCs w:val="24"/>
        </w:rPr>
        <w:t>Financial and Management Accounting, An Introduction, 6th edition</w:t>
      </w:r>
      <w:r w:rsidRPr="00BA46CD">
        <w:rPr>
          <w:rFonts w:ascii="Times New Roman" w:hAnsi="Times New Roman" w:cs="Times New Roman"/>
          <w:sz w:val="24"/>
          <w:szCs w:val="24"/>
        </w:rPr>
        <w:t>. AU: Pearson Education</w:t>
      </w:r>
    </w:p>
    <w:p w:rsidR="00F76FF6" w:rsidRPr="00BA46CD" w:rsidRDefault="00F76FF6" w:rsidP="00D30166">
      <w:pPr>
        <w:spacing w:line="360" w:lineRule="auto"/>
        <w:ind w:left="720" w:hanging="720"/>
        <w:jc w:val="both"/>
        <w:rPr>
          <w:rFonts w:ascii="Times New Roman" w:hAnsi="Times New Roman" w:cs="Times New Roman"/>
          <w:sz w:val="24"/>
          <w:szCs w:val="24"/>
        </w:rPr>
      </w:pPr>
      <w:r w:rsidRPr="00BA46CD">
        <w:rPr>
          <w:rFonts w:ascii="Times New Roman" w:hAnsi="Times New Roman" w:cs="Times New Roman"/>
          <w:color w:val="222222"/>
          <w:sz w:val="24"/>
          <w:szCs w:val="24"/>
          <w:shd w:val="clear" w:color="auto" w:fill="FFFFFF"/>
        </w:rPr>
        <w:lastRenderedPageBreak/>
        <w:t>Weil, R. L., Schipper, K., and Francis, J. (2013) </w:t>
      </w:r>
      <w:r w:rsidRPr="00BA46CD">
        <w:rPr>
          <w:rFonts w:ascii="Times New Roman" w:hAnsi="Times New Roman" w:cs="Times New Roman"/>
          <w:i/>
          <w:iCs/>
          <w:color w:val="222222"/>
          <w:sz w:val="24"/>
          <w:szCs w:val="24"/>
          <w:shd w:val="clear" w:color="auto" w:fill="FFFFFF"/>
        </w:rPr>
        <w:t>Financial accounting: an introduction to concepts, methods and uses</w:t>
      </w:r>
      <w:r w:rsidRPr="00BA46CD">
        <w:rPr>
          <w:rFonts w:ascii="Times New Roman" w:hAnsi="Times New Roman" w:cs="Times New Roman"/>
          <w:color w:val="222222"/>
          <w:sz w:val="24"/>
          <w:szCs w:val="24"/>
          <w:shd w:val="clear" w:color="auto" w:fill="FFFFFF"/>
        </w:rPr>
        <w:t>. USA: Cengage Learning.</w:t>
      </w:r>
      <w:r w:rsidRPr="00BA46CD">
        <w:rPr>
          <w:rFonts w:ascii="Times New Roman" w:hAnsi="Times New Roman" w:cs="Times New Roman"/>
          <w:sz w:val="24"/>
          <w:szCs w:val="24"/>
        </w:rPr>
        <w:t xml:space="preserve"> </w:t>
      </w:r>
    </w:p>
    <w:p w:rsidR="00263040" w:rsidRPr="00BA46CD" w:rsidRDefault="00263040" w:rsidP="00D30166">
      <w:pPr>
        <w:spacing w:line="360" w:lineRule="auto"/>
        <w:jc w:val="both"/>
        <w:rPr>
          <w:rFonts w:ascii="Times New Roman" w:hAnsi="Times New Roman" w:cs="Times New Roman"/>
          <w:sz w:val="24"/>
          <w:szCs w:val="24"/>
        </w:rPr>
      </w:pPr>
    </w:p>
    <w:sectPr w:rsidR="00263040" w:rsidRPr="00BA46CD" w:rsidSect="004C7554">
      <w:headerReference w:type="default" r:id="rId17"/>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D6CE2" w:rsidRDefault="00CD6CE2" w:rsidP="00415D73">
      <w:pPr>
        <w:spacing w:after="0" w:line="240" w:lineRule="auto"/>
      </w:pPr>
      <w:r>
        <w:separator/>
      </w:r>
    </w:p>
  </w:endnote>
  <w:endnote w:type="continuationSeparator" w:id="1">
    <w:p w:rsidR="00CD6CE2" w:rsidRDefault="00CD6CE2" w:rsidP="00415D73">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D6CE2" w:rsidRDefault="00CD6CE2" w:rsidP="00415D73">
      <w:pPr>
        <w:spacing w:after="0" w:line="240" w:lineRule="auto"/>
      </w:pPr>
      <w:r>
        <w:separator/>
      </w:r>
    </w:p>
  </w:footnote>
  <w:footnote w:type="continuationSeparator" w:id="1">
    <w:p w:rsidR="00CD6CE2" w:rsidRDefault="00CD6CE2" w:rsidP="00415D73">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rPr>
        <w:rFonts w:ascii="Times New Roman" w:hAnsi="Times New Roman" w:cs="Times New Roman"/>
        <w:sz w:val="24"/>
        <w:szCs w:val="24"/>
      </w:rPr>
      <w:id w:val="267587969"/>
      <w:docPartObj>
        <w:docPartGallery w:val="Page Numbers (Top of Page)"/>
        <w:docPartUnique/>
      </w:docPartObj>
    </w:sdtPr>
    <w:sdtContent>
      <w:p w:rsidR="00EF39A7" w:rsidRPr="00415D73" w:rsidRDefault="00CD46E9">
        <w:pPr>
          <w:pStyle w:val="Header"/>
          <w:jc w:val="right"/>
          <w:rPr>
            <w:rFonts w:ascii="Times New Roman" w:hAnsi="Times New Roman" w:cs="Times New Roman"/>
            <w:sz w:val="24"/>
            <w:szCs w:val="24"/>
          </w:rPr>
        </w:pPr>
        <w:r w:rsidRPr="00415D73">
          <w:rPr>
            <w:rFonts w:ascii="Times New Roman" w:hAnsi="Times New Roman" w:cs="Times New Roman"/>
            <w:sz w:val="24"/>
            <w:szCs w:val="24"/>
          </w:rPr>
          <w:fldChar w:fldCharType="begin"/>
        </w:r>
        <w:r w:rsidR="00EF39A7" w:rsidRPr="00415D73">
          <w:rPr>
            <w:rFonts w:ascii="Times New Roman" w:hAnsi="Times New Roman" w:cs="Times New Roman"/>
            <w:sz w:val="24"/>
            <w:szCs w:val="24"/>
          </w:rPr>
          <w:instrText xml:space="preserve"> PAGE   \* MERGEFORMAT </w:instrText>
        </w:r>
        <w:r w:rsidRPr="00415D73">
          <w:rPr>
            <w:rFonts w:ascii="Times New Roman" w:hAnsi="Times New Roman" w:cs="Times New Roman"/>
            <w:sz w:val="24"/>
            <w:szCs w:val="24"/>
          </w:rPr>
          <w:fldChar w:fldCharType="separate"/>
        </w:r>
        <w:r w:rsidR="00261C5B">
          <w:rPr>
            <w:rFonts w:ascii="Times New Roman" w:hAnsi="Times New Roman" w:cs="Times New Roman"/>
            <w:noProof/>
            <w:sz w:val="24"/>
            <w:szCs w:val="24"/>
          </w:rPr>
          <w:t>1</w:t>
        </w:r>
        <w:r w:rsidRPr="00415D73">
          <w:rPr>
            <w:rFonts w:ascii="Times New Roman" w:hAnsi="Times New Roman" w:cs="Times New Roman"/>
            <w:sz w:val="24"/>
            <w:szCs w:val="24"/>
          </w:rPr>
          <w:fldChar w:fldCharType="end"/>
        </w:r>
      </w:p>
    </w:sdtContent>
  </w:sdt>
  <w:p w:rsidR="00EF39A7" w:rsidRPr="00415D73" w:rsidRDefault="00EF39A7">
    <w:pPr>
      <w:pStyle w:val="Header"/>
      <w:rPr>
        <w:rFonts w:ascii="Times New Roman" w:hAnsi="Times New Roman" w:cs="Times New Roman"/>
        <w:sz w:val="24"/>
        <w:szCs w:val="24"/>
      </w:rPr>
    </w:pPr>
  </w:p>
</w:hdr>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6"/>
  <w:defaultTabStop w:val="720"/>
  <w:characterSpacingControl w:val="doNotCompress"/>
  <w:footnotePr>
    <w:footnote w:id="0"/>
    <w:footnote w:id="1"/>
  </w:footnotePr>
  <w:endnotePr>
    <w:endnote w:id="0"/>
    <w:endnote w:id="1"/>
  </w:endnotePr>
  <w:compat>
    <w:useFELayout/>
  </w:compat>
  <w:docVars>
    <w:docVar w:name="__Grammarly_42____i" w:val="H4sIAAAAAAAEAKtWckksSQxILCpxzi/NK1GyMqwFAAEhoTITAAAA"/>
    <w:docVar w:name="__Grammarly_42___1" w:val="H4sIAAAAAAAEAKtWcslP9kxRslIyNDYytjQ1NjY1M7G0NDQ0NjVW0lEKTi0uzszPAykwNK0FAO9wiVktAAAA"/>
  </w:docVars>
  <w:rsids>
    <w:rsidRoot w:val="005414E8"/>
    <w:rsid w:val="000010CE"/>
    <w:rsid w:val="00012C87"/>
    <w:rsid w:val="000166D9"/>
    <w:rsid w:val="00017BD2"/>
    <w:rsid w:val="0002598F"/>
    <w:rsid w:val="000373D0"/>
    <w:rsid w:val="000543FC"/>
    <w:rsid w:val="000606A1"/>
    <w:rsid w:val="00071199"/>
    <w:rsid w:val="00071AF0"/>
    <w:rsid w:val="000720DD"/>
    <w:rsid w:val="00072E95"/>
    <w:rsid w:val="000822FB"/>
    <w:rsid w:val="000B33D7"/>
    <w:rsid w:val="000C317D"/>
    <w:rsid w:val="000C354B"/>
    <w:rsid w:val="000D3870"/>
    <w:rsid w:val="000F446B"/>
    <w:rsid w:val="00103E0C"/>
    <w:rsid w:val="00103F13"/>
    <w:rsid w:val="001368CA"/>
    <w:rsid w:val="00164811"/>
    <w:rsid w:val="00165E75"/>
    <w:rsid w:val="00172207"/>
    <w:rsid w:val="001734FE"/>
    <w:rsid w:val="001810DE"/>
    <w:rsid w:val="0018403A"/>
    <w:rsid w:val="001B2A46"/>
    <w:rsid w:val="001B7058"/>
    <w:rsid w:val="001D6989"/>
    <w:rsid w:val="001D6FC2"/>
    <w:rsid w:val="001E0BC8"/>
    <w:rsid w:val="001F0B53"/>
    <w:rsid w:val="00233EEF"/>
    <w:rsid w:val="002378DB"/>
    <w:rsid w:val="00260EDB"/>
    <w:rsid w:val="00261C5B"/>
    <w:rsid w:val="00263040"/>
    <w:rsid w:val="0028018D"/>
    <w:rsid w:val="00283EED"/>
    <w:rsid w:val="002B3E1F"/>
    <w:rsid w:val="002B7501"/>
    <w:rsid w:val="002D3C63"/>
    <w:rsid w:val="002E16F5"/>
    <w:rsid w:val="00311EEF"/>
    <w:rsid w:val="00320A15"/>
    <w:rsid w:val="003278B3"/>
    <w:rsid w:val="00334CB6"/>
    <w:rsid w:val="00373987"/>
    <w:rsid w:val="00382CC2"/>
    <w:rsid w:val="0039497E"/>
    <w:rsid w:val="003962B5"/>
    <w:rsid w:val="00397257"/>
    <w:rsid w:val="003B5A6D"/>
    <w:rsid w:val="003B5E17"/>
    <w:rsid w:val="003C1C07"/>
    <w:rsid w:val="003C1D6B"/>
    <w:rsid w:val="003C63C9"/>
    <w:rsid w:val="003D2F10"/>
    <w:rsid w:val="003D44C0"/>
    <w:rsid w:val="003F4D0D"/>
    <w:rsid w:val="003F6775"/>
    <w:rsid w:val="00402C66"/>
    <w:rsid w:val="00415D73"/>
    <w:rsid w:val="004204A9"/>
    <w:rsid w:val="0042669F"/>
    <w:rsid w:val="0043343B"/>
    <w:rsid w:val="0043573D"/>
    <w:rsid w:val="00440C39"/>
    <w:rsid w:val="00446352"/>
    <w:rsid w:val="0044725C"/>
    <w:rsid w:val="00453255"/>
    <w:rsid w:val="00477163"/>
    <w:rsid w:val="00486659"/>
    <w:rsid w:val="00487AC5"/>
    <w:rsid w:val="004A7759"/>
    <w:rsid w:val="004B2118"/>
    <w:rsid w:val="004B53D4"/>
    <w:rsid w:val="004C07E6"/>
    <w:rsid w:val="004C2543"/>
    <w:rsid w:val="004C7554"/>
    <w:rsid w:val="004C7E14"/>
    <w:rsid w:val="004E1E79"/>
    <w:rsid w:val="00506F28"/>
    <w:rsid w:val="00532A51"/>
    <w:rsid w:val="005414E8"/>
    <w:rsid w:val="005458E1"/>
    <w:rsid w:val="0056143A"/>
    <w:rsid w:val="00565B37"/>
    <w:rsid w:val="00575E66"/>
    <w:rsid w:val="00576285"/>
    <w:rsid w:val="00576A53"/>
    <w:rsid w:val="00577A6A"/>
    <w:rsid w:val="00596C81"/>
    <w:rsid w:val="005A4958"/>
    <w:rsid w:val="005B02D5"/>
    <w:rsid w:val="005B3BF3"/>
    <w:rsid w:val="005B6549"/>
    <w:rsid w:val="005B6672"/>
    <w:rsid w:val="005C76AA"/>
    <w:rsid w:val="005E1C57"/>
    <w:rsid w:val="005E34D5"/>
    <w:rsid w:val="005F73FB"/>
    <w:rsid w:val="006020DC"/>
    <w:rsid w:val="0062682F"/>
    <w:rsid w:val="006415E4"/>
    <w:rsid w:val="00642B99"/>
    <w:rsid w:val="00655EF8"/>
    <w:rsid w:val="0066214F"/>
    <w:rsid w:val="006648B8"/>
    <w:rsid w:val="006A4AAC"/>
    <w:rsid w:val="006B1F80"/>
    <w:rsid w:val="006D33DB"/>
    <w:rsid w:val="006D6137"/>
    <w:rsid w:val="006E19AC"/>
    <w:rsid w:val="006E57AD"/>
    <w:rsid w:val="007070EE"/>
    <w:rsid w:val="007145C1"/>
    <w:rsid w:val="00716C3F"/>
    <w:rsid w:val="00725AE2"/>
    <w:rsid w:val="0072729D"/>
    <w:rsid w:val="00732CC1"/>
    <w:rsid w:val="00733DA9"/>
    <w:rsid w:val="007419C9"/>
    <w:rsid w:val="00743298"/>
    <w:rsid w:val="00753893"/>
    <w:rsid w:val="007560E7"/>
    <w:rsid w:val="00763FD0"/>
    <w:rsid w:val="00791013"/>
    <w:rsid w:val="00793C39"/>
    <w:rsid w:val="007A1A1F"/>
    <w:rsid w:val="007B39CA"/>
    <w:rsid w:val="007C203A"/>
    <w:rsid w:val="007C5731"/>
    <w:rsid w:val="007C6EA9"/>
    <w:rsid w:val="007D098D"/>
    <w:rsid w:val="007D177A"/>
    <w:rsid w:val="007D5E65"/>
    <w:rsid w:val="007E4511"/>
    <w:rsid w:val="007E491A"/>
    <w:rsid w:val="007E4A60"/>
    <w:rsid w:val="007E5370"/>
    <w:rsid w:val="007F20E3"/>
    <w:rsid w:val="00806C67"/>
    <w:rsid w:val="008070C7"/>
    <w:rsid w:val="008263C8"/>
    <w:rsid w:val="008362EE"/>
    <w:rsid w:val="008375CA"/>
    <w:rsid w:val="00837E27"/>
    <w:rsid w:val="00841846"/>
    <w:rsid w:val="00845EDB"/>
    <w:rsid w:val="00853CCB"/>
    <w:rsid w:val="008558E0"/>
    <w:rsid w:val="00857800"/>
    <w:rsid w:val="008778C4"/>
    <w:rsid w:val="00880B1A"/>
    <w:rsid w:val="008818D4"/>
    <w:rsid w:val="008A5178"/>
    <w:rsid w:val="008B246E"/>
    <w:rsid w:val="008D176D"/>
    <w:rsid w:val="008D3A51"/>
    <w:rsid w:val="008D5857"/>
    <w:rsid w:val="008F47E0"/>
    <w:rsid w:val="009019D6"/>
    <w:rsid w:val="00901EFA"/>
    <w:rsid w:val="009109ED"/>
    <w:rsid w:val="009336FA"/>
    <w:rsid w:val="00940FD5"/>
    <w:rsid w:val="00953C28"/>
    <w:rsid w:val="009575D6"/>
    <w:rsid w:val="00973F91"/>
    <w:rsid w:val="009807AF"/>
    <w:rsid w:val="009845BB"/>
    <w:rsid w:val="009A0AEC"/>
    <w:rsid w:val="009B13AD"/>
    <w:rsid w:val="009C16B6"/>
    <w:rsid w:val="009D08B3"/>
    <w:rsid w:val="009E2820"/>
    <w:rsid w:val="009E474D"/>
    <w:rsid w:val="009E542F"/>
    <w:rsid w:val="00A02811"/>
    <w:rsid w:val="00A235D2"/>
    <w:rsid w:val="00A35D66"/>
    <w:rsid w:val="00A4223C"/>
    <w:rsid w:val="00A4240C"/>
    <w:rsid w:val="00A44639"/>
    <w:rsid w:val="00A45659"/>
    <w:rsid w:val="00A465FE"/>
    <w:rsid w:val="00A527DD"/>
    <w:rsid w:val="00A6164D"/>
    <w:rsid w:val="00A66FA1"/>
    <w:rsid w:val="00A73E82"/>
    <w:rsid w:val="00A7547A"/>
    <w:rsid w:val="00A82889"/>
    <w:rsid w:val="00A83891"/>
    <w:rsid w:val="00AB5F5B"/>
    <w:rsid w:val="00AC7D90"/>
    <w:rsid w:val="00AE6EC9"/>
    <w:rsid w:val="00B144CD"/>
    <w:rsid w:val="00B30CDC"/>
    <w:rsid w:val="00B404F2"/>
    <w:rsid w:val="00B521D4"/>
    <w:rsid w:val="00B521EE"/>
    <w:rsid w:val="00B529DE"/>
    <w:rsid w:val="00B628E0"/>
    <w:rsid w:val="00B63055"/>
    <w:rsid w:val="00B740DB"/>
    <w:rsid w:val="00B91001"/>
    <w:rsid w:val="00B91ED7"/>
    <w:rsid w:val="00B96BFF"/>
    <w:rsid w:val="00BA46CD"/>
    <w:rsid w:val="00BB794A"/>
    <w:rsid w:val="00BD008E"/>
    <w:rsid w:val="00BD5AF0"/>
    <w:rsid w:val="00BE2860"/>
    <w:rsid w:val="00BF1562"/>
    <w:rsid w:val="00BF1C22"/>
    <w:rsid w:val="00BF1E79"/>
    <w:rsid w:val="00C13DB7"/>
    <w:rsid w:val="00C3127E"/>
    <w:rsid w:val="00C31D4B"/>
    <w:rsid w:val="00C321B0"/>
    <w:rsid w:val="00C71A92"/>
    <w:rsid w:val="00C72212"/>
    <w:rsid w:val="00C82402"/>
    <w:rsid w:val="00C97ED9"/>
    <w:rsid w:val="00CA2A04"/>
    <w:rsid w:val="00CB5B3A"/>
    <w:rsid w:val="00CD0592"/>
    <w:rsid w:val="00CD46E9"/>
    <w:rsid w:val="00CD6CE2"/>
    <w:rsid w:val="00CE2244"/>
    <w:rsid w:val="00CF33F9"/>
    <w:rsid w:val="00CF4583"/>
    <w:rsid w:val="00D07682"/>
    <w:rsid w:val="00D1236C"/>
    <w:rsid w:val="00D148B1"/>
    <w:rsid w:val="00D16CA3"/>
    <w:rsid w:val="00D30166"/>
    <w:rsid w:val="00D3350B"/>
    <w:rsid w:val="00D360B9"/>
    <w:rsid w:val="00D41760"/>
    <w:rsid w:val="00D42003"/>
    <w:rsid w:val="00D45AAC"/>
    <w:rsid w:val="00D52D63"/>
    <w:rsid w:val="00D53EF8"/>
    <w:rsid w:val="00D6217B"/>
    <w:rsid w:val="00D66950"/>
    <w:rsid w:val="00D7232D"/>
    <w:rsid w:val="00D74535"/>
    <w:rsid w:val="00D9238F"/>
    <w:rsid w:val="00D939B3"/>
    <w:rsid w:val="00D94109"/>
    <w:rsid w:val="00DB5B6A"/>
    <w:rsid w:val="00DC5559"/>
    <w:rsid w:val="00DE2582"/>
    <w:rsid w:val="00DE3F50"/>
    <w:rsid w:val="00DF24C2"/>
    <w:rsid w:val="00DF69F2"/>
    <w:rsid w:val="00DF71DC"/>
    <w:rsid w:val="00E34FF5"/>
    <w:rsid w:val="00E55186"/>
    <w:rsid w:val="00E6088D"/>
    <w:rsid w:val="00E621CD"/>
    <w:rsid w:val="00E6403C"/>
    <w:rsid w:val="00E73CAF"/>
    <w:rsid w:val="00E81CD0"/>
    <w:rsid w:val="00E90C6A"/>
    <w:rsid w:val="00E9168E"/>
    <w:rsid w:val="00EA0C53"/>
    <w:rsid w:val="00EA211A"/>
    <w:rsid w:val="00ED7485"/>
    <w:rsid w:val="00EE5A31"/>
    <w:rsid w:val="00EE6292"/>
    <w:rsid w:val="00EF1D74"/>
    <w:rsid w:val="00EF39A7"/>
    <w:rsid w:val="00F06CDF"/>
    <w:rsid w:val="00F07896"/>
    <w:rsid w:val="00F07A02"/>
    <w:rsid w:val="00F10E26"/>
    <w:rsid w:val="00F2143F"/>
    <w:rsid w:val="00F46E79"/>
    <w:rsid w:val="00F75692"/>
    <w:rsid w:val="00F76FF6"/>
    <w:rsid w:val="00F92F62"/>
    <w:rsid w:val="00F93665"/>
    <w:rsid w:val="00F96C51"/>
    <w:rsid w:val="00FA3AA7"/>
    <w:rsid w:val="00FA4B4C"/>
    <w:rsid w:val="00FA5BB1"/>
    <w:rsid w:val="00FC1B6E"/>
    <w:rsid w:val="00FD1D80"/>
    <w:rsid w:val="00FD7781"/>
    <w:rsid w:val="00FF0484"/>
    <w:rsid w:val="00FF31CB"/>
    <w:rsid w:val="00FF6D65"/>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150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C7554"/>
  </w:style>
  <w:style w:type="paragraph" w:styleId="Heading1">
    <w:name w:val="heading 1"/>
    <w:basedOn w:val="Normal"/>
    <w:next w:val="Normal"/>
    <w:link w:val="Heading1Char"/>
    <w:uiPriority w:val="9"/>
    <w:qFormat/>
    <w:rsid w:val="00D360B9"/>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CF4583"/>
    <w:pPr>
      <w:keepNext/>
      <w:keepLines/>
      <w:spacing w:before="200" w:after="0"/>
      <w:outlineLvl w:val="1"/>
    </w:pPr>
    <w:rPr>
      <w:rFonts w:asciiTheme="majorHAnsi" w:eastAsiaTheme="majorEastAsia" w:hAnsiTheme="majorHAnsi" w:cstheme="majorBidi"/>
      <w:b/>
      <w:bCs/>
      <w:color w:val="4F81BD" w:themeColor="accent1"/>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360B9"/>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CF4583"/>
    <w:rPr>
      <w:rFonts w:asciiTheme="majorHAnsi" w:eastAsiaTheme="majorEastAsia" w:hAnsiTheme="majorHAnsi" w:cstheme="majorBidi"/>
      <w:b/>
      <w:bCs/>
      <w:color w:val="4F81BD" w:themeColor="accent1"/>
      <w:sz w:val="26"/>
      <w:szCs w:val="26"/>
    </w:rPr>
  </w:style>
  <w:style w:type="paragraph" w:styleId="Header">
    <w:name w:val="header"/>
    <w:basedOn w:val="Normal"/>
    <w:link w:val="HeaderChar"/>
    <w:uiPriority w:val="99"/>
    <w:unhideWhenUsed/>
    <w:rsid w:val="00415D73"/>
    <w:pPr>
      <w:tabs>
        <w:tab w:val="center" w:pos="4680"/>
        <w:tab w:val="right" w:pos="9360"/>
      </w:tabs>
      <w:spacing w:after="0" w:line="240" w:lineRule="auto"/>
    </w:pPr>
  </w:style>
  <w:style w:type="character" w:customStyle="1" w:styleId="HeaderChar">
    <w:name w:val="Header Char"/>
    <w:basedOn w:val="DefaultParagraphFont"/>
    <w:link w:val="Header"/>
    <w:uiPriority w:val="99"/>
    <w:rsid w:val="00415D73"/>
  </w:style>
  <w:style w:type="paragraph" w:styleId="Footer">
    <w:name w:val="footer"/>
    <w:basedOn w:val="Normal"/>
    <w:link w:val="FooterChar"/>
    <w:uiPriority w:val="99"/>
    <w:semiHidden/>
    <w:unhideWhenUsed/>
    <w:rsid w:val="00415D73"/>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415D73"/>
  </w:style>
  <w:style w:type="paragraph" w:styleId="TOCHeading">
    <w:name w:val="TOC Heading"/>
    <w:basedOn w:val="Heading1"/>
    <w:next w:val="Normal"/>
    <w:uiPriority w:val="39"/>
    <w:semiHidden/>
    <w:unhideWhenUsed/>
    <w:qFormat/>
    <w:rsid w:val="00415D73"/>
    <w:pPr>
      <w:outlineLvl w:val="9"/>
    </w:pPr>
  </w:style>
  <w:style w:type="paragraph" w:styleId="TOC1">
    <w:name w:val="toc 1"/>
    <w:basedOn w:val="Normal"/>
    <w:next w:val="Normal"/>
    <w:autoRedefine/>
    <w:uiPriority w:val="39"/>
    <w:unhideWhenUsed/>
    <w:rsid w:val="00415D73"/>
    <w:pPr>
      <w:spacing w:after="100"/>
    </w:pPr>
  </w:style>
  <w:style w:type="paragraph" w:styleId="TOC2">
    <w:name w:val="toc 2"/>
    <w:basedOn w:val="Normal"/>
    <w:next w:val="Normal"/>
    <w:autoRedefine/>
    <w:uiPriority w:val="39"/>
    <w:unhideWhenUsed/>
    <w:rsid w:val="00415D73"/>
    <w:pPr>
      <w:spacing w:after="100"/>
      <w:ind w:left="220"/>
    </w:pPr>
  </w:style>
  <w:style w:type="character" w:styleId="Hyperlink">
    <w:name w:val="Hyperlink"/>
    <w:basedOn w:val="DefaultParagraphFont"/>
    <w:uiPriority w:val="99"/>
    <w:unhideWhenUsed/>
    <w:rsid w:val="00415D73"/>
    <w:rPr>
      <w:color w:val="0000FF" w:themeColor="hyperlink"/>
      <w:u w:val="single"/>
    </w:rPr>
  </w:style>
  <w:style w:type="paragraph" w:styleId="BalloonText">
    <w:name w:val="Balloon Text"/>
    <w:basedOn w:val="Normal"/>
    <w:link w:val="BalloonTextChar"/>
    <w:uiPriority w:val="99"/>
    <w:semiHidden/>
    <w:unhideWhenUsed/>
    <w:rsid w:val="00415D73"/>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15D73"/>
    <w:rPr>
      <w:rFonts w:ascii="Tahoma" w:hAnsi="Tahoma" w:cs="Tahoma"/>
      <w:sz w:val="16"/>
      <w:szCs w:val="16"/>
    </w:rPr>
  </w:style>
  <w:style w:type="character" w:customStyle="1" w:styleId="apple-converted-space">
    <w:name w:val="apple-converted-space"/>
    <w:basedOn w:val="DefaultParagraphFont"/>
    <w:rsid w:val="005E1C57"/>
  </w:style>
</w:styles>
</file>

<file path=word/webSettings.xml><?xml version="1.0" encoding="utf-8"?>
<w:webSettings xmlns:r="http://schemas.openxmlformats.org/officeDocument/2006/relationships" xmlns:w="http://schemas.openxmlformats.org/wordprocessingml/2006/main">
  <w:divs>
    <w:div w:id="139347841">
      <w:bodyDiv w:val="1"/>
      <w:marLeft w:val="0"/>
      <w:marRight w:val="0"/>
      <w:marTop w:val="0"/>
      <w:marBottom w:val="0"/>
      <w:divBdr>
        <w:top w:val="none" w:sz="0" w:space="0" w:color="auto"/>
        <w:left w:val="none" w:sz="0" w:space="0" w:color="auto"/>
        <w:bottom w:val="none" w:sz="0" w:space="0" w:color="auto"/>
        <w:right w:val="none" w:sz="0" w:space="0" w:color="auto"/>
      </w:divBdr>
    </w:div>
    <w:div w:id="145322826">
      <w:bodyDiv w:val="1"/>
      <w:marLeft w:val="0"/>
      <w:marRight w:val="0"/>
      <w:marTop w:val="0"/>
      <w:marBottom w:val="0"/>
      <w:divBdr>
        <w:top w:val="none" w:sz="0" w:space="0" w:color="auto"/>
        <w:left w:val="none" w:sz="0" w:space="0" w:color="auto"/>
        <w:bottom w:val="none" w:sz="0" w:space="0" w:color="auto"/>
        <w:right w:val="none" w:sz="0" w:space="0" w:color="auto"/>
      </w:divBdr>
    </w:div>
    <w:div w:id="359207355">
      <w:bodyDiv w:val="1"/>
      <w:marLeft w:val="0"/>
      <w:marRight w:val="0"/>
      <w:marTop w:val="0"/>
      <w:marBottom w:val="0"/>
      <w:divBdr>
        <w:top w:val="none" w:sz="0" w:space="0" w:color="auto"/>
        <w:left w:val="none" w:sz="0" w:space="0" w:color="auto"/>
        <w:bottom w:val="none" w:sz="0" w:space="0" w:color="auto"/>
        <w:right w:val="none" w:sz="0" w:space="0" w:color="auto"/>
      </w:divBdr>
    </w:div>
    <w:div w:id="361396942">
      <w:bodyDiv w:val="1"/>
      <w:marLeft w:val="0"/>
      <w:marRight w:val="0"/>
      <w:marTop w:val="0"/>
      <w:marBottom w:val="0"/>
      <w:divBdr>
        <w:top w:val="none" w:sz="0" w:space="0" w:color="auto"/>
        <w:left w:val="none" w:sz="0" w:space="0" w:color="auto"/>
        <w:bottom w:val="none" w:sz="0" w:space="0" w:color="auto"/>
        <w:right w:val="none" w:sz="0" w:space="0" w:color="auto"/>
      </w:divBdr>
    </w:div>
    <w:div w:id="410280016">
      <w:bodyDiv w:val="1"/>
      <w:marLeft w:val="0"/>
      <w:marRight w:val="0"/>
      <w:marTop w:val="0"/>
      <w:marBottom w:val="0"/>
      <w:divBdr>
        <w:top w:val="none" w:sz="0" w:space="0" w:color="auto"/>
        <w:left w:val="none" w:sz="0" w:space="0" w:color="auto"/>
        <w:bottom w:val="none" w:sz="0" w:space="0" w:color="auto"/>
        <w:right w:val="none" w:sz="0" w:space="0" w:color="auto"/>
      </w:divBdr>
    </w:div>
    <w:div w:id="702949267">
      <w:bodyDiv w:val="1"/>
      <w:marLeft w:val="0"/>
      <w:marRight w:val="0"/>
      <w:marTop w:val="0"/>
      <w:marBottom w:val="0"/>
      <w:divBdr>
        <w:top w:val="none" w:sz="0" w:space="0" w:color="auto"/>
        <w:left w:val="none" w:sz="0" w:space="0" w:color="auto"/>
        <w:bottom w:val="none" w:sz="0" w:space="0" w:color="auto"/>
        <w:right w:val="none" w:sz="0" w:space="0" w:color="auto"/>
      </w:divBdr>
    </w:div>
    <w:div w:id="937523287">
      <w:bodyDiv w:val="1"/>
      <w:marLeft w:val="0"/>
      <w:marRight w:val="0"/>
      <w:marTop w:val="0"/>
      <w:marBottom w:val="0"/>
      <w:divBdr>
        <w:top w:val="none" w:sz="0" w:space="0" w:color="auto"/>
        <w:left w:val="none" w:sz="0" w:space="0" w:color="auto"/>
        <w:bottom w:val="none" w:sz="0" w:space="0" w:color="auto"/>
        <w:right w:val="none" w:sz="0" w:space="0" w:color="auto"/>
      </w:divBdr>
    </w:div>
    <w:div w:id="1044066095">
      <w:bodyDiv w:val="1"/>
      <w:marLeft w:val="0"/>
      <w:marRight w:val="0"/>
      <w:marTop w:val="0"/>
      <w:marBottom w:val="0"/>
      <w:divBdr>
        <w:top w:val="none" w:sz="0" w:space="0" w:color="auto"/>
        <w:left w:val="none" w:sz="0" w:space="0" w:color="auto"/>
        <w:bottom w:val="none" w:sz="0" w:space="0" w:color="auto"/>
        <w:right w:val="none" w:sz="0" w:space="0" w:color="auto"/>
      </w:divBdr>
    </w:div>
    <w:div w:id="1526677632">
      <w:bodyDiv w:val="1"/>
      <w:marLeft w:val="0"/>
      <w:marRight w:val="0"/>
      <w:marTop w:val="0"/>
      <w:marBottom w:val="0"/>
      <w:divBdr>
        <w:top w:val="none" w:sz="0" w:space="0" w:color="auto"/>
        <w:left w:val="none" w:sz="0" w:space="0" w:color="auto"/>
        <w:bottom w:val="none" w:sz="0" w:space="0" w:color="auto"/>
        <w:right w:val="none" w:sz="0" w:space="0" w:color="auto"/>
      </w:divBdr>
    </w:div>
    <w:div w:id="188239587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google.co.in/search?tbo=p&amp;tbm=bks&amp;q=inauthor:%22Carl+S.+Warren%22&amp;source=gbs_metadata_r&amp;cad=8" TargetMode="External"/><Relationship Id="rId13" Type="http://schemas.openxmlformats.org/officeDocument/2006/relationships/hyperlink" Target="https://www.google.co.in/search?tbo=p&amp;tbm=bks&amp;q=inauthor:%22Phillip+R.+Daves%22&amp;source=gbs_metadata_r&amp;cad=8"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google.co.in/search?tbo=p&amp;tbm=bks&amp;q=inauthor:%22Carl+S.+Warren%22&amp;source=gbs_metadata_r&amp;cad=8" TargetMode="External"/><Relationship Id="rId12" Type="http://schemas.openxmlformats.org/officeDocument/2006/relationships/hyperlink" Target="https://www.google.co.in/search?tbo=p&amp;tbm=bks&amp;q=inauthor:%22Eugene+F.+Brigham%22&amp;source=gbs_metadata_r&amp;cad=8" TargetMode="External"/><Relationship Id="rId17"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www.google.co.in/search?tbo=p&amp;tbm=bks&amp;q=inauthor:%22Jonathan+Duchac%22&amp;source=gbs_metadata_r&amp;cad=8" TargetMode="External"/><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hyperlink" Target="https://www.google.co.in/search?tbo=p&amp;tbm=bks&amp;q=inauthor:%22Carl+S.+Warren%22&amp;source=gbs_metadata_r&amp;cad=8" TargetMode="External"/><Relationship Id="rId5" Type="http://schemas.openxmlformats.org/officeDocument/2006/relationships/footnotes" Target="footnotes.xml"/><Relationship Id="rId15" Type="http://schemas.openxmlformats.org/officeDocument/2006/relationships/hyperlink" Target="https://www.google.co.in/search?tbo=p&amp;tbm=bks&amp;q=inauthor:%22James+M.+Reeve%22&amp;source=gbs_metadata_r&amp;cad=8" TargetMode="External"/><Relationship Id="rId10" Type="http://schemas.openxmlformats.org/officeDocument/2006/relationships/hyperlink" Target="https://www.google.co.in/search?tbo=p&amp;tbm=bks&amp;q=inauthor:%22Phillip+R.+Daves%22&amp;source=gbs_metadata_r&amp;cad=8"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hyperlink" Target="https://www.google.co.in/search?tbo=p&amp;tbm=bks&amp;q=inauthor:%22Eugene+F.+Brigham%22&amp;source=gbs_metadata_r&amp;cad=8" TargetMode="External"/><Relationship Id="rId14" Type="http://schemas.openxmlformats.org/officeDocument/2006/relationships/hyperlink" Target="https://www.google.co.in/search?tbo=p&amp;tbm=bks&amp;q=inauthor:%22Carl+S.+Warren%22&amp;source=gbs_metadata_r&amp;cad=8" TargetMode="External"/></Relationships>
</file>

<file path=word/theme/theme1.xml><?xml version="1.0" encoding="utf-8"?>
<a:theme xmlns:a="http://schemas.openxmlformats.org/drawingml/2006/main" name="Office Theme">
  <a:themeElements>
    <a:clrScheme name="Office">
      <a:dk1>
        <a:sysClr val="windowText" lastClr="FFFFFF"/>
      </a:dk1>
      <a:lt1>
        <a:sysClr val="window" lastClr="000000"/>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B385A5A-4BE6-451B-B076-B904F6188A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804</TotalTime>
  <Pages>1</Pages>
  <Words>2267</Words>
  <Characters>12925</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15162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dc:creator>
  <cp:keywords/>
  <dc:description/>
  <cp:lastModifiedBy>Windows User</cp:lastModifiedBy>
  <cp:revision>264</cp:revision>
  <dcterms:created xsi:type="dcterms:W3CDTF">2020-07-18T08:12:00Z</dcterms:created>
  <dcterms:modified xsi:type="dcterms:W3CDTF">2020-11-11T23:39:00Z</dcterms:modified>
</cp:coreProperties>
</file>