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footer12.xml" ContentType="application/vnd.openxmlformats-officedocument.wordprocessingml.footer+xml"/>
  <Override PartName="/word/styles.xml" ContentType="application/vnd.openxmlformats-officedocument.wordprocessingml.styles+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header1.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107" w:hanging="0"/>
        <w:rPr>
          <w:sz w:val="24"/>
          <w:szCs w:val="24"/>
        </w:rPr>
      </w:pPr>
      <w:r>
        <w:rPr>
          <w:sz w:val="24"/>
          <w:szCs w:val="24"/>
        </w:rPr>
      </w:r>
    </w:p>
    <w:p>
      <w:pPr>
        <w:pStyle w:val="Normal"/>
        <w:ind w:right="107" w:hanging="0"/>
        <w:rPr>
          <w:sz w:val="24"/>
          <w:szCs w:val="24"/>
        </w:rPr>
      </w:pPr>
      <w:r>
        <w:rPr/>
        <w:drawing>
          <wp:inline distT="0" distB="0" distL="0" distR="0">
            <wp:extent cx="2045335" cy="714375"/>
            <wp:effectExtent l="0" t="0" r="0" b="0"/>
            <wp:docPr id="1"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descr=""/>
                    <pic:cNvPicPr>
                      <a:picLocks noChangeAspect="1" noChangeArrowheads="1"/>
                    </pic:cNvPicPr>
                  </pic:nvPicPr>
                  <pic:blipFill>
                    <a:blip r:embed="rId2"/>
                    <a:stretch>
                      <a:fillRect/>
                    </a:stretch>
                  </pic:blipFill>
                  <pic:spPr bwMode="auto">
                    <a:xfrm>
                      <a:off x="0" y="0"/>
                      <a:ext cx="2045335" cy="714375"/>
                    </a:xfrm>
                    <a:prstGeom prst="rect">
                      <a:avLst/>
                    </a:prstGeom>
                  </pic:spPr>
                </pic:pic>
              </a:graphicData>
            </a:graphic>
          </wp:inline>
        </w:drawing>
      </w:r>
    </w:p>
    <w:p>
      <w:pPr>
        <w:pStyle w:val="Normal"/>
        <w:ind w:right="107" w:hanging="0"/>
        <w:rPr>
          <w:sz w:val="24"/>
          <w:szCs w:val="24"/>
        </w:rPr>
      </w:pPr>
      <w:r>
        <w:rPr>
          <w:sz w:val="24"/>
          <w:szCs w:val="24"/>
        </w:rPr>
      </w:r>
    </w:p>
    <w:p>
      <w:pPr>
        <w:pStyle w:val="Normal"/>
        <w:ind w:right="107" w:hanging="0"/>
        <w:rPr>
          <w:sz w:val="24"/>
          <w:szCs w:val="24"/>
        </w:rPr>
      </w:pPr>
      <w:r>
        <w:rPr>
          <w:sz w:val="24"/>
          <w:szCs w:val="24"/>
        </w:rPr>
      </w:r>
    </w:p>
    <w:p>
      <w:pPr>
        <w:pStyle w:val="Normal"/>
        <w:ind w:right="107" w:hanging="0"/>
        <w:rPr>
          <w:b/>
          <w:b/>
          <w:sz w:val="36"/>
          <w:szCs w:val="40"/>
        </w:rPr>
      </w:pPr>
      <w:r>
        <w:rPr>
          <w:b/>
          <w:sz w:val="36"/>
          <w:szCs w:val="40"/>
        </w:rPr>
        <w:t xml:space="preserve">Graduate Diploma in Professional Police Practice </w:t>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t>LEVEL 6 - 40 Credits</w:t>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0"/>
        </w:rPr>
      </w:pPr>
      <w:r>
        <w:rPr>
          <w:b/>
          <w:color w:val="auto"/>
          <w:sz w:val="40"/>
        </w:rPr>
        <w:t>Workbook title: Competency Based Workbook 1 (DHEP)</w:t>
      </w:r>
    </w:p>
    <w:p>
      <w:pPr>
        <w:pStyle w:val="Normal"/>
        <w:overflowPunct w:val="true"/>
        <w:ind w:right="107" w:hanging="0"/>
        <w:textAlignment w:val="auto"/>
        <w:rPr>
          <w:b/>
          <w:b/>
          <w:color w:val="auto"/>
          <w:sz w:val="36"/>
        </w:rPr>
      </w:pPr>
      <w:r>
        <w:rPr>
          <w:b/>
          <w:color w:val="auto"/>
          <w:sz w:val="36"/>
        </w:rPr>
      </w:r>
    </w:p>
    <w:p>
      <w:pPr>
        <w:pStyle w:val="Normal"/>
        <w:overflowPunct w:val="true"/>
        <w:ind w:right="107" w:hanging="0"/>
        <w:textAlignment w:val="auto"/>
        <w:rPr>
          <w:b/>
          <w:b/>
          <w:color w:val="auto"/>
          <w:sz w:val="36"/>
        </w:rPr>
      </w:pPr>
      <w:r>
        <w:rPr>
          <w:b/>
          <w:color w:val="auto"/>
          <w:sz w:val="36"/>
        </w:rPr>
        <w:t>(SOUTH WALES POLICE, GWENT POLICE AND UWTSD)</w:t>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tbl>
      <w:tblPr>
        <w:tblW w:w="9493" w:type="dxa"/>
        <w:jc w:val="left"/>
        <w:tblInd w:w="0" w:type="dxa"/>
        <w:tblCellMar>
          <w:top w:w="0" w:type="dxa"/>
          <w:left w:w="108" w:type="dxa"/>
          <w:bottom w:w="0" w:type="dxa"/>
          <w:right w:w="108" w:type="dxa"/>
        </w:tblCellMar>
        <w:tblLook w:firstRow="1" w:noVBand="1" w:lastRow="0" w:firstColumn="1" w:lastColumn="0" w:noHBand="0" w:val="04a0"/>
      </w:tblPr>
      <w:tblGrid>
        <w:gridCol w:w="9493"/>
      </w:tblGrid>
      <w:tr>
        <w:trPr/>
        <w:tc>
          <w:tcPr>
            <w:tcW w:w="9493" w:type="dxa"/>
            <w:tcBorders>
              <w:top w:val="single" w:sz="4" w:space="0" w:color="000000"/>
              <w:left w:val="single" w:sz="4" w:space="0" w:color="000000"/>
              <w:bottom w:val="single" w:sz="4" w:space="0" w:color="000000"/>
              <w:right w:val="single" w:sz="4" w:space="0" w:color="000000"/>
            </w:tcBorders>
            <w:shd w:color="auto" w:fill="auto" w:val="clear"/>
          </w:tcPr>
          <w:p>
            <w:pPr>
              <w:pStyle w:val="Normal"/>
              <w:overflowPunct w:val="true"/>
              <w:ind w:right="107" w:hanging="0"/>
              <w:textAlignment w:val="auto"/>
              <w:rPr>
                <w:b/>
                <w:b/>
                <w:color w:val="auto"/>
                <w:sz w:val="32"/>
              </w:rPr>
            </w:pPr>
            <w:r>
              <w:rPr>
                <w:b/>
                <w:color w:val="auto"/>
                <w:sz w:val="32"/>
              </w:rPr>
              <w:t>Learner name: Christopher Sparkes</w:t>
            </w:r>
          </w:p>
          <w:p>
            <w:pPr>
              <w:pStyle w:val="Normal"/>
              <w:overflowPunct w:val="true"/>
              <w:ind w:right="107" w:hanging="0"/>
              <w:textAlignment w:val="auto"/>
              <w:rPr>
                <w:b/>
                <w:b/>
                <w:color w:val="auto"/>
                <w:sz w:val="32"/>
              </w:rPr>
            </w:pPr>
            <w:r>
              <w:rPr>
                <w:b/>
                <w:color w:val="auto"/>
                <w:sz w:val="32"/>
              </w:rPr>
            </w:r>
          </w:p>
          <w:p>
            <w:pPr>
              <w:pStyle w:val="Normal"/>
              <w:overflowPunct w:val="true"/>
              <w:ind w:right="107" w:hanging="0"/>
              <w:textAlignment w:val="auto"/>
              <w:rPr>
                <w:b/>
                <w:b/>
                <w:color w:val="auto"/>
                <w:sz w:val="32"/>
              </w:rPr>
            </w:pPr>
            <w:r>
              <w:rPr>
                <w:b/>
                <w:color w:val="auto"/>
                <w:sz w:val="32"/>
              </w:rPr>
              <w:t>Learner’s University Registration Number:</w:t>
            </w:r>
          </w:p>
          <w:p>
            <w:pPr>
              <w:pStyle w:val="Normal"/>
              <w:overflowPunct w:val="true"/>
              <w:ind w:right="107" w:hanging="0"/>
              <w:textAlignment w:val="auto"/>
              <w:rPr>
                <w:b/>
                <w:b/>
                <w:color w:val="auto"/>
                <w:sz w:val="32"/>
              </w:rPr>
            </w:pPr>
            <w:r>
              <w:rPr>
                <w:b/>
                <w:color w:val="auto"/>
                <w:sz w:val="32"/>
              </w:rPr>
              <w:t>2131873</w:t>
            </w:r>
          </w:p>
          <w:p>
            <w:pPr>
              <w:pStyle w:val="Normal"/>
              <w:overflowPunct w:val="true"/>
              <w:ind w:right="107" w:hanging="0"/>
              <w:textAlignment w:val="auto"/>
              <w:rPr>
                <w:b/>
                <w:b/>
                <w:color w:val="auto"/>
                <w:sz w:val="32"/>
              </w:rPr>
            </w:pPr>
            <w:r>
              <w:rPr>
                <w:b/>
                <w:color w:val="auto"/>
                <w:sz w:val="32"/>
              </w:rPr>
            </w:r>
          </w:p>
        </w:tc>
      </w:tr>
    </w:tbl>
    <w:p>
      <w:pPr>
        <w:pStyle w:val="Normal"/>
        <w:overflowPunct w:val="true"/>
        <w:ind w:right="107" w:hanging="0"/>
        <w:textAlignment w:val="auto"/>
        <w:rPr>
          <w:b/>
          <w:b/>
          <w:color w:val="auto"/>
          <w:sz w:val="36"/>
        </w:rPr>
      </w:pPr>
      <w:r>
        <w:rPr>
          <w:b/>
          <w:color w:val="auto"/>
          <w:sz w:val="36"/>
        </w:rPr>
        <w:t xml:space="preserve"> </w:t>
      </w:r>
    </w:p>
    <w:p>
      <w:pPr>
        <w:pStyle w:val="Normal"/>
        <w:overflowPunct w:val="true"/>
        <w:ind w:right="107" w:hanging="0"/>
        <w:textAlignment w:val="auto"/>
        <w:rPr>
          <w:b/>
          <w:b/>
          <w:color w:val="auto"/>
          <w:sz w:val="36"/>
        </w:rPr>
      </w:pPr>
      <w:r>
        <w:rPr>
          <w:b/>
          <w:color w:val="auto"/>
          <w:sz w:val="36"/>
        </w:rPr>
      </w:r>
    </w:p>
    <w:p>
      <w:pPr>
        <w:pStyle w:val="Normal"/>
        <w:overflowPunct w:val="true"/>
        <w:ind w:right="107" w:hanging="0"/>
        <w:textAlignment w:val="auto"/>
        <w:rPr>
          <w:b/>
          <w:b/>
          <w:color w:val="auto"/>
          <w:sz w:val="36"/>
        </w:rPr>
      </w:pPr>
      <w:r>
        <w:rPr>
          <w:b/>
          <w:color w:val="auto"/>
          <w:sz w:val="36"/>
        </w:rPr>
      </w:r>
    </w:p>
    <w:p>
      <w:pPr>
        <w:pStyle w:val="Normal"/>
        <w:overflowPunct w:val="true"/>
        <w:ind w:right="107" w:hanging="0"/>
        <w:textAlignment w:val="auto"/>
        <w:rPr>
          <w:b/>
          <w:b/>
          <w:color w:val="auto"/>
          <w:sz w:val="40"/>
          <w:szCs w:val="56"/>
        </w:rPr>
      </w:pPr>
      <w:r>
        <w:rPr>
          <w:b/>
          <w:color w:val="auto"/>
          <w:sz w:val="40"/>
          <w:szCs w:val="56"/>
        </w:rPr>
        <w:t>FACULTY OF BUSINESS AND MANAGEMENT</w:t>
      </w:r>
    </w:p>
    <w:p>
      <w:pPr>
        <w:pStyle w:val="Normal"/>
        <w:overflowPunct w:val="true"/>
        <w:ind w:right="107" w:hanging="0"/>
        <w:textAlignment w:val="auto"/>
        <w:rPr>
          <w:b/>
          <w:b/>
          <w:color w:val="auto"/>
          <w:sz w:val="40"/>
          <w:szCs w:val="56"/>
        </w:rPr>
      </w:pPr>
      <w:r>
        <w:rPr>
          <w:b/>
          <w:color w:val="auto"/>
          <w:sz w:val="40"/>
          <w:szCs w:val="56"/>
        </w:rPr>
        <w:t>PUBLIC SERVICE PROGRAMME</w:t>
      </w:r>
    </w:p>
    <w:p>
      <w:pPr>
        <w:pStyle w:val="Normal"/>
        <w:overflowPunct w:val="true"/>
        <w:ind w:right="107" w:hanging="0"/>
        <w:textAlignment w:val="auto"/>
        <w:rPr>
          <w:b/>
          <w:b/>
          <w:i/>
          <w:i/>
          <w:color w:val="auto"/>
          <w:sz w:val="24"/>
        </w:rPr>
      </w:pPr>
      <w:r>
        <w:rPr>
          <w:b/>
          <w:i/>
          <w:color w:val="auto"/>
          <w:sz w:val="24"/>
        </w:rPr>
      </w:r>
    </w:p>
    <w:p>
      <w:pPr>
        <w:pStyle w:val="Normal"/>
        <w:overflowPunct w:val="true"/>
        <w:ind w:right="107" w:hanging="0"/>
        <w:textAlignment w:val="auto"/>
        <w:rPr>
          <w:b/>
          <w:b/>
          <w:i/>
          <w:i/>
          <w:color w:val="auto"/>
          <w:sz w:val="24"/>
        </w:rPr>
      </w:pPr>
      <w:r>
        <w:rPr>
          <w:b/>
          <w:i/>
          <w:color w:val="auto"/>
          <w:sz w:val="24"/>
        </w:rPr>
        <w:t xml:space="preserve">Module title: Policing in the Workplace 3 (DHEP) </w:t>
      </w:r>
      <w:r>
        <w:br w:type="page"/>
      </w:r>
    </w:p>
    <w:p>
      <w:pPr>
        <w:pStyle w:val="Normal"/>
        <w:rPr>
          <w:rFonts w:eastAsia="Arial"/>
          <w:color w:val="000000" w:themeColor="text1"/>
          <w:sz w:val="24"/>
          <w:szCs w:val="24"/>
        </w:rPr>
      </w:pPr>
      <w:r>
        <w:rPr>
          <w:rFonts w:eastAsia="Arial"/>
          <w:b/>
          <w:bCs/>
          <w:color w:val="000000" w:themeColor="text1"/>
          <w:sz w:val="24"/>
          <w:szCs w:val="24"/>
        </w:rPr>
        <w:t>Workbook Guidance</w:t>
      </w:r>
    </w:p>
    <w:p>
      <w:pPr>
        <w:pStyle w:val="Normal"/>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Please read these notes carefully; they provide essential information.</w:t>
      </w:r>
    </w:p>
    <w:p>
      <w:pPr>
        <w:pStyle w:val="Normal"/>
        <w:ind w:right="107" w:hanging="0"/>
        <w:rPr>
          <w:sz w:val="24"/>
          <w:szCs w:val="24"/>
        </w:rPr>
      </w:pPr>
      <w:r>
        <w:rPr>
          <w:sz w:val="24"/>
          <w:szCs w:val="24"/>
        </w:rPr>
      </w:r>
    </w:p>
    <w:p>
      <w:pPr>
        <w:pStyle w:val="Normal"/>
        <w:ind w:right="107" w:hanging="0"/>
        <w:jc w:val="both"/>
        <w:rPr>
          <w:sz w:val="24"/>
          <w:szCs w:val="24"/>
        </w:rPr>
      </w:pPr>
      <w:r>
        <w:rPr>
          <w:b/>
          <w:sz w:val="24"/>
          <w:szCs w:val="24"/>
        </w:rPr>
        <w:t>What is the workbook for?</w:t>
      </w:r>
    </w:p>
    <w:p>
      <w:pPr>
        <w:pStyle w:val="Normal"/>
        <w:ind w:right="107" w:hanging="0"/>
        <w:jc w:val="both"/>
        <w:rPr>
          <w:b/>
          <w:b/>
          <w:sz w:val="24"/>
          <w:szCs w:val="24"/>
        </w:rPr>
      </w:pPr>
      <w:r>
        <w:rPr>
          <w:b/>
          <w:sz w:val="24"/>
          <w:szCs w:val="24"/>
        </w:rPr>
      </w:r>
    </w:p>
    <w:p>
      <w:pPr>
        <w:pStyle w:val="Normal"/>
        <w:jc w:val="both"/>
        <w:rPr>
          <w:rFonts w:eastAsia="Arial"/>
          <w:color w:val="000000" w:themeColor="text1"/>
          <w:sz w:val="24"/>
          <w:szCs w:val="24"/>
        </w:rPr>
      </w:pPr>
      <w:r>
        <w:rPr>
          <w:sz w:val="24"/>
          <w:szCs w:val="24"/>
        </w:rPr>
        <w:t xml:space="preserve">The purpose of this workbook is to enable learners to demonstrate and provide evidence of how they meet the learning outcomes set by the College of Policing, for the Graduate Diploma programme. </w:t>
      </w:r>
      <w:r>
        <w:rPr>
          <w:rFonts w:eastAsia="Arial"/>
          <w:color w:val="000000" w:themeColor="text1"/>
          <w:sz w:val="24"/>
          <w:szCs w:val="24"/>
        </w:rPr>
        <w:t>Essentially, you are being asked to outline your experiential learning based upon your theoretical understanding in a range of operational situations.</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b/>
          <w:b/>
          <w:bCs/>
          <w:color w:val="000000" w:themeColor="text1"/>
          <w:sz w:val="24"/>
          <w:szCs w:val="24"/>
        </w:rPr>
      </w:pPr>
      <w:r>
        <w:rPr>
          <w:rFonts w:eastAsia="Arial"/>
          <w:b/>
          <w:bCs/>
          <w:color w:val="000000" w:themeColor="text1"/>
          <w:sz w:val="24"/>
          <w:szCs w:val="24"/>
        </w:rPr>
        <w:t>Area of Professional Practice covered, (called elements in your module descriptor):</w:t>
      </w:r>
    </w:p>
    <w:p>
      <w:pPr>
        <w:pStyle w:val="Normal"/>
        <w:ind w:right="107" w:hanging="0"/>
        <w:jc w:val="both"/>
        <w:rPr>
          <w:sz w:val="24"/>
          <w:szCs w:val="24"/>
        </w:rPr>
      </w:pPr>
      <w:r>
        <w:rPr>
          <w:sz w:val="24"/>
          <w:szCs w:val="24"/>
        </w:rPr>
      </w:r>
    </w:p>
    <w:p>
      <w:pPr>
        <w:pStyle w:val="ListParagraph"/>
        <w:numPr>
          <w:ilvl w:val="0"/>
          <w:numId w:val="4"/>
        </w:numPr>
        <w:ind w:left="720" w:right="107" w:hanging="360"/>
        <w:jc w:val="both"/>
        <w:rPr>
          <w:sz w:val="24"/>
          <w:szCs w:val="24"/>
        </w:rPr>
      </w:pPr>
      <w:r>
        <w:rPr>
          <w:sz w:val="24"/>
          <w:szCs w:val="24"/>
        </w:rPr>
        <w:t>Wellbeing and Resilience</w:t>
      </w:r>
    </w:p>
    <w:p>
      <w:pPr>
        <w:pStyle w:val="ListParagraph"/>
        <w:numPr>
          <w:ilvl w:val="0"/>
          <w:numId w:val="4"/>
        </w:numPr>
        <w:ind w:left="720" w:right="107" w:hanging="360"/>
        <w:jc w:val="both"/>
        <w:rPr>
          <w:color w:val="auto"/>
          <w:sz w:val="24"/>
          <w:szCs w:val="24"/>
        </w:rPr>
      </w:pPr>
      <w:r>
        <w:rPr>
          <w:color w:val="auto"/>
          <w:sz w:val="24"/>
          <w:szCs w:val="24"/>
        </w:rPr>
        <w:t>Communication Skills</w:t>
      </w:r>
    </w:p>
    <w:p>
      <w:pPr>
        <w:pStyle w:val="ListParagraph"/>
        <w:numPr>
          <w:ilvl w:val="0"/>
          <w:numId w:val="4"/>
        </w:numPr>
        <w:ind w:left="720" w:right="107" w:hanging="360"/>
        <w:jc w:val="both"/>
        <w:rPr>
          <w:color w:val="auto"/>
          <w:sz w:val="24"/>
          <w:szCs w:val="24"/>
        </w:rPr>
      </w:pPr>
      <w:r>
        <w:rPr>
          <w:color w:val="auto"/>
          <w:sz w:val="24"/>
          <w:szCs w:val="24"/>
        </w:rPr>
        <w:t>Managing Conflict</w:t>
      </w:r>
    </w:p>
    <w:p>
      <w:pPr>
        <w:pStyle w:val="ListParagraph"/>
        <w:numPr>
          <w:ilvl w:val="0"/>
          <w:numId w:val="4"/>
        </w:numPr>
        <w:ind w:left="720" w:right="107" w:hanging="360"/>
        <w:jc w:val="both"/>
        <w:rPr>
          <w:color w:val="auto"/>
          <w:sz w:val="24"/>
          <w:szCs w:val="24"/>
        </w:rPr>
      </w:pPr>
      <w:r>
        <w:rPr>
          <w:color w:val="auto"/>
          <w:sz w:val="24"/>
          <w:szCs w:val="24"/>
        </w:rPr>
        <w:t>Valuing Difference and Inclusion</w:t>
      </w:r>
    </w:p>
    <w:p>
      <w:pPr>
        <w:pStyle w:val="ListParagraph"/>
        <w:numPr>
          <w:ilvl w:val="0"/>
          <w:numId w:val="4"/>
        </w:numPr>
        <w:ind w:left="720" w:right="107" w:hanging="360"/>
        <w:jc w:val="both"/>
        <w:rPr>
          <w:sz w:val="24"/>
          <w:szCs w:val="24"/>
        </w:rPr>
      </w:pPr>
      <w:r>
        <w:rPr>
          <w:sz w:val="24"/>
          <w:szCs w:val="24"/>
        </w:rPr>
        <w:t>Criminal Justice</w:t>
      </w:r>
    </w:p>
    <w:p>
      <w:pPr>
        <w:pStyle w:val="ListParagraph"/>
        <w:numPr>
          <w:ilvl w:val="0"/>
          <w:numId w:val="4"/>
        </w:numPr>
        <w:ind w:left="720" w:right="107" w:hanging="360"/>
        <w:jc w:val="both"/>
        <w:rPr>
          <w:sz w:val="24"/>
          <w:szCs w:val="24"/>
        </w:rPr>
      </w:pPr>
      <w:r>
        <w:rPr>
          <w:sz w:val="24"/>
          <w:szCs w:val="24"/>
        </w:rPr>
        <w:t>Decision making, discretion</w:t>
      </w:r>
    </w:p>
    <w:p>
      <w:pPr>
        <w:pStyle w:val="ListParagraph"/>
        <w:numPr>
          <w:ilvl w:val="0"/>
          <w:numId w:val="4"/>
        </w:numPr>
        <w:ind w:left="720" w:right="107" w:hanging="360"/>
        <w:jc w:val="both"/>
        <w:rPr>
          <w:sz w:val="24"/>
          <w:szCs w:val="24"/>
        </w:rPr>
      </w:pPr>
      <w:r>
        <w:rPr>
          <w:sz w:val="24"/>
          <w:szCs w:val="24"/>
        </w:rPr>
        <w:t>Conducting Investigations</w:t>
      </w:r>
    </w:p>
    <w:p>
      <w:pPr>
        <w:pStyle w:val="ListParagraph"/>
        <w:numPr>
          <w:ilvl w:val="0"/>
          <w:numId w:val="4"/>
        </w:numPr>
        <w:ind w:left="720" w:right="107" w:hanging="360"/>
        <w:jc w:val="both"/>
        <w:rPr>
          <w:sz w:val="24"/>
          <w:szCs w:val="24"/>
        </w:rPr>
      </w:pPr>
      <w:r>
        <w:rPr>
          <w:sz w:val="24"/>
          <w:szCs w:val="24"/>
        </w:rPr>
        <w:t xml:space="preserve">Criminal Justice (Managing offenders) </w:t>
      </w:r>
    </w:p>
    <w:p>
      <w:pPr>
        <w:pStyle w:val="ListParagraph"/>
        <w:numPr>
          <w:ilvl w:val="0"/>
          <w:numId w:val="4"/>
        </w:numPr>
        <w:ind w:left="720" w:right="107" w:hanging="360"/>
        <w:jc w:val="both"/>
        <w:rPr>
          <w:sz w:val="24"/>
          <w:szCs w:val="24"/>
        </w:rPr>
      </w:pPr>
      <w:r>
        <w:rPr>
          <w:sz w:val="24"/>
          <w:szCs w:val="24"/>
        </w:rPr>
        <w:t>Problem Solving</w:t>
      </w:r>
    </w:p>
    <w:p>
      <w:pPr>
        <w:pStyle w:val="ListParagraph"/>
        <w:numPr>
          <w:ilvl w:val="0"/>
          <w:numId w:val="4"/>
        </w:numPr>
        <w:ind w:left="720" w:right="107" w:hanging="360"/>
        <w:jc w:val="both"/>
        <w:rPr>
          <w:sz w:val="24"/>
          <w:szCs w:val="24"/>
        </w:rPr>
      </w:pPr>
      <w:r>
        <w:rPr>
          <w:sz w:val="24"/>
          <w:szCs w:val="24"/>
        </w:rPr>
        <w:t>Evidence Based Policing</w:t>
      </w:r>
    </w:p>
    <w:p>
      <w:pPr>
        <w:pStyle w:val="ListParagraph"/>
        <w:numPr>
          <w:ilvl w:val="0"/>
          <w:numId w:val="4"/>
        </w:numPr>
        <w:ind w:left="720" w:right="107" w:hanging="360"/>
        <w:jc w:val="both"/>
        <w:rPr>
          <w:sz w:val="24"/>
          <w:szCs w:val="24"/>
        </w:rPr>
      </w:pPr>
      <w:r>
        <w:rPr>
          <w:sz w:val="24"/>
          <w:szCs w:val="24"/>
        </w:rPr>
        <w:t>Maintaining Professional Standards</w:t>
      </w:r>
    </w:p>
    <w:p>
      <w:pPr>
        <w:pStyle w:val="ListParagraph"/>
        <w:numPr>
          <w:ilvl w:val="0"/>
          <w:numId w:val="4"/>
        </w:numPr>
        <w:ind w:left="720" w:right="107" w:hanging="360"/>
        <w:jc w:val="both"/>
        <w:rPr>
          <w:sz w:val="24"/>
          <w:szCs w:val="24"/>
        </w:rPr>
      </w:pPr>
      <w:r>
        <w:rPr>
          <w:sz w:val="24"/>
          <w:szCs w:val="24"/>
        </w:rPr>
        <w:t>Public Protection.</w:t>
      </w:r>
    </w:p>
    <w:p>
      <w:pPr>
        <w:pStyle w:val="Normal"/>
        <w:numPr>
          <w:ilvl w:val="0"/>
          <w:numId w:val="0"/>
        </w:numPr>
        <w:ind w:right="107" w:hanging="0"/>
        <w:jc w:val="both"/>
        <w:rPr>
          <w:sz w:val="24"/>
          <w:szCs w:val="24"/>
          <w:highlight w:val="yellow"/>
        </w:rPr>
      </w:pPr>
      <w:r>
        <w:rPr>
          <w:sz w:val="24"/>
          <w:szCs w:val="24"/>
          <w:highlight w:val="yellow"/>
        </w:rPr>
      </w:r>
    </w:p>
    <w:p>
      <w:pPr>
        <w:pStyle w:val="Normal"/>
        <w:ind w:right="107" w:hanging="0"/>
        <w:jc w:val="both"/>
        <w:rPr>
          <w:b/>
          <w:b/>
          <w:sz w:val="24"/>
          <w:szCs w:val="24"/>
        </w:rPr>
      </w:pPr>
      <w:r>
        <w:rPr>
          <w:b/>
          <w:sz w:val="24"/>
          <w:szCs w:val="24"/>
        </w:rPr>
      </w:r>
    </w:p>
    <w:p>
      <w:pPr>
        <w:pStyle w:val="Normal"/>
        <w:jc w:val="both"/>
        <w:rPr/>
      </w:pPr>
      <w:r>
        <w:rPr>
          <w:rFonts w:eastAsia="Arial"/>
          <w:color w:val="000000" w:themeColor="text1"/>
          <w:sz w:val="24"/>
          <w:szCs w:val="24"/>
        </w:rPr>
        <w:t xml:space="preserve">You may wish to use the same incidents as you’ve outlined in the Occupational Competence Portfolio. </w:t>
      </w:r>
    </w:p>
    <w:p>
      <w:pPr>
        <w:pStyle w:val="Normal"/>
        <w:jc w:val="both"/>
        <w:rPr/>
      </w:pPr>
      <w:r>
        <w:rPr>
          <w:rFonts w:eastAsia="Arial"/>
          <w:color w:val="000000" w:themeColor="text1"/>
          <w:sz w:val="24"/>
          <w:szCs w:val="24"/>
        </w:rPr>
        <w:t xml:space="preserve"> </w:t>
      </w:r>
    </w:p>
    <w:p>
      <w:pPr>
        <w:pStyle w:val="Normal"/>
        <w:jc w:val="both"/>
        <w:rPr/>
      </w:pPr>
      <w:r>
        <w:rPr>
          <w:rFonts w:eastAsia="Arial"/>
          <w:b/>
          <w:bCs/>
          <w:color w:val="000000" w:themeColor="text1"/>
          <w:sz w:val="24"/>
          <w:szCs w:val="24"/>
        </w:rPr>
        <w:t>How should the workbook be presented?</w:t>
      </w:r>
    </w:p>
    <w:p>
      <w:pPr>
        <w:pStyle w:val="Normal"/>
        <w:jc w:val="both"/>
        <w:rPr/>
      </w:pPr>
      <w:r>
        <w:rPr>
          <w:rFonts w:eastAsia="Arial"/>
          <w:color w:val="000000" w:themeColor="text1"/>
          <w:sz w:val="24"/>
          <w:szCs w:val="24"/>
        </w:rPr>
        <w:t xml:space="preserve"> </w:t>
      </w:r>
    </w:p>
    <w:p>
      <w:pPr>
        <w:pStyle w:val="Normal"/>
        <w:jc w:val="both"/>
        <w:rPr/>
      </w:pPr>
      <w:r>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Normal"/>
        <w:jc w:val="both"/>
        <w:rPr/>
      </w:pPr>
      <w:r>
        <w:rPr>
          <w:rFonts w:eastAsia="Arial"/>
          <w:color w:val="000000" w:themeColor="text1"/>
          <w:sz w:val="24"/>
          <w:szCs w:val="24"/>
        </w:rPr>
        <w:t xml:space="preserve"> </w:t>
      </w:r>
    </w:p>
    <w:p>
      <w:pPr>
        <w:pStyle w:val="Normal"/>
        <w:jc w:val="both"/>
        <w:rPr/>
      </w:pPr>
      <w:r>
        <w:rPr>
          <w:rFonts w:eastAsia="Arial"/>
          <w:b/>
          <w:bCs/>
          <w:color w:val="000000" w:themeColor="text1"/>
          <w:sz w:val="24"/>
          <w:szCs w:val="24"/>
        </w:rPr>
        <w:t>Word count policy</w:t>
      </w:r>
      <w:r>
        <w:rPr>
          <w:rFonts w:eastAsia="Arial"/>
          <w:color w:val="000000" w:themeColor="text1"/>
          <w:sz w:val="24"/>
          <w:szCs w:val="24"/>
        </w:rPr>
        <w:t xml:space="preserve"> can be found in chapter 7 of the Academic Quality under section 7.7 (this applies to presenting work above and under the specified word count).  </w:t>
      </w:r>
    </w:p>
    <w:p>
      <w:pPr>
        <w:pStyle w:val="Normal"/>
        <w:jc w:val="both"/>
        <w:rPr/>
      </w:pPr>
      <w:r>
        <w:rPr>
          <w:rFonts w:eastAsia="Arial"/>
          <w:color w:val="000000" w:themeColor="text1"/>
          <w:sz w:val="24"/>
          <w:szCs w:val="24"/>
        </w:rPr>
        <w:t>(</w:t>
      </w:r>
      <w:hyperlink r:id="rId3">
        <w:r>
          <w:rPr>
            <w:rStyle w:val="InternetLink"/>
            <w:rFonts w:eastAsia="Arial"/>
            <w:sz w:val="24"/>
            <w:szCs w:val="24"/>
          </w:rPr>
          <w:t>https://www.uwtsd.ac.uk/media/uwtsd-website/content-assets/documents/academic-office/aqh-chapters/chapters---en/Chapter_07_Assessment_Taught_Programmes_Pages_72-79-UPDATED-05-11-2019.pdf</w:t>
        </w:r>
      </w:hyperlink>
      <w:r>
        <w:rPr>
          <w:rFonts w:eastAsia="Arial"/>
          <w:color w:val="0000FF"/>
          <w:sz w:val="24"/>
          <w:szCs w:val="24"/>
          <w:u w:val="single"/>
        </w:rPr>
        <w:t xml:space="preserve">) </w:t>
      </w:r>
    </w:p>
    <w:p>
      <w:pPr>
        <w:pStyle w:val="Normal"/>
        <w:jc w:val="both"/>
        <w:rPr/>
      </w:pPr>
      <w:r>
        <w:rPr>
          <w:rFonts w:eastAsia="Arial"/>
          <w:color w:val="000000" w:themeColor="text1"/>
          <w:sz w:val="24"/>
          <w:szCs w:val="24"/>
        </w:rPr>
        <w:t xml:space="preserve"> </w:t>
      </w:r>
    </w:p>
    <w:p>
      <w:pPr>
        <w:pStyle w:val="Normal"/>
        <w:jc w:val="both"/>
        <w:rPr/>
      </w:pPr>
      <w:r>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pPr>
        <w:pStyle w:val="Normal"/>
        <w:jc w:val="both"/>
        <w:rPr/>
      </w:pPr>
      <w:hyperlink r:id="rId4">
        <w:r>
          <w:rPr>
            <w:rStyle w:val="InternetLink"/>
            <w:rFonts w:eastAsia="Arial"/>
            <w:sz w:val="24"/>
            <w:szCs w:val="24"/>
          </w:rPr>
          <w:t>https://moodle.uwtsd.ac.uk/pluginfile.php/298870/mod_resource/content/1/Reflective%20Practice%20for%20Policing%20Students%20-%20Selina%20Copley%20Chapter5.pdf</w:t>
        </w:r>
      </w:hyperlink>
    </w:p>
    <w:p>
      <w:pPr>
        <w:pStyle w:val="Normal"/>
        <w:jc w:val="both"/>
        <w:rPr/>
      </w:pPr>
      <w:r>
        <w:rPr>
          <w:rFonts w:eastAsia="Arial"/>
          <w:color w:val="000000" w:themeColor="text1"/>
          <w:sz w:val="24"/>
          <w:szCs w:val="24"/>
        </w:rPr>
        <w:t xml:space="preserve"> </w:t>
      </w:r>
    </w:p>
    <w:p>
      <w:pPr>
        <w:pStyle w:val="Normal"/>
        <w:jc w:val="both"/>
        <w:rPr/>
      </w:pPr>
      <w:r>
        <w:rPr>
          <w:rFonts w:eastAsia="Arial"/>
          <w:b/>
          <w:bCs/>
          <w:color w:val="000000" w:themeColor="text1"/>
          <w:sz w:val="24"/>
          <w:szCs w:val="24"/>
        </w:rPr>
        <w:t>How is the workbook assessed?</w:t>
      </w:r>
    </w:p>
    <w:p>
      <w:pPr>
        <w:pStyle w:val="Normal"/>
        <w:jc w:val="both"/>
        <w:rPr/>
      </w:pPr>
      <w:r>
        <w:rPr>
          <w:rFonts w:eastAsia="Arial"/>
          <w:color w:val="000000" w:themeColor="text1"/>
          <w:sz w:val="24"/>
          <w:szCs w:val="24"/>
        </w:rPr>
        <w:t xml:space="preserve"> </w:t>
      </w:r>
    </w:p>
    <w:p>
      <w:pPr>
        <w:pStyle w:val="Normal"/>
        <w:jc w:val="both"/>
        <w:rPr/>
      </w:pPr>
      <w:r>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pPr>
        <w:pStyle w:val="Normal"/>
        <w:jc w:val="both"/>
        <w:rPr/>
      </w:pPr>
      <w:r>
        <w:rPr>
          <w:rFonts w:eastAsia="Arial"/>
          <w:color w:val="000000" w:themeColor="text1"/>
          <w:sz w:val="24"/>
          <w:szCs w:val="24"/>
        </w:rPr>
        <w:t xml:space="preserve"> </w:t>
      </w:r>
    </w:p>
    <w:p>
      <w:pPr>
        <w:pStyle w:val="Normal"/>
        <w:jc w:val="both"/>
        <w:rPr/>
      </w:pPr>
      <w:r>
        <w:rPr>
          <w:rFonts w:eastAsia="Arial"/>
          <w:color w:val="000000" w:themeColor="text1"/>
          <w:sz w:val="24"/>
          <w:szCs w:val="24"/>
        </w:rPr>
        <w:t>Dates of workbook submission will be made available during the initial training day and posted on Moodle.</w:t>
      </w:r>
    </w:p>
    <w:p>
      <w:pPr>
        <w:pStyle w:val="Normal"/>
        <w:jc w:val="both"/>
        <w:rPr/>
      </w:pPr>
      <w:r>
        <w:rPr>
          <w:rFonts w:eastAsia="Arial"/>
          <w:color w:val="000000" w:themeColor="text1"/>
          <w:sz w:val="24"/>
          <w:szCs w:val="24"/>
        </w:rPr>
        <w:t xml:space="preserve"> </w:t>
      </w:r>
    </w:p>
    <w:p>
      <w:pPr>
        <w:pStyle w:val="Normal"/>
        <w:jc w:val="both"/>
        <w:rPr/>
      </w:pPr>
      <w:r>
        <w:rPr>
          <w:rFonts w:eastAsia="Arial"/>
          <w:color w:val="000000" w:themeColor="text1"/>
          <w:sz w:val="24"/>
          <w:szCs w:val="24"/>
        </w:rPr>
        <w:t>Once submitted your workbook will be assessed and marked independently.</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rPr>
          <w:rFonts w:eastAsia="Arial"/>
          <w:color w:val="000000" w:themeColor="text1"/>
          <w:sz w:val="24"/>
          <w:szCs w:val="24"/>
        </w:rPr>
      </w:pPr>
      <w:r>
        <w:rPr>
          <w:rFonts w:eastAsia="Arial"/>
          <w:color w:val="000000" w:themeColor="text1"/>
          <w:sz w:val="24"/>
          <w:szCs w:val="24"/>
        </w:rPr>
      </w:r>
      <w:r>
        <w:br w:type="page"/>
      </w:r>
    </w:p>
    <w:p>
      <w:pPr>
        <w:pStyle w:val="Normal"/>
        <w:jc w:val="both"/>
        <w:rPr>
          <w:rFonts w:eastAsia="Arial"/>
          <w:color w:val="000000" w:themeColor="text1"/>
          <w:sz w:val="24"/>
          <w:szCs w:val="24"/>
        </w:rPr>
      </w:pPr>
      <w:r>
        <w:rPr>
          <w:rFonts w:eastAsia="Arial"/>
          <w:b/>
          <w:bCs/>
          <w:color w:val="000000" w:themeColor="text1"/>
          <w:sz w:val="24"/>
          <w:szCs w:val="24"/>
        </w:rPr>
        <w:t>Confidentiality</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It is important that no individual can be identified either directly or indirectly from the information in the workbook. Therefore, you must:</w:t>
      </w:r>
    </w:p>
    <w:p>
      <w:pPr>
        <w:pStyle w:val="Normal"/>
        <w:jc w:val="both"/>
        <w:rPr>
          <w:rFonts w:eastAsia="Arial"/>
          <w:color w:val="000000" w:themeColor="text1"/>
          <w:sz w:val="24"/>
          <w:szCs w:val="24"/>
        </w:rPr>
      </w:pPr>
      <w:r>
        <w:rPr>
          <w:rFonts w:eastAsia="Arial"/>
          <w:color w:val="000000" w:themeColor="text1"/>
          <w:sz w:val="24"/>
          <w:szCs w:val="24"/>
        </w:rPr>
      </w:r>
    </w:p>
    <w:p>
      <w:pPr>
        <w:pStyle w:val="ListParagraph"/>
        <w:numPr>
          <w:ilvl w:val="0"/>
          <w:numId w:val="3"/>
        </w:numPr>
        <w:jc w:val="both"/>
        <w:rPr>
          <w:color w:val="000000" w:themeColor="text1"/>
          <w:sz w:val="24"/>
          <w:szCs w:val="24"/>
        </w:rPr>
      </w:pPr>
      <w:r>
        <w:rPr>
          <w:rFonts w:eastAsia="Arial"/>
          <w:color w:val="000000" w:themeColor="text1"/>
          <w:sz w:val="24"/>
          <w:szCs w:val="24"/>
        </w:rPr>
        <w:t>adhere to guidance in the Student Handbook about unfair practice and plagiarism;</w:t>
      </w:r>
    </w:p>
    <w:p>
      <w:pPr>
        <w:pStyle w:val="ListParagraph"/>
        <w:numPr>
          <w:ilvl w:val="0"/>
          <w:numId w:val="3"/>
        </w:numPr>
        <w:jc w:val="both"/>
        <w:rPr>
          <w:color w:val="000000" w:themeColor="text1"/>
          <w:sz w:val="24"/>
          <w:szCs w:val="24"/>
        </w:rPr>
      </w:pPr>
      <w:r>
        <w:rPr>
          <w:rFonts w:eastAsia="Arial"/>
          <w:color w:val="000000" w:themeColor="text1"/>
          <w:sz w:val="24"/>
          <w:szCs w:val="24"/>
        </w:rPr>
        <w:t>not identify individuals including witnesses, victims or offenders by name;</w:t>
      </w:r>
    </w:p>
    <w:p>
      <w:pPr>
        <w:pStyle w:val="ListParagraph"/>
        <w:numPr>
          <w:ilvl w:val="0"/>
          <w:numId w:val="3"/>
        </w:numPr>
        <w:jc w:val="both"/>
        <w:rPr>
          <w:color w:val="000000" w:themeColor="text1"/>
          <w:sz w:val="24"/>
          <w:szCs w:val="24"/>
        </w:rPr>
      </w:pPr>
      <w:r>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Paragraph"/>
        <w:numPr>
          <w:ilvl w:val="0"/>
          <w:numId w:val="3"/>
        </w:numPr>
        <w:jc w:val="both"/>
        <w:rPr>
          <w:color w:val="000000" w:themeColor="text1"/>
          <w:sz w:val="24"/>
          <w:szCs w:val="24"/>
        </w:rPr>
      </w:pPr>
      <w:r>
        <w:rPr>
          <w:rFonts w:eastAsia="Arial"/>
          <w:color w:val="000000" w:themeColor="text1"/>
          <w:sz w:val="24"/>
          <w:szCs w:val="24"/>
        </w:rPr>
        <w:t xml:space="preserve">take personal responsibility for adhering to confidentiality rules. </w:t>
      </w:r>
    </w:p>
    <w:p>
      <w:pPr>
        <w:pStyle w:val="ListParagraph"/>
        <w:numPr>
          <w:ilvl w:val="0"/>
          <w:numId w:val="2"/>
        </w:numPr>
        <w:jc w:val="both"/>
        <w:rPr>
          <w:rFonts w:eastAsia="Arial"/>
          <w:color w:val="000000" w:themeColor="text1"/>
          <w:sz w:val="24"/>
          <w:szCs w:val="24"/>
        </w:rPr>
      </w:pPr>
      <w:r>
        <w:rPr>
          <w:rFonts w:eastAsia="Arial"/>
          <w:color w:val="000000" w:themeColor="text1"/>
          <w:sz w:val="24"/>
          <w:szCs w:val="24"/>
        </w:rPr>
        <w:t>not include any dates of any incidents or anything that specifically identifies an actual incident.</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ascii="Calibri" w:hAnsi="Calibri" w:eastAsia="Calibri" w:cs="Calibri"/>
          <w:color w:val="000000" w:themeColor="text1"/>
          <w:sz w:val="24"/>
          <w:szCs w:val="24"/>
        </w:rPr>
      </w:pPr>
      <w:r>
        <w:rPr>
          <w:rFonts w:eastAsia="Calibri" w:cs="Calibri" w:ascii="Calibri" w:hAnsi="Calibri"/>
          <w:color w:val="000000" w:themeColor="text1"/>
          <w:sz w:val="24"/>
          <w:szCs w:val="24"/>
          <w:highlight w:val="yellow"/>
        </w:rPr>
        <w:t>The content of this workbook should be your own work. Do not allow anyone else to see your work or use your work for their own submissions.</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Calibri" w:cs="Calibri" w:ascii="Calibri" w:hAnsi="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eastAsia="Calibri" w:cs="Calibri" w:ascii="Calibri" w:hAnsi="Calibri"/>
          <w:color w:val="000000" w:themeColor="text1"/>
          <w:sz w:val="24"/>
          <w:szCs w:val="24"/>
        </w:rPr>
        <w:t xml:space="preserve"> </w:t>
      </w:r>
    </w:p>
    <w:p>
      <w:pPr>
        <w:pStyle w:val="Normal"/>
        <w:jc w:val="both"/>
        <w:rPr>
          <w:rFonts w:ascii="Calibri" w:hAnsi="Calibri" w:eastAsia="Calibri" w:cs="Calibri"/>
          <w:color w:val="000000" w:themeColor="text1"/>
          <w:sz w:val="24"/>
          <w:szCs w:val="24"/>
        </w:rPr>
      </w:pPr>
      <w:r>
        <w:rPr>
          <w:rFonts w:eastAsia="Calibri" w:cs="Calibri" w:ascii="Calibri" w:hAnsi="Calibri"/>
          <w:color w:val="000000" w:themeColor="text1"/>
          <w:sz w:val="24"/>
          <w:szCs w:val="24"/>
        </w:rPr>
      </w:r>
    </w:p>
    <w:p>
      <w:pPr>
        <w:pStyle w:val="Normal"/>
        <w:jc w:val="both"/>
        <w:rPr/>
      </w:pPr>
      <w:r>
        <w:rPr>
          <w:rFonts w:eastAsia="Calibri" w:cs="Calibri" w:ascii="Calibri" w:hAnsi="Calibri"/>
          <w:b/>
          <w:bCs/>
          <w:color w:val="000000" w:themeColor="text1"/>
          <w:sz w:val="24"/>
          <w:szCs w:val="24"/>
        </w:rPr>
        <w:t xml:space="preserve">Should any health and wellbeing concerns be raised because of disclosures made by the student within this workbook, the employer of the student will be informed. </w:t>
      </w:r>
      <w:r>
        <w:rPr>
          <w:rFonts w:eastAsia="Calibri" w:cs="Calibri" w:ascii="Calibri" w:hAnsi="Calibri"/>
          <w:color w:val="000000" w:themeColor="text1"/>
          <w:sz w:val="24"/>
          <w:szCs w:val="24"/>
        </w:rPr>
        <w:t xml:space="preserve"> </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b/>
          <w:bCs/>
          <w:color w:val="000000" w:themeColor="text1"/>
          <w:sz w:val="24"/>
          <w:szCs w:val="24"/>
        </w:rPr>
        <w:t>NOTE</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 xml:space="preserve">Your workbook will be submitted electronically via Turnitin on Moodle. Guidance on this is in the Student Handbook. </w:t>
      </w:r>
    </w:p>
    <w:p>
      <w:pPr>
        <w:pStyle w:val="Normal"/>
        <w:ind w:left="360" w:hanging="0"/>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pPr>
        <w:pStyle w:val="Normal"/>
        <w:ind w:left="360" w:hanging="0"/>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b/>
          <w:bCs/>
          <w:color w:val="000000" w:themeColor="text1"/>
          <w:sz w:val="24"/>
          <w:szCs w:val="24"/>
        </w:rPr>
        <w:t>Dyslexia and other special circumstances</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eastAsia="Arial"/>
          <w:b/>
          <w:bCs/>
          <w:i/>
          <w:iCs/>
          <w:color w:val="000000" w:themeColor="text1"/>
          <w:sz w:val="24"/>
          <w:szCs w:val="24"/>
        </w:rPr>
        <w:t>it is the learner’s individual responsibility to contact them</w:t>
      </w:r>
      <w:r>
        <w:rPr>
          <w:rFonts w:eastAsia="Arial"/>
          <w:color w:val="000000" w:themeColor="text1"/>
          <w:sz w:val="24"/>
          <w:szCs w:val="24"/>
        </w:rPr>
        <w:t xml:space="preserve">. </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rPr>
          <w:rFonts w:eastAsia="Arial"/>
          <w:color w:val="000000" w:themeColor="text1"/>
          <w:sz w:val="24"/>
          <w:szCs w:val="24"/>
        </w:rPr>
      </w:pPr>
      <w:r>
        <w:rPr>
          <w:rFonts w:eastAsia="Arial"/>
          <w:color w:val="000000" w:themeColor="text1"/>
          <w:sz w:val="24"/>
          <w:szCs w:val="24"/>
        </w:rPr>
      </w:r>
      <w:r>
        <w:br w:type="page"/>
      </w:r>
    </w:p>
    <w:p>
      <w:pPr>
        <w:pStyle w:val="Normal"/>
        <w:jc w:val="both"/>
        <w:rPr>
          <w:rFonts w:eastAsia="Arial"/>
          <w:color w:val="000000" w:themeColor="text1"/>
          <w:sz w:val="24"/>
          <w:szCs w:val="24"/>
        </w:rPr>
      </w:pPr>
      <w:r>
        <w:rPr>
          <w:rFonts w:eastAsia="Arial"/>
          <w:b/>
          <w:bCs/>
          <w:color w:val="000000" w:themeColor="text1"/>
          <w:sz w:val="24"/>
          <w:szCs w:val="24"/>
        </w:rPr>
        <w:t xml:space="preserve">Guidance: </w:t>
      </w:r>
    </w:p>
    <w:p>
      <w:pPr>
        <w:pStyle w:val="Normal"/>
        <w:jc w:val="both"/>
        <w:rPr>
          <w:rFonts w:eastAsia="Arial"/>
          <w:color w:val="000000" w:themeColor="text1"/>
          <w:sz w:val="24"/>
          <w:szCs w:val="24"/>
        </w:rPr>
      </w:pPr>
      <w:r>
        <w:rPr>
          <w:rFonts w:eastAsia="Arial"/>
          <w:color w:val="000000" w:themeColor="text1"/>
          <w:sz w:val="24"/>
          <w:szCs w:val="24"/>
        </w:rPr>
      </w:r>
    </w:p>
    <w:p>
      <w:pPr>
        <w:pStyle w:val="ListParagraph"/>
        <w:numPr>
          <w:ilvl w:val="0"/>
          <w:numId w:val="1"/>
        </w:numPr>
        <w:jc w:val="both"/>
        <w:rPr>
          <w:i/>
          <w:i/>
          <w:iCs/>
          <w:color w:val="000000" w:themeColor="text1"/>
          <w:sz w:val="24"/>
          <w:szCs w:val="24"/>
        </w:rPr>
      </w:pPr>
      <w:r>
        <w:rPr>
          <w:rFonts w:eastAsia="Arial"/>
          <w:i/>
          <w:iCs/>
          <w:color w:val="000000" w:themeColor="text1"/>
          <w:sz w:val="24"/>
          <w:szCs w:val="24"/>
        </w:rPr>
        <w:t>Your workbook must contain the items specified in the table below (clearly identified and in the order given);</w:t>
      </w:r>
    </w:p>
    <w:p>
      <w:pPr>
        <w:pStyle w:val="ListParagraph"/>
        <w:numPr>
          <w:ilvl w:val="0"/>
          <w:numId w:val="1"/>
        </w:numPr>
        <w:jc w:val="both"/>
        <w:rPr>
          <w:i/>
          <w:i/>
          <w:iCs/>
          <w:color w:val="000000" w:themeColor="text1"/>
          <w:sz w:val="24"/>
          <w:szCs w:val="24"/>
        </w:rPr>
      </w:pPr>
      <w:r>
        <w:rPr>
          <w:rFonts w:eastAsia="Arial"/>
          <w:i/>
          <w:iCs/>
          <w:color w:val="000000" w:themeColor="text1"/>
          <w:sz w:val="24"/>
          <w:szCs w:val="24"/>
        </w:rPr>
        <w:t>You should use this document to insert your text / answer within each section of this workbook;</w:t>
      </w:r>
    </w:p>
    <w:p>
      <w:pPr>
        <w:pStyle w:val="ListParagraph"/>
        <w:numPr>
          <w:ilvl w:val="0"/>
          <w:numId w:val="1"/>
        </w:numPr>
        <w:jc w:val="both"/>
        <w:rPr>
          <w:i/>
          <w:i/>
          <w:iCs/>
          <w:color w:val="000000" w:themeColor="text1"/>
          <w:sz w:val="24"/>
          <w:szCs w:val="24"/>
        </w:rPr>
      </w:pPr>
      <w:r>
        <w:rPr>
          <w:rFonts w:eastAsia="Arial"/>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pPr>
        <w:pStyle w:val="Normal"/>
        <w:ind w:right="107" w:hanging="0"/>
        <w:jc w:val="both"/>
        <w:rPr>
          <w:b/>
          <w:b/>
          <w:bCs/>
          <w:sz w:val="24"/>
          <w:szCs w:val="24"/>
        </w:rPr>
      </w:pPr>
      <w:r>
        <w:rPr>
          <w:b/>
          <w:bCs/>
          <w:sz w:val="24"/>
          <w:szCs w:val="24"/>
        </w:rPr>
      </w:r>
    </w:p>
    <w:p>
      <w:pPr>
        <w:pStyle w:val="Normal"/>
        <w:ind w:right="107" w:hanging="0"/>
        <w:jc w:val="both"/>
        <w:rPr>
          <w:b/>
          <w:b/>
          <w:sz w:val="24"/>
          <w:szCs w:val="24"/>
        </w:rPr>
      </w:pPr>
      <w:r>
        <w:rPr>
          <w:b/>
          <w:sz w:val="24"/>
          <w:szCs w:val="24"/>
        </w:rPr>
        <w:t xml:space="preserve">Contents </w:t>
      </w:r>
    </w:p>
    <w:p>
      <w:pPr>
        <w:pStyle w:val="Normal"/>
        <w:ind w:right="107" w:hanging="0"/>
        <w:jc w:val="both"/>
        <w:rPr>
          <w:b/>
          <w:b/>
          <w:sz w:val="24"/>
          <w:szCs w:val="24"/>
        </w:rPr>
      </w:pPr>
      <w:r>
        <w:rPr>
          <w:b/>
          <w:sz w:val="24"/>
          <w:szCs w:val="24"/>
        </w:rPr>
      </w:r>
    </w:p>
    <w:tbl>
      <w:tblPr>
        <w:tblW w:w="9114" w:type="dxa"/>
        <w:jc w:val="left"/>
        <w:tblInd w:w="622" w:type="dxa"/>
        <w:tblCellMar>
          <w:top w:w="0" w:type="dxa"/>
          <w:left w:w="108" w:type="dxa"/>
          <w:bottom w:w="0" w:type="dxa"/>
          <w:right w:w="108" w:type="dxa"/>
        </w:tblCellMar>
        <w:tblLook w:firstRow="1" w:noVBand="1" w:lastRow="0" w:firstColumn="1" w:lastColumn="0" w:noHBand="0" w:val="04a0"/>
      </w:tblPr>
      <w:tblGrid>
        <w:gridCol w:w="1495"/>
        <w:gridCol w:w="6014"/>
        <w:gridCol w:w="1605"/>
      </w:tblGrid>
      <w:tr>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b/>
                <w:b/>
                <w:color w:val="auto"/>
                <w:sz w:val="24"/>
                <w:szCs w:val="24"/>
              </w:rPr>
            </w:pPr>
            <w:r>
              <w:rPr>
                <w:b/>
                <w:color w:val="auto"/>
                <w:sz w:val="24"/>
                <w:szCs w:val="24"/>
              </w:rPr>
              <w:t xml:space="preserve">Workbook </w:t>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b/>
                <w:b/>
                <w:color w:val="auto"/>
                <w:sz w:val="24"/>
                <w:szCs w:val="24"/>
              </w:rPr>
            </w:pPr>
            <w:r>
              <w:rPr>
                <w:b/>
                <w:color w:val="auto"/>
                <w:sz w:val="24"/>
                <w:szCs w:val="24"/>
              </w:rPr>
              <w:t xml:space="preserve">Area of Professional Practice </w:t>
            </w:r>
          </w:p>
          <w:p>
            <w:pPr>
              <w:pStyle w:val="Normal"/>
              <w:ind w:right="107" w:hanging="0"/>
              <w:jc w:val="both"/>
              <w:rPr>
                <w:b/>
                <w:b/>
                <w:color w:val="auto"/>
                <w:sz w:val="24"/>
                <w:szCs w:val="24"/>
              </w:rPr>
            </w:pPr>
            <w:r>
              <w:rPr>
                <w:b/>
                <w:color w:val="auto"/>
                <w:sz w:val="24"/>
                <w:szCs w:val="24"/>
              </w:rPr>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ind w:right="107" w:hanging="0"/>
              <w:jc w:val="both"/>
              <w:rPr>
                <w:b/>
                <w:b/>
                <w:color w:val="auto"/>
                <w:sz w:val="24"/>
                <w:szCs w:val="24"/>
              </w:rPr>
            </w:pPr>
            <w:r>
              <w:rPr>
                <w:b/>
                <w:color w:val="auto"/>
                <w:sz w:val="24"/>
                <w:szCs w:val="24"/>
              </w:rPr>
              <w:t>Word count</w:t>
            </w:r>
          </w:p>
        </w:tc>
      </w:tr>
      <w:tr>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color w:val="auto"/>
                <w:sz w:val="24"/>
                <w:szCs w:val="24"/>
              </w:rPr>
            </w:pPr>
            <w:r>
              <w:rPr>
                <w:color w:val="auto"/>
                <w:sz w:val="24"/>
                <w:szCs w:val="24"/>
              </w:rPr>
              <w:t xml:space="preserve">Task 1 </w:t>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b/>
                <w:b/>
                <w:sz w:val="24"/>
                <w:szCs w:val="24"/>
              </w:rPr>
            </w:pPr>
            <w:r>
              <w:rPr>
                <w:b/>
                <w:sz w:val="24"/>
                <w:szCs w:val="24"/>
              </w:rPr>
              <w:t>Wellbeing and Resilience</w:t>
            </w:r>
          </w:p>
          <w:p>
            <w:pPr>
              <w:pStyle w:val="Normal"/>
              <w:ind w:right="107" w:hanging="0"/>
              <w:jc w:val="both"/>
              <w:rPr>
                <w:b/>
                <w:b/>
                <w:sz w:val="24"/>
                <w:szCs w:val="24"/>
              </w:rPr>
            </w:pPr>
            <w:r>
              <w:rPr>
                <w:b/>
                <w:sz w:val="24"/>
                <w:szCs w:val="24"/>
              </w:rPr>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rPr>
                <w:b/>
                <w:b/>
                <w:bCs/>
              </w:rPr>
            </w:pPr>
            <w:r>
              <w:rPr>
                <w:b/>
                <w:bCs/>
              </w:rPr>
              <w:t>1000</w:t>
            </w:r>
          </w:p>
        </w:tc>
      </w:tr>
      <w:tr>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color w:val="auto"/>
                <w:sz w:val="24"/>
                <w:szCs w:val="24"/>
              </w:rPr>
            </w:pPr>
            <w:r>
              <w:rPr>
                <w:color w:val="auto"/>
                <w:sz w:val="24"/>
                <w:szCs w:val="24"/>
              </w:rPr>
              <w:t>Task 2</w:t>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b/>
                <w:b/>
                <w:color w:val="auto"/>
                <w:sz w:val="24"/>
                <w:szCs w:val="24"/>
              </w:rPr>
            </w:pPr>
            <w:r>
              <w:rPr>
                <w:b/>
                <w:color w:val="auto"/>
                <w:sz w:val="24"/>
                <w:szCs w:val="24"/>
              </w:rPr>
              <w:t>Communication Skills, Managing Conflict, Valuing Difference and Inclusion</w:t>
            </w:r>
          </w:p>
          <w:p>
            <w:pPr>
              <w:pStyle w:val="Normal"/>
              <w:ind w:right="107" w:hanging="0"/>
              <w:jc w:val="both"/>
              <w:rPr>
                <w:b/>
                <w:b/>
                <w:color w:val="auto"/>
                <w:sz w:val="24"/>
                <w:szCs w:val="24"/>
              </w:rPr>
            </w:pPr>
            <w:r>
              <w:rPr>
                <w:b/>
                <w:color w:val="auto"/>
                <w:sz w:val="24"/>
                <w:szCs w:val="24"/>
              </w:rPr>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ind w:right="107" w:hanging="0"/>
              <w:jc w:val="both"/>
              <w:rPr>
                <w:b/>
                <w:b/>
                <w:bCs/>
                <w:color w:val="auto"/>
                <w:sz w:val="24"/>
                <w:szCs w:val="24"/>
              </w:rPr>
            </w:pPr>
            <w:r>
              <w:rPr>
                <w:b/>
                <w:bCs/>
                <w:color w:val="auto"/>
                <w:sz w:val="24"/>
                <w:szCs w:val="24"/>
              </w:rPr>
              <w:t>2000</w:t>
            </w:r>
          </w:p>
        </w:tc>
      </w:tr>
      <w:tr>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color w:val="auto"/>
                <w:sz w:val="24"/>
                <w:szCs w:val="24"/>
              </w:rPr>
            </w:pPr>
            <w:r>
              <w:rPr>
                <w:color w:val="auto"/>
                <w:sz w:val="24"/>
                <w:szCs w:val="24"/>
              </w:rPr>
              <w:t xml:space="preserve">Task 3 </w:t>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b/>
                <w:b/>
                <w:sz w:val="24"/>
                <w:szCs w:val="24"/>
              </w:rPr>
            </w:pPr>
            <w:r>
              <w:rPr>
                <w:b/>
                <w:sz w:val="24"/>
                <w:szCs w:val="24"/>
              </w:rPr>
              <w:t xml:space="preserve">Criminal Justice, Valuing difference and inclusion </w:t>
            </w:r>
          </w:p>
          <w:p>
            <w:pPr>
              <w:pStyle w:val="Normal"/>
              <w:ind w:right="107" w:hanging="0"/>
              <w:jc w:val="both"/>
              <w:rPr>
                <w:b/>
                <w:b/>
                <w:sz w:val="24"/>
                <w:szCs w:val="24"/>
              </w:rPr>
            </w:pPr>
            <w:r>
              <w:rPr>
                <w:b/>
                <w:sz w:val="24"/>
                <w:szCs w:val="24"/>
              </w:rPr>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ind w:right="107" w:hanging="0"/>
              <w:jc w:val="both"/>
              <w:rPr>
                <w:b/>
                <w:b/>
                <w:bCs/>
                <w:sz w:val="24"/>
                <w:szCs w:val="24"/>
              </w:rPr>
            </w:pPr>
            <w:r>
              <w:rPr>
                <w:b/>
                <w:bCs/>
                <w:sz w:val="24"/>
                <w:szCs w:val="24"/>
              </w:rPr>
              <w:t>2000</w:t>
            </w:r>
          </w:p>
        </w:tc>
      </w:tr>
      <w:tr>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color w:val="auto"/>
                <w:sz w:val="24"/>
                <w:szCs w:val="24"/>
              </w:rPr>
            </w:pPr>
            <w:r>
              <w:rPr>
                <w:color w:val="auto"/>
                <w:sz w:val="24"/>
                <w:szCs w:val="24"/>
              </w:rPr>
              <w:t xml:space="preserve">Task 4 </w:t>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b/>
                <w:b/>
                <w:bCs/>
                <w:sz w:val="24"/>
                <w:szCs w:val="24"/>
              </w:rPr>
            </w:pPr>
            <w:r>
              <w:rPr>
                <w:b/>
                <w:bCs/>
                <w:sz w:val="24"/>
                <w:szCs w:val="24"/>
              </w:rPr>
              <w:t>Decision making and discretion, Conducting Investigations and Criminal Justice (managing offenders)</w:t>
            </w:r>
          </w:p>
          <w:p>
            <w:pPr>
              <w:pStyle w:val="Normal"/>
              <w:ind w:right="107" w:hanging="0"/>
              <w:jc w:val="both"/>
              <w:rPr>
                <w:b/>
                <w:b/>
                <w:sz w:val="24"/>
                <w:szCs w:val="24"/>
              </w:rPr>
            </w:pPr>
            <w:r>
              <w:rPr>
                <w:b/>
                <w:sz w:val="24"/>
                <w:szCs w:val="24"/>
              </w:rPr>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ind w:right="107" w:hanging="0"/>
              <w:jc w:val="both"/>
              <w:rPr>
                <w:b/>
                <w:b/>
                <w:bCs/>
                <w:sz w:val="24"/>
                <w:szCs w:val="24"/>
              </w:rPr>
            </w:pPr>
            <w:r>
              <w:rPr>
                <w:b/>
                <w:bCs/>
                <w:sz w:val="24"/>
                <w:szCs w:val="24"/>
              </w:rPr>
              <w:t>2000</w:t>
            </w:r>
          </w:p>
        </w:tc>
      </w:tr>
      <w:tr>
        <w:trPr>
          <w:trHeight w:val="81" w:hRule="atLeast"/>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color w:val="auto"/>
                <w:sz w:val="24"/>
                <w:szCs w:val="24"/>
              </w:rPr>
            </w:pPr>
            <w:r>
              <w:rPr>
                <w:color w:val="auto"/>
                <w:sz w:val="24"/>
                <w:szCs w:val="24"/>
              </w:rPr>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360"/>
              <w:ind w:right="107" w:hanging="0"/>
              <w:jc w:val="both"/>
              <w:rPr>
                <w:b/>
                <w:b/>
                <w:color w:val="auto"/>
                <w:sz w:val="24"/>
                <w:szCs w:val="24"/>
              </w:rPr>
            </w:pPr>
            <w:r>
              <w:rPr>
                <w:b/>
                <w:color w:val="auto"/>
                <w:sz w:val="24"/>
                <w:szCs w:val="24"/>
              </w:rPr>
              <w:t>Bibliography</w:t>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ind w:right="107" w:hanging="0"/>
              <w:jc w:val="both"/>
              <w:rPr>
                <w:b/>
                <w:b/>
                <w:color w:val="auto"/>
                <w:sz w:val="24"/>
                <w:szCs w:val="24"/>
              </w:rPr>
            </w:pPr>
            <w:r>
              <w:rPr>
                <w:b/>
                <w:color w:val="auto"/>
                <w:sz w:val="24"/>
                <w:szCs w:val="24"/>
              </w:rPr>
            </w:r>
          </w:p>
        </w:tc>
      </w:tr>
      <w:tr>
        <w:trPr>
          <w:trHeight w:val="81" w:hRule="atLeast"/>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color w:val="auto"/>
                <w:sz w:val="24"/>
                <w:szCs w:val="24"/>
              </w:rPr>
            </w:pPr>
            <w:r>
              <w:rPr>
                <w:color w:val="auto"/>
                <w:sz w:val="24"/>
                <w:szCs w:val="24"/>
              </w:rPr>
              <w:t>Task 5</w:t>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360"/>
              <w:jc w:val="both"/>
              <w:rPr>
                <w:b/>
                <w:b/>
                <w:bCs/>
                <w:color w:val="auto"/>
                <w:sz w:val="24"/>
                <w:szCs w:val="24"/>
              </w:rPr>
            </w:pPr>
            <w:r>
              <w:rPr>
                <w:b/>
                <w:bCs/>
                <w:color w:val="auto"/>
                <w:sz w:val="24"/>
                <w:szCs w:val="24"/>
              </w:rPr>
              <w:t>Development Plan</w:t>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rPr>
                <w:b/>
                <w:b/>
                <w:bCs/>
                <w:color w:val="auto"/>
              </w:rPr>
            </w:pPr>
            <w:r>
              <w:rPr>
                <w:b/>
                <w:bCs/>
                <w:color w:val="auto"/>
              </w:rPr>
              <w:t>Equivalent 1000 words</w:t>
            </w:r>
          </w:p>
        </w:tc>
      </w:tr>
      <w:tr>
        <w:trPr>
          <w:trHeight w:val="81" w:hRule="atLeast"/>
        </w:trPr>
        <w:tc>
          <w:tcPr>
            <w:tcW w:w="1495"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color w:val="auto"/>
                <w:sz w:val="24"/>
                <w:szCs w:val="24"/>
              </w:rPr>
            </w:pPr>
            <w:r>
              <w:rPr>
                <w:color w:val="auto"/>
                <w:sz w:val="24"/>
                <w:szCs w:val="24"/>
              </w:rPr>
            </w:r>
          </w:p>
        </w:tc>
        <w:tc>
          <w:tcPr>
            <w:tcW w:w="601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360"/>
              <w:jc w:val="both"/>
              <w:rPr>
                <w:b/>
                <w:b/>
                <w:bCs/>
                <w:color w:val="auto"/>
                <w:sz w:val="24"/>
                <w:szCs w:val="24"/>
              </w:rPr>
            </w:pPr>
            <w:r>
              <w:rPr>
                <w:b/>
                <w:bCs/>
                <w:color w:val="auto"/>
                <w:sz w:val="24"/>
                <w:szCs w:val="24"/>
              </w:rPr>
              <w:t>Confirmation of Confidentiality and Plagiarism</w:t>
            </w:r>
          </w:p>
          <w:p>
            <w:pPr>
              <w:pStyle w:val="Normal"/>
              <w:spacing w:lineRule="auto" w:line="360"/>
              <w:jc w:val="both"/>
              <w:rPr>
                <w:b/>
                <w:b/>
                <w:bCs/>
                <w:i/>
                <w:i/>
                <w:iCs/>
                <w:color w:val="auto"/>
                <w:sz w:val="24"/>
                <w:szCs w:val="24"/>
              </w:rPr>
            </w:pPr>
            <w:r>
              <w:rPr>
                <w:b/>
                <w:bCs/>
                <w:i/>
                <w:iCs/>
                <w:color w:val="auto"/>
                <w:sz w:val="24"/>
                <w:szCs w:val="24"/>
              </w:rPr>
              <w:t>Confirmed by submission through `Turnitin</w:t>
            </w:r>
          </w:p>
        </w:tc>
        <w:tc>
          <w:tcPr>
            <w:tcW w:w="160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jc w:val="both"/>
              <w:rPr>
                <w:b/>
                <w:b/>
                <w:bCs/>
                <w:color w:val="auto"/>
                <w:sz w:val="24"/>
                <w:szCs w:val="24"/>
              </w:rPr>
            </w:pPr>
            <w:r>
              <w:rPr>
                <w:b/>
                <w:bCs/>
                <w:color w:val="auto"/>
                <w:sz w:val="24"/>
                <w:szCs w:val="24"/>
              </w:rPr>
            </w:r>
          </w:p>
        </w:tc>
      </w:tr>
    </w:tbl>
    <w:p>
      <w:pPr>
        <w:pStyle w:val="Normal"/>
        <w:ind w:right="107" w:hanging="0"/>
        <w:jc w:val="center"/>
        <w:rPr>
          <w:b/>
          <w:b/>
          <w:sz w:val="24"/>
          <w:szCs w:val="24"/>
        </w:rPr>
      </w:pPr>
      <w:r>
        <w:rPr>
          <w:b/>
          <w:sz w:val="24"/>
          <w:szCs w:val="24"/>
        </w:rPr>
      </w:r>
    </w:p>
    <w:p>
      <w:pPr>
        <w:pStyle w:val="Normal"/>
        <w:ind w:right="107" w:hanging="0"/>
        <w:jc w:val="center"/>
        <w:rPr>
          <w:b/>
          <w:b/>
          <w:sz w:val="24"/>
          <w:szCs w:val="24"/>
        </w:rPr>
      </w:pPr>
      <w:r>
        <w:rPr>
          <w:b/>
          <w:sz w:val="24"/>
          <w:szCs w:val="24"/>
        </w:rPr>
      </w:r>
      <w:r>
        <w:br w:type="page"/>
      </w:r>
    </w:p>
    <w:p>
      <w:pPr>
        <w:pStyle w:val="Normal"/>
        <w:ind w:right="107" w:hanging="0"/>
        <w:jc w:val="center"/>
        <w:rPr>
          <w:b/>
          <w:b/>
          <w:bCs/>
          <w:sz w:val="24"/>
          <w:szCs w:val="24"/>
        </w:rPr>
      </w:pPr>
      <w:r>
        <w:rPr>
          <w:b/>
          <w:bCs/>
          <w:color w:val="auto"/>
          <w:sz w:val="24"/>
          <w:szCs w:val="24"/>
        </w:rPr>
        <w:t xml:space="preserve">Task </w:t>
      </w:r>
      <w:r>
        <w:rPr>
          <w:b/>
          <w:bCs/>
          <w:sz w:val="24"/>
          <w:szCs w:val="24"/>
        </w:rPr>
        <w:t>1</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sz w:val="24"/>
          <w:szCs w:val="24"/>
        </w:rPr>
      </w:pPr>
      <w:r>
        <w:rPr>
          <w:sz w:val="24"/>
          <w:szCs w:val="24"/>
        </w:rPr>
        <w:t>Understanding the roll of a constable</w:t>
      </w:r>
    </w:p>
    <w:p>
      <w:pPr>
        <w:pStyle w:val="Normal"/>
        <w:ind w:right="107" w:hanging="0"/>
        <w:jc w:val="both"/>
        <w:rPr>
          <w:b/>
          <w:b/>
          <w:sz w:val="24"/>
          <w:szCs w:val="24"/>
        </w:rPr>
      </w:pPr>
      <w:r>
        <w:rPr>
          <w:b/>
          <w:sz w:val="24"/>
          <w:szCs w:val="24"/>
        </w:rPr>
      </w:r>
    </w:p>
    <w:p>
      <w:pPr>
        <w:pStyle w:val="Normal"/>
        <w:ind w:right="107" w:hanging="0"/>
        <w:jc w:val="both"/>
        <w:rPr>
          <w:i/>
          <w:i/>
          <w:sz w:val="24"/>
          <w:szCs w:val="24"/>
        </w:rPr>
      </w:pPr>
      <w:r>
        <w:rPr>
          <w:i/>
          <w:sz w:val="24"/>
          <w:szCs w:val="24"/>
        </w:rPr>
        <w:t xml:space="preserve">Guidance:  </w:t>
      </w:r>
    </w:p>
    <w:p>
      <w:pPr>
        <w:pStyle w:val="Normal"/>
        <w:ind w:right="107" w:hanging="0"/>
        <w:jc w:val="both"/>
        <w:rPr>
          <w:i/>
          <w:i/>
          <w:sz w:val="24"/>
          <w:szCs w:val="24"/>
        </w:rPr>
      </w:pPr>
      <w:r>
        <w:rPr>
          <w:i/>
          <w:sz w:val="24"/>
          <w:szCs w:val="24"/>
        </w:rPr>
      </w:r>
    </w:p>
    <w:tbl>
      <w:tblPr>
        <w:tblW w:w="10278" w:type="dxa"/>
        <w:jc w:val="left"/>
        <w:tblInd w:w="0" w:type="dxa"/>
        <w:tblCellMar>
          <w:top w:w="0" w:type="dxa"/>
          <w:left w:w="108" w:type="dxa"/>
          <w:bottom w:w="0" w:type="dxa"/>
          <w:right w:w="108" w:type="dxa"/>
        </w:tblCellMar>
        <w:tblLook w:firstRow="1" w:noVBand="0" w:lastRow="1" w:firstColumn="1" w:lastColumn="1" w:noHBand="0" w:val="01e0"/>
      </w:tblPr>
      <w:tblGrid>
        <w:gridCol w:w="10278"/>
      </w:tblGrid>
      <w:tr>
        <w:trPr/>
        <w:tc>
          <w:tcPr>
            <w:tcW w:w="1027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pPr>
            <w:r>
              <w:rPr>
                <w:rFonts w:eastAsia="Arial"/>
                <w:color w:val="000000" w:themeColor="text1"/>
                <w:sz w:val="24"/>
                <w:szCs w:val="24"/>
              </w:rPr>
              <w:t xml:space="preserve">Focussing on your initial 6 months of learning and since being attested as a Police Constable, </w:t>
            </w:r>
            <w:r>
              <w:rPr>
                <w:rFonts w:eastAsia="Arial"/>
                <w:b/>
                <w:bCs/>
                <w:color w:val="000000" w:themeColor="text1"/>
                <w:sz w:val="24"/>
                <w:szCs w:val="24"/>
              </w:rPr>
              <w:t>discuss and compare</w:t>
            </w:r>
            <w:r>
              <w:rPr>
                <w:rFonts w:eastAsia="Arial"/>
                <w:color w:val="000000" w:themeColor="text1"/>
                <w:sz w:val="24"/>
                <w:szCs w:val="24"/>
              </w:rPr>
              <w:t xml:space="preserve"> the coping strategies you have applied to develop resilience and minimise stress.</w:t>
            </w:r>
          </w:p>
          <w:p>
            <w:pPr>
              <w:pStyle w:val="Normal"/>
              <w:ind w:right="107" w:hanging="0"/>
              <w:jc w:val="both"/>
              <w:rPr>
                <w:color w:val="000000" w:themeColor="text1"/>
                <w:sz w:val="24"/>
                <w:szCs w:val="24"/>
              </w:rPr>
            </w:pPr>
            <w:r>
              <w:rPr>
                <w:color w:val="000000" w:themeColor="text1"/>
                <w:sz w:val="24"/>
                <w:szCs w:val="24"/>
              </w:rPr>
            </w:r>
          </w:p>
          <w:p>
            <w:pPr>
              <w:pStyle w:val="Normal"/>
              <w:ind w:right="107" w:hanging="0"/>
              <w:jc w:val="both"/>
              <w:rPr>
                <w:color w:val="000000" w:themeColor="text1"/>
                <w:sz w:val="24"/>
                <w:szCs w:val="24"/>
              </w:rPr>
            </w:pPr>
            <w:r>
              <w:rPr>
                <w:color w:val="000000" w:themeColor="text1"/>
                <w:sz w:val="24"/>
                <w:szCs w:val="24"/>
              </w:rPr>
            </w:r>
          </w:p>
          <w:p>
            <w:pPr>
              <w:pStyle w:val="Normal"/>
              <w:ind w:right="107" w:hanging="0"/>
              <w:jc w:val="both"/>
              <w:rPr>
                <w:i/>
                <w:i/>
                <w:iCs/>
                <w:sz w:val="24"/>
                <w:szCs w:val="24"/>
              </w:rPr>
            </w:pPr>
            <w:r>
              <w:rPr>
                <w:i/>
                <w:iCs/>
                <w:sz w:val="24"/>
                <w:szCs w:val="24"/>
              </w:rPr>
              <w:t>1000 words (+/- 10%: include your actual word count at the end of each section)</w:t>
            </w:r>
          </w:p>
        </w:tc>
      </w:tr>
    </w:tbl>
    <w:p>
      <w:pPr>
        <w:pStyle w:val="Normal"/>
        <w:ind w:right="107" w:hanging="0"/>
        <w:jc w:val="both"/>
        <w:rPr>
          <w:b/>
          <w:b/>
          <w:sz w:val="24"/>
          <w:szCs w:val="24"/>
        </w:rPr>
      </w:pPr>
      <w:r>
        <w:rPr>
          <w:b/>
          <w:sz w:val="24"/>
          <w:szCs w:val="24"/>
        </w:rPr>
      </w:r>
    </w:p>
    <w:p>
      <w:pPr>
        <w:pStyle w:val="Normal"/>
        <w:ind w:right="107" w:hanging="0"/>
        <w:jc w:val="both"/>
        <w:rPr>
          <w:b/>
          <w:b/>
          <w:sz w:val="24"/>
          <w:szCs w:val="24"/>
        </w:rPr>
      </w:pPr>
      <w:r>
        <w:rPr>
          <w:b/>
          <w:sz w:val="24"/>
          <w:szCs w:val="24"/>
        </w:rPr>
        <w:t xml:space="preserve">ANSWER: </w:t>
      </w:r>
    </w:p>
    <w:p>
      <w:pPr>
        <w:pStyle w:val="Normal"/>
        <w:ind w:right="107" w:hanging="0"/>
        <w:jc w:val="both"/>
        <w:rPr>
          <w:b/>
          <w:b/>
          <w:sz w:val="24"/>
          <w:szCs w:val="24"/>
        </w:rPr>
      </w:pPr>
      <w:r>
        <w:rPr>
          <w:b/>
          <w:sz w:val="24"/>
          <w:szCs w:val="24"/>
        </w:rPr>
      </w:r>
    </w:p>
    <w:p>
      <w:pPr>
        <w:pStyle w:val="Normal"/>
        <w:ind w:right="107" w:hanging="0"/>
        <w:jc w:val="both"/>
        <w:rPr/>
      </w:pPr>
      <w:r>
        <w:rPr>
          <w:sz w:val="24"/>
          <w:szCs w:val="24"/>
        </w:rPr>
        <w:t>In this piece of work, I will be comparing and discussing the coping strategies I have used to ensure I have the foundations in place to be resilient and that I am able to cope with stress, as I begin my career as Police Constable within South Wales Police. To do this, I will be using Gibbs reflective model</w:t>
      </w:r>
      <w:r>
        <w:rPr>
          <w:sz w:val="24"/>
          <w:szCs w:val="24"/>
        </w:rPr>
        <w:t xml:space="preserve">(Gibbs Reflective Model, 2020). </w:t>
      </w:r>
      <w:r>
        <w:rPr>
          <w:sz w:val="24"/>
          <w:szCs w:val="24"/>
        </w:rPr>
        <w:t xml:space="preserve">The Gibbs reflective model comes in 6 parts. </w:t>
      </w:r>
      <w:r>
        <w:rPr>
          <w:sz w:val="24"/>
          <w:szCs w:val="24"/>
        </w:rPr>
        <w:t>First</w:t>
      </w:r>
      <w:r>
        <w:rPr>
          <w:sz w:val="24"/>
          <w:szCs w:val="24"/>
        </w:rPr>
        <w:t xml:space="preserve"> being, Description, This is where you have a chance to describe the situation in detail. The main points of what has happened. Second is Feelings, this is where you can explore your feelings and thoughts you had during the situation. Thirdly, Evaluation, This is where I have a chance to evaluate what worked and what didn’t work. Next is Analysis, This is where I will have a chance to make sense of what has happened and reflect on it. Fifth part is Conclusions, This is where I have the time to summarise my learning and highlight what I would do better next time. Lastly, Action Plan, This is where I will plan that I would do differently in a situation similar in the future. </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Stress can be defined in a number of ways. Stress usually happens when a person does not feel they can manage or control the situation that they are dealing with. Stress can also be defined as by Lazaraus and Delongis(1983) “Irritating, frustrating, distressing demands and troubled relationships that plague us on a day in day out”. These demands could be a wide range of things from the weather, financial concerns or even work demands.  This definition gives an idea that anything in life could cause you stress. It is important as a police officer that if you are stressed to get help or use a coping strategy to deal with it, considering the nature of the role it is important to always remain calm and to be thinking straight.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Resilience in a simple context is the capability to deal with stress after an adverse experience. A recent survey from Mind Charity shows the high importance of being able to be resilient as a police officer. The survey from February 2019 showed that almost 8 in 10 (79 per cent) of police officers say they have dealt with stress and anxiety within the previous 12 months and 94 per cent of those stated that these were made worse by what they were dealing with as a police officer. (Mind,2019) In response to this survey Blue Light Manager Mahuba Ramhan stated that it is worrying but not surprising to see such high levels of stress and anxiety within police officers. The fast demand of the job and the exposure to difficult incidents puts officers at a higher risk of suffering from poor mental health.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After using the First stage of the Gibbs reflective model, Description. I will now be discussing the first tactic I used to deal with stress and to be resilient. This being exercise. Exercise has also been an important part of my life growing up playing sport and being in the gym a couple of times a week. This was personally important to me through life as I knew it was a coping mechanism for me to deal with my mental health. Since having children these dynamics have changed. Not playing rugby and exercising less. I realised that I would have to go back to exercising as regularly as I could. I knew that within the role I would be attending incidents that would test my mental health, but I also needed to be physically fit for the role. I knew improving fitness and stamina would also improve my durability within my shifts. I have been running three/four times a week. This has not only had an impact on my physical fitness but also my mental health. It has giving me a sense of pride that I am keeping myself fit for the role and giving the public the best service they could ask for.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second tactic was ensuring that I spent time with my family, my wife and two children. I realised that the job, including university studies, would be taking a big part of my time up, even on days off. Family time is important to me, making memories with my children is important and it helps with my mental health, but I knew that these would be limited with the role I was now taking on. I ensured that at least one day off of my four rest days would be spent as a whole family going on days out. This also ensured that I was not feeling isolated from my family and that my mental health would not be affected.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To reflect on the Gibbs reflective model from the two tactics used above I believe and feel that the two tactics that I have put into place to help me be resilient and deal with stress as a police constable have worked. I feel like they give me the downtime that I require away from the role to be able to think clearly and de-stress. Evaluating on using these two tactics I think they have worked well and helped me be more resilient and better at dealing with stress. Going forward I will ensure that I maintain the two tactics used as I believe they are working. If at some point they do not work or circumstances change, I will use the Gibbs reflective model again and pick another two tactics. </w:t>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 xml:space="preserve">Word Count – 920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080" w:right="1080" w:header="720" w:top="1440" w:footer="720" w:bottom="1440" w:gutter="0"/>
          <w:pgNumType w:fmt="decimal"/>
          <w:formProt w:val="false"/>
          <w:titlePg/>
          <w:textDirection w:val="lrTb"/>
          <w:docGrid w:type="default" w:linePitch="272" w:charSpace="8192"/>
        </w:sectPr>
        <w:pStyle w:val="Normal"/>
        <w:ind w:right="107" w:hanging="0"/>
        <w:jc w:val="both"/>
        <w:rPr>
          <w:sz w:val="24"/>
          <w:szCs w:val="24"/>
        </w:rPr>
      </w:pPr>
      <w:r>
        <w:rPr>
          <w:sz w:val="24"/>
          <w:szCs w:val="24"/>
        </w:rPr>
      </w:r>
    </w:p>
    <w:p>
      <w:pPr>
        <w:pStyle w:val="Normal"/>
        <w:ind w:right="107" w:hanging="0"/>
        <w:jc w:val="center"/>
        <w:rPr>
          <w:b/>
          <w:b/>
          <w:bCs/>
          <w:sz w:val="24"/>
          <w:szCs w:val="24"/>
        </w:rPr>
      </w:pPr>
      <w:r>
        <w:rPr>
          <w:b/>
          <w:bCs/>
          <w:color w:val="auto"/>
          <w:sz w:val="24"/>
          <w:szCs w:val="24"/>
        </w:rPr>
        <w:t xml:space="preserve">Task </w:t>
      </w:r>
      <w:r>
        <w:rPr>
          <w:b/>
          <w:bCs/>
          <w:sz w:val="24"/>
          <w:szCs w:val="24"/>
        </w:rPr>
        <w:t>2</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color w:val="auto"/>
          <w:sz w:val="24"/>
          <w:szCs w:val="24"/>
        </w:rPr>
      </w:pPr>
      <w:r>
        <w:rPr>
          <w:b/>
          <w:color w:val="auto"/>
          <w:sz w:val="24"/>
          <w:szCs w:val="24"/>
        </w:rPr>
        <w:t>Communication Skills, Managing Conflict, Valuing Difference and Inclusion</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You must choose </w:t>
      </w:r>
      <w:r>
        <w:rPr>
          <w:b/>
          <w:sz w:val="24"/>
          <w:szCs w:val="24"/>
          <w:u w:val="single"/>
        </w:rPr>
        <w:t xml:space="preserve">a policing incident involving conflict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tbl>
      <w:tblPr>
        <w:tblW w:w="9736" w:type="dxa"/>
        <w:jc w:val="left"/>
        <w:tblInd w:w="0" w:type="dxa"/>
        <w:tblCellMar>
          <w:top w:w="0" w:type="dxa"/>
          <w:left w:w="108" w:type="dxa"/>
          <w:bottom w:w="0" w:type="dxa"/>
          <w:right w:w="108" w:type="dxa"/>
        </w:tblCellMar>
        <w:tblLook w:firstRow="1" w:noVBand="0" w:lastRow="1" w:firstColumn="1" w:lastColumn="1" w:noHBand="0" w:val="01e0"/>
      </w:tblPr>
      <w:tblGrid>
        <w:gridCol w:w="9736"/>
      </w:tblGrid>
      <w:tr>
        <w:trPr/>
        <w:tc>
          <w:tcPr>
            <w:tcW w:w="973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rPr>
                <w:sz w:val="24"/>
                <w:szCs w:val="24"/>
              </w:rPr>
            </w:pPr>
            <w:r>
              <w:rPr>
                <w:sz w:val="24"/>
                <w:szCs w:val="24"/>
              </w:rPr>
            </w:r>
          </w:p>
          <w:p>
            <w:pPr>
              <w:pStyle w:val="Normal"/>
              <w:ind w:right="107" w:hanging="0"/>
              <w:jc w:val="both"/>
              <w:rPr>
                <w:sz w:val="24"/>
                <w:szCs w:val="24"/>
              </w:rPr>
            </w:pPr>
            <w:r>
              <w:rPr>
                <w:b/>
                <w:bCs/>
                <w:sz w:val="24"/>
                <w:szCs w:val="24"/>
              </w:rPr>
              <w:t xml:space="preserve">Critically assess </w:t>
            </w:r>
            <w:r>
              <w:rPr>
                <w:sz w:val="24"/>
                <w:szCs w:val="24"/>
              </w:rPr>
              <w:t xml:space="preserve">the incident including social and legislative contexts and any relevant cultural, ethnicity and language issues.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Consider the use of effective communication skills that you used within the incident.</w:t>
            </w:r>
          </w:p>
          <w:p>
            <w:pPr>
              <w:pStyle w:val="Normal"/>
              <w:ind w:right="107" w:hanging="0"/>
              <w:rPr>
                <w:b/>
                <w:b/>
                <w:bCs/>
                <w:sz w:val="24"/>
                <w:szCs w:val="24"/>
              </w:rPr>
            </w:pPr>
            <w:r>
              <w:rPr>
                <w:b/>
                <w:bCs/>
                <w:sz w:val="24"/>
                <w:szCs w:val="24"/>
              </w:rPr>
            </w:r>
          </w:p>
          <w:p>
            <w:pPr>
              <w:pStyle w:val="Normal"/>
              <w:ind w:right="107" w:hanging="0"/>
              <w:jc w:val="both"/>
              <w:rPr>
                <w:color w:val="000000" w:themeColor="text1"/>
                <w:sz w:val="24"/>
                <w:szCs w:val="24"/>
              </w:rPr>
            </w:pPr>
            <w:r>
              <w:rPr>
                <w:b/>
                <w:bCs/>
                <w:color w:val="000000" w:themeColor="text1"/>
                <w:sz w:val="24"/>
                <w:szCs w:val="24"/>
              </w:rPr>
              <w:t>Reflecting</w:t>
            </w:r>
            <w:r>
              <w:rPr>
                <w:color w:val="000000" w:themeColor="text1"/>
                <w:sz w:val="24"/>
                <w:szCs w:val="24"/>
              </w:rPr>
              <w:t xml:space="preserve"> upon your incident, critically evaluate any theories or models underpinning the causes of conflict within policing interventions. (Examples would include, Betaris Box, The Drama Triangle). </w:t>
            </w:r>
          </w:p>
          <w:p>
            <w:pPr>
              <w:pStyle w:val="Normal"/>
              <w:ind w:right="107" w:hanging="0"/>
              <w:jc w:val="both"/>
              <w:rPr>
                <w:color w:val="000000" w:themeColor="text1"/>
                <w:sz w:val="24"/>
                <w:szCs w:val="24"/>
              </w:rPr>
            </w:pPr>
            <w:r>
              <w:rPr>
                <w:color w:val="000000" w:themeColor="text1"/>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2000 words </w:t>
            </w:r>
            <w:r>
              <w:rPr>
                <w:i/>
                <w:iCs/>
                <w:sz w:val="24"/>
                <w:szCs w:val="24"/>
              </w:rPr>
              <w:t>(+/- 10%: include your actual word count at the end of each section)</w:t>
            </w:r>
          </w:p>
        </w:tc>
      </w:tr>
    </w:tbl>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ANSWER:</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role of a Police Constable is going to challenge you in the way of conflict, conflict and the way you manage it is going to play and important part of my role. There are many different sides to conflict in a police context. From the physical hands-on approach side to the emotional conflict which usually happens when people incidents are still fresh in people’s minds. There are many laws, legislations, regulations and protocols a Police Constable can use when approaching conflict. As conflict can be of many different sides there is no right or wrong legislation or protocol to use when dealing with conflict. It is down to the own individual’s discretion. All the above will be explored in this piece of work. I will be doing this by using an incident that happened two months into my tutorship. I will briefly describe the incident, whilst trying to keep to data protection regulations. I will reflect on my performance by using the ERA reflective Cycle (Jasper,2013). I will also be explaining and exploring the suitability of use of force, not only in this situation but in all conflict situations, by exploring police theory and academic theory.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Firstly, I will describe the occurrence, evidently certain details are made ambiguous to comply with data protection</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 call was received from a female at a dwelling property in Bridgend to state that her ex-partner has turned up at the address intoxicated and is not welcome, the female wanted him to be removed from the property. On attending the address, I spoke with the female via mobile, female stated that her ex-partner had turned up to the address as he had nowhere else to stay. This was an agreement which had been made by both parties, however at the time the female did not know that the ex-partner was intoxicated. Female stated that the male was not being aggressive or had not harmed her in anyway, he was just refusing to leave the address. Officers attended the address and removed male from the address after a lot of persuasion, at first the male was very reluctant on leaving the address. Officers found an address for the male to stay at overnight.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Domestic Abuse is a very important social topic within the current climate. On the 39</w:t>
      </w:r>
      <w:r>
        <w:rPr>
          <w:sz w:val="24"/>
          <w:szCs w:val="24"/>
          <w:vertAlign w:val="superscript"/>
        </w:rPr>
        <w:t>th</w:t>
      </w:r>
      <w:r>
        <w:rPr>
          <w:sz w:val="24"/>
          <w:szCs w:val="24"/>
        </w:rPr>
        <w:t xml:space="preserve"> of March 2022, the government issued a statement stating they have developed a Domestic Abuse Action Plan. The government have realised that Domestic Abuse needs an appropriate response to ensure the safety of victims, and that victims can access the support they need. The plan also sets out pursuing perpetrators. (Home Office,2022). Domestic abuse is one of the crimes throughout the UK that gets un reported On occasions this is due to the fear from the victim. Some statistics for you in relation to domestic abuse. Around 2.3 million people in England and Wales last year experienced domestic abuse. The worrying figure is that 1 in 5 of those domestics are related to homicides. The above plan from the government is set out to go further in tackling the social problem of domestic abuse.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Domestic abuse is seen to be a gendered crime, what is meant by a gendered crime is that it is the social gap an inequality found between male and female. Domestic abuse is also known as a form of gender-based violence. Mainly directed at a female from a male because that female is seen to be the weaker of the two in the relationship. (CEDAW, 1992).</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legal definition of Domestic Abuse has been updated with the Domestic Abuse Act of 2021. The definition is a complex one, but in summary for it to be “Domestic Abuse.” Two people must be over 16 years of age, the behaviour towards either person must be abuse, those two persons must be Personally Connected and if the abuse consist of, physical or sexual abuse, violent of threatening behaviour, controlling or coercive behaviour, economic abuse or psychological abuse. (Domestic Abuse Act,2021) The above definition, although in summary, shows that Domestic Abuse can affect people in a variety of ways. It also shows that it can affect people from all walks of life and is not defined to any social group or ideology.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As with all calls received as Police Constable there is always the anticipation on arrival whether if force will be used. Use of force for Police Constables should only be used within guidance and policy. One of the options officers must consider is “Impact Factors”. Impact Factors can be a wide range of things from Alcohol, to size of the perpetrator. Anything that can impact on the way you deal with a situation and the amount of force to be used. This will be explained further in the use of force section. However the male in this incident was intoxicated. Alcohol can affect people in many ways. Alcohol was such an important factor in this incident as due to the male’s intoxication levels he was not willing to leave the address or cooperate with officers at first. Male kept stating he just wanted to go to bed. I believe Alcohol was a major factor in this as he was not thinking straight and just wanted to go to bed.</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During this incident there were no language barriers or ethical issues. Both male and female were English-speaking.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Now I will reflect on the incident, what was good about it, what was bad and what can be learnt for an incident of this nature in the future. I will be doing this by using the ERA reflective cycle(Jasper, 2013). This reflective cycle has three parts, Experience, Reflection and Action. This is a cycle is simplified to be easier to understand a build an understanding from experience. </w:t>
      </w:r>
    </w:p>
    <w:p>
      <w:pPr>
        <w:pStyle w:val="Normal"/>
        <w:ind w:right="107" w:hanging="0"/>
        <w:jc w:val="both"/>
        <w:rPr>
          <w:sz w:val="24"/>
          <w:szCs w:val="24"/>
        </w:rPr>
      </w:pPr>
      <w:r>
        <w:rPr>
          <w:sz w:val="24"/>
          <w:szCs w:val="24"/>
        </w:rPr>
        <w:t xml:space="preserve">The key component is that of action, as this feeds learning through reflection forward into future experiences. </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Throughout the incident I used several communications skills with the male. First, I took the male into the kitchen for a conversation away from his ex-partner. At this time, I tried to bargain with the male as he was very reluctant on leaving the property. The male stated that he pays all the bills to the house still as his daughter is living here. He did not want to leave. I bargained with the male and stated that last thing we want to do is arrest you. Let us find accommodation for you for the evening. Male stated that he had nowhere to go. However, he then stated to officers he stayed at friends the last time this happened, and it was nearby. I have then bargained with him to give him a lift to this address, so no taxi needed to be paid for.  Male agreed and came with police officers. Whilst talking with the male I tried to use the model of “Betari Box” </w:t>
      </w:r>
      <w:r>
        <w:rPr>
          <w:sz w:val="24"/>
          <w:szCs w:val="24"/>
        </w:rPr>
        <w:t xml:space="preserve">College of Policing </w:t>
      </w:r>
      <w:r>
        <w:rPr>
          <w:sz w:val="24"/>
          <w:szCs w:val="24"/>
        </w:rPr>
        <w:t>(</w:t>
      </w:r>
      <w:r>
        <w:rPr>
          <w:sz w:val="24"/>
          <w:szCs w:val="24"/>
        </w:rPr>
        <w:t>2020)</w:t>
      </w:r>
      <w:r>
        <w:rPr>
          <w:sz w:val="24"/>
          <w:szCs w:val="24"/>
        </w:rPr>
        <w:t xml:space="preserve">. Betari Box is a communication style that can be effective for police constables to use. In simple terms betari box is a model that demonstrates how your attitudes and behaviours could affect the attitude and behaviour of the individual you are talking to. For example if you go into a situation where there is potential conflict and are aggressive and forceful in your manner it may only escalate the situation, as if you were to approach it calmly it may change that persons behaviour and de escalate the situation.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Once the male was out of the address, I used my active listening and rapport building skills. The male talked me through how he had only been arresting for minor stuff previously in his youth and had not had any record since. I explained to the male then even more reason for him to come with officers to keep his record to a minimum. Throughout the incident I felt calm as there was no violence involved and previously as my role as Police Community Support Officers I have gained good communication skills.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Throughout the incident I was looking out for non-verbal communications. This was due to the male being reluctant on leaving the address. I was constantly looking to see if the male’s behaviour would change. On this occasion it didn’t.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Once in the car, I was able to build a rapport up with the male. Find out the recent background between the male and female and find out exactly what has been happening. The male could see that I was being empathetic and changed his attitude towards officers. This is why building a rapport is so important, at first the male was reluctant to leave the address and only way of him leaving was wanting to spend a night in the cells. At the end of the incident the male was happy with officer’s contributions.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My involvement in this occurrence was substantial. I was the first officer to speak with the male and the officer who had the most contact with the male. I would say that at first it was hard to engage with the male as he was reluctant to speak with officers and leave the address, however after using different communication skills I was able to keep the male calm and understand that he needed to be removed from the address. I think the incident went well largely due to my communication skills being successful.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way officers make decisions is predominately through the national decision making model. (College of Policing,2014) This is a tool that is designed to help a police officer make there decision and decide their rational to making their decision. It is not a tool to catch police officers out, it is a tool designed to help them make their decision and encourage officers’ whatever decision they make they will not be criticised for it. The national Decision-making model has five parts, these are Gather information and intelligence, assess risk and threat, consider powers and policies, identify options and contingencies, take action and review.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I was taught in training the acronym JPLANE, which along with the National Decision-making model dictates all decisions officers make, whether it be a conflict situation or not. If force is necessary in a situation the following must be considered by the officer, Is the force justified, is it proportionate in the circumstances, is it legal, is the force necessary and is the force ethical.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Although the above are models that police officers may use to make decisions at incidents, sometimes it is impossible to go through the models due to the threat risk or harm involved but to reflect on these models once the incident as happened to ascertain why that decision was made. </w:t>
      </w:r>
    </w:p>
    <w:p>
      <w:pPr>
        <w:pStyle w:val="Normal"/>
        <w:ind w:right="107" w:hanging="0"/>
        <w:jc w:val="both"/>
        <w:rPr>
          <w:sz w:val="24"/>
          <w:szCs w:val="24"/>
        </w:rPr>
      </w:pPr>
      <w:r>
        <w:rPr>
          <w:sz w:val="24"/>
          <w:szCs w:val="24"/>
        </w:rPr>
      </w:r>
    </w:p>
    <w:p>
      <w:pPr>
        <w:pStyle w:val="Default"/>
        <w:rPr/>
      </w:pPr>
      <w:r>
        <w:rPr/>
        <w:t xml:space="preserve">In reflection I am satisfied on how I dealt with this incident. Conflict can come in many ways, it does not mean you have to use force every time to be effective in dealing with a confrontational situation. Situations like this can be resolved by effective communication methods as described above. The purpose of good verbal communication is to de escalate a situation and prevent it from any further escalation.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bCs/>
          <w:sz w:val="24"/>
          <w:szCs w:val="24"/>
          <w:u w:val="single"/>
        </w:rPr>
      </w:pPr>
      <w:r>
        <w:rPr>
          <w:b/>
          <w:bCs/>
          <w:sz w:val="24"/>
          <w:szCs w:val="24"/>
          <w:u w:val="single"/>
        </w:rPr>
        <w:t>Word Count - 1839</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p>
      <w:pPr>
        <w:pStyle w:val="Normal"/>
        <w:ind w:right="107" w:hanging="0"/>
        <w:rPr/>
      </w:pPr>
      <w:r>
        <w:rPr/>
      </w:r>
      <w:r>
        <w:br w:type="page"/>
      </w:r>
    </w:p>
    <w:p>
      <w:pPr>
        <w:pStyle w:val="Normal"/>
        <w:ind w:right="107" w:hanging="0"/>
        <w:jc w:val="center"/>
        <w:rPr>
          <w:b/>
          <w:b/>
          <w:bCs/>
          <w:sz w:val="24"/>
          <w:szCs w:val="24"/>
        </w:rPr>
      </w:pPr>
      <w:r>
        <w:rPr>
          <w:b/>
          <w:bCs/>
          <w:color w:val="auto"/>
          <w:sz w:val="24"/>
          <w:szCs w:val="24"/>
        </w:rPr>
        <w:t xml:space="preserve">Task </w:t>
      </w:r>
      <w:r>
        <w:rPr>
          <w:b/>
          <w:bCs/>
          <w:sz w:val="24"/>
          <w:szCs w:val="24"/>
        </w:rPr>
        <w:t>3</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sz w:val="24"/>
          <w:szCs w:val="24"/>
        </w:rPr>
      </w:pPr>
      <w:r>
        <w:rPr>
          <w:b/>
          <w:sz w:val="24"/>
          <w:szCs w:val="24"/>
        </w:rPr>
        <w:t xml:space="preserve">Criminal Justice, Valuing difference and inclusion </w:t>
      </w:r>
    </w:p>
    <w:p>
      <w:pPr>
        <w:pStyle w:val="Normal"/>
        <w:ind w:right="107" w:hanging="0"/>
        <w:jc w:val="both"/>
        <w:rPr>
          <w:sz w:val="24"/>
          <w:szCs w:val="24"/>
          <w:highlight w:val="yellow"/>
        </w:rPr>
      </w:pPr>
      <w:r>
        <w:rPr>
          <w:sz w:val="24"/>
          <w:szCs w:val="24"/>
          <w:highlight w:val="yellow"/>
        </w:rPr>
      </w:r>
    </w:p>
    <w:p>
      <w:pPr>
        <w:pStyle w:val="Normal"/>
        <w:ind w:right="107" w:hanging="0"/>
        <w:jc w:val="both"/>
        <w:rPr>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in which you played a significant role with an offender/ service</w:t>
      </w:r>
      <w:r>
        <w:rPr>
          <w:b/>
          <w:bCs/>
          <w:sz w:val="24"/>
          <w:szCs w:val="24"/>
        </w:rPr>
        <w:t xml:space="preserve"> </w:t>
      </w:r>
      <w:r>
        <w:rPr>
          <w:sz w:val="24"/>
          <w:szCs w:val="24"/>
        </w:rPr>
        <w:t>user/victim and reflect on what happened</w:t>
      </w:r>
    </w:p>
    <w:p>
      <w:pPr>
        <w:pStyle w:val="Normal"/>
        <w:ind w:right="107" w:hanging="0"/>
        <w:jc w:val="both"/>
        <w:rPr>
          <w:b/>
          <w:b/>
          <w:sz w:val="24"/>
          <w:szCs w:val="24"/>
          <w:u w:val="single"/>
        </w:rPr>
      </w:pPr>
      <w:r>
        <w:rPr>
          <w:b/>
          <w:sz w:val="24"/>
          <w:szCs w:val="24"/>
          <w:u w:val="single"/>
        </w:rPr>
      </w:r>
    </w:p>
    <w:p>
      <w:pPr>
        <w:pStyle w:val="Normal"/>
        <w:ind w:right="107" w:hanging="0"/>
        <w:jc w:val="both"/>
        <w:rPr>
          <w:b/>
          <w:b/>
          <w:sz w:val="24"/>
          <w:szCs w:val="24"/>
        </w:rPr>
      </w:pPr>
      <w:r>
        <w:rPr>
          <w:b/>
          <w:sz w:val="24"/>
          <w:szCs w:val="24"/>
        </w:rPr>
      </w:r>
    </w:p>
    <w:tbl>
      <w:tblPr>
        <w:tblW w:w="9736" w:type="dxa"/>
        <w:jc w:val="left"/>
        <w:tblInd w:w="0" w:type="dxa"/>
        <w:tblCellMar>
          <w:top w:w="0" w:type="dxa"/>
          <w:left w:w="108" w:type="dxa"/>
          <w:bottom w:w="0" w:type="dxa"/>
          <w:right w:w="108" w:type="dxa"/>
        </w:tblCellMar>
        <w:tblLook w:firstRow="1" w:noVBand="0" w:lastRow="1" w:firstColumn="1" w:lastColumn="1" w:noHBand="0" w:val="01e0"/>
      </w:tblPr>
      <w:tblGrid>
        <w:gridCol w:w="9736"/>
      </w:tblGrid>
      <w:tr>
        <w:trPr/>
        <w:tc>
          <w:tcPr>
            <w:tcW w:w="9736"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rPr>
                <w:b/>
                <w:b/>
                <w:bCs/>
                <w:sz w:val="24"/>
                <w:szCs w:val="24"/>
              </w:rPr>
            </w:pPr>
            <w:r>
              <w:rPr>
                <w:b/>
                <w:bCs/>
                <w:sz w:val="24"/>
                <w:szCs w:val="24"/>
              </w:rPr>
              <w:t xml:space="preserve">  </w:t>
            </w:r>
          </w:p>
          <w:p>
            <w:pPr>
              <w:pStyle w:val="Normal"/>
              <w:ind w:right="107" w:hanging="0"/>
              <w:rPr>
                <w:b/>
                <w:b/>
                <w:bCs/>
                <w:color w:val="000000" w:themeColor="text1"/>
                <w:sz w:val="24"/>
                <w:szCs w:val="24"/>
              </w:rPr>
            </w:pPr>
            <w:r>
              <w:rPr>
                <w:b/>
                <w:bCs/>
                <w:color w:val="000000" w:themeColor="text1"/>
                <w:sz w:val="24"/>
                <w:szCs w:val="24"/>
              </w:rPr>
            </w:r>
          </w:p>
          <w:p>
            <w:pPr>
              <w:pStyle w:val="Normal"/>
              <w:ind w:right="107" w:hanging="0"/>
              <w:rPr>
                <w:color w:val="000000" w:themeColor="text1"/>
                <w:sz w:val="24"/>
                <w:szCs w:val="24"/>
              </w:rPr>
            </w:pPr>
            <w:r>
              <w:rPr>
                <w:b/>
                <w:bCs/>
                <w:color w:val="000000" w:themeColor="text1"/>
                <w:sz w:val="24"/>
                <w:szCs w:val="24"/>
              </w:rPr>
              <w:t>Critically explore</w:t>
            </w:r>
            <w:r>
              <w:rPr>
                <w:color w:val="000000" w:themeColor="text1"/>
                <w:sz w:val="24"/>
                <w:szCs w:val="24"/>
              </w:rPr>
              <w:t xml:space="preserve"> a policing incident that you have attended and examine how you dealt with competing issues such as legalisation, social issues, culture and language. </w:t>
            </w:r>
          </w:p>
          <w:p>
            <w:pPr>
              <w:pStyle w:val="Normal"/>
              <w:ind w:right="107" w:hanging="0"/>
              <w:rPr>
                <w:color w:val="000000" w:themeColor="text1"/>
                <w:sz w:val="24"/>
                <w:szCs w:val="24"/>
              </w:rPr>
            </w:pPr>
            <w:r>
              <w:rPr>
                <w:color w:val="000000" w:themeColor="text1"/>
                <w:sz w:val="24"/>
                <w:szCs w:val="24"/>
              </w:rPr>
            </w:r>
          </w:p>
          <w:p>
            <w:pPr>
              <w:pStyle w:val="Normal"/>
              <w:ind w:right="107" w:hanging="0"/>
              <w:rPr>
                <w:color w:val="000000" w:themeColor="text1"/>
                <w:sz w:val="24"/>
                <w:szCs w:val="24"/>
              </w:rPr>
            </w:pPr>
            <w:r>
              <w:rPr>
                <w:color w:val="000000" w:themeColor="text1"/>
                <w:sz w:val="24"/>
                <w:szCs w:val="24"/>
              </w:rPr>
              <w:t xml:space="preserve">Consider the victims code of practice and how it was used to support your victim/witness through the criminal justice system. </w:t>
            </w:r>
          </w:p>
          <w:p>
            <w:pPr>
              <w:pStyle w:val="Normal"/>
              <w:ind w:right="107" w:hanging="0"/>
              <w:rPr>
                <w:color w:val="000000" w:themeColor="text1"/>
                <w:sz w:val="24"/>
                <w:szCs w:val="24"/>
              </w:rPr>
            </w:pPr>
            <w:r>
              <w:rPr>
                <w:color w:val="000000" w:themeColor="text1"/>
                <w:sz w:val="24"/>
                <w:szCs w:val="24"/>
              </w:rPr>
              <w:t xml:space="preserve"> </w:t>
            </w:r>
          </w:p>
          <w:p>
            <w:pPr>
              <w:pStyle w:val="Normal"/>
              <w:ind w:right="107" w:hanging="0"/>
              <w:rPr>
                <w:sz w:val="24"/>
                <w:szCs w:val="24"/>
              </w:rPr>
            </w:pPr>
            <w:r>
              <w:rPr>
                <w:sz w:val="24"/>
                <w:szCs w:val="24"/>
              </w:rPr>
              <w:t>Your reflection must illustrate your understanding and application of core principles of ethics, equality, diversity and human rights, as well as any relevant Code of Practice considerations.</w:t>
            </w:r>
          </w:p>
          <w:p>
            <w:pPr>
              <w:pStyle w:val="Normal"/>
              <w:ind w:right="107" w:hanging="0"/>
              <w:jc w:val="both"/>
              <w:rPr>
                <w:color w:val="000000" w:themeColor="text1"/>
                <w:sz w:val="24"/>
                <w:szCs w:val="24"/>
              </w:rPr>
            </w:pPr>
            <w:r>
              <w:rPr>
                <w:color w:val="000000" w:themeColor="text1"/>
                <w:sz w:val="24"/>
                <w:szCs w:val="24"/>
              </w:rPr>
            </w:r>
          </w:p>
          <w:p>
            <w:pPr>
              <w:pStyle w:val="Normal"/>
              <w:ind w:right="107" w:hanging="0"/>
              <w:jc w:val="both"/>
              <w:rPr>
                <w:i/>
                <w:i/>
                <w:iCs/>
                <w:sz w:val="24"/>
                <w:szCs w:val="24"/>
              </w:rPr>
            </w:pPr>
            <w:r>
              <w:rPr>
                <w:sz w:val="24"/>
                <w:szCs w:val="24"/>
              </w:rPr>
              <w:t xml:space="preserve">2000 words </w:t>
            </w:r>
            <w:r>
              <w:rPr>
                <w:i/>
                <w:iCs/>
                <w:sz w:val="24"/>
                <w:szCs w:val="24"/>
              </w:rPr>
              <w:t>(+/- 10%: include your actual word count at the end of each section)</w:t>
            </w:r>
          </w:p>
          <w:p>
            <w:pPr>
              <w:pStyle w:val="Normal"/>
              <w:ind w:right="107" w:hanging="0"/>
              <w:jc w:val="both"/>
              <w:rPr>
                <w:sz w:val="24"/>
                <w:szCs w:val="24"/>
              </w:rPr>
            </w:pPr>
            <w:r>
              <w:rPr>
                <w:sz w:val="24"/>
                <w:szCs w:val="24"/>
              </w:rPr>
            </w:r>
          </w:p>
        </w:tc>
      </w:tr>
    </w:tbl>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ANSWER:</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Historically, there has been a negative attitude to the way in which the criminal justice service and the police deal with victims of crime. This lead to a response by the government in 2018 when the government introduced the “Victim Strategy” (Home Office, 2018). This is a strategy that outlined the changes that they believed needed to be made to victim services. The main aim of the victim strategy was for the victim to feel like they were being understood, protected and supported through their journey to court regardless of their background. This then made the college of policing introduce the “Victims Code” (College of Policing,2021). This was introduced to implement the “Victim Strategy” at an operational level. The “Victims Code.” Ensured that officers were giving the same level of service to every victim but in some exceptional cases going above and beyond. Victims are very important when it comes to a crime, majority of the time a crime needs there to be a victim, although in some circumstances there can be victimless prosecutions. The role of a police officer is to be the mediator between the criminal justice system and the victim. In this essay I will be exploring a police incident I have attended and considering the victims code of practice and how it was used to support my victim. </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A call was made to police that a call operator at the public service centre at headquarters had been racially abused over the phone when a victim was reporting a crime. The call operator had taken a call from a male who wanted to report a crime. Call operator was quick with her decision making and decided that it was not a crime and more of a civil matter with the male’s family. Male did not like this and stated to the call operator “I wish you would go back to your own country.” The operator stated to the male “that behaviour is not acceptable, and I will be ending the call.” Operator has then informed her supervisor who has then advised her to report it via 101. </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I then contacted the call operator, at the time of speaking with her she was unsure on what she wanted to do, whether to make a complaint or not. I have then advised the call operator that I would give her time to think about what she wanted to do and call her back in a few days time. Whilst this wait was happening I was still ensuring that the victims needs were being met. Below I will discuss how I was doing this. </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I re-contacted the victim a few days later and they decided that they did not want to take any formal action against the suspect and wanted the suspect to be spoken to and given words of advice regarding his behaviour. I informed the victim that I would do that and update her when this had been completed.  </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This core offence in this incident is a hate crime through malicious communication. Hate crime is described as a crime that is perceived by the </w:t>
      </w:r>
      <w:r>
        <w:rPr>
          <w:color w:val="1F2025"/>
          <w:sz w:val="24"/>
          <w:szCs w:val="24"/>
          <w:shd w:fill="FFFFFF" w:val="clear"/>
        </w:rPr>
        <w:t>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p>
    <w:p>
      <w:pPr>
        <w:pStyle w:val="Normal"/>
        <w:ind w:right="107" w:hanging="0"/>
        <w:jc w:val="both"/>
        <w:rPr>
          <w:color w:val="1F2025"/>
          <w:sz w:val="24"/>
          <w:szCs w:val="24"/>
          <w:highlight w:val="white"/>
        </w:rPr>
      </w:pPr>
      <w:r>
        <w:rPr>
          <w:color w:val="1F2025"/>
          <w:sz w:val="24"/>
          <w:szCs w:val="24"/>
          <w:highlight w:val="white"/>
        </w:rPr>
      </w:r>
    </w:p>
    <w:p>
      <w:pPr>
        <w:pStyle w:val="Normal"/>
        <w:ind w:right="107" w:hanging="0"/>
        <w:jc w:val="both"/>
        <w:rPr/>
      </w:pPr>
      <w:r>
        <w:rPr>
          <w:color w:val="1F2025"/>
          <w:sz w:val="24"/>
          <w:szCs w:val="24"/>
          <w:shd w:fill="FFFFFF" w:val="clear"/>
        </w:rPr>
        <w:t xml:space="preserve">Malicious communications is a crime under the Malicious communications act 1988. The act states that malicious communications can include any kind of written, verbal or electronic communication that conveys a message that is, indecent, grossly offensive, or makes a threat to a person. In this case the victim found it gorssly offensive and felt like she needed to report it as a hate crime. </w:t>
      </w:r>
    </w:p>
    <w:p>
      <w:pPr>
        <w:pStyle w:val="Normal"/>
        <w:ind w:right="107" w:hanging="0"/>
        <w:jc w:val="both"/>
        <w:rPr>
          <w:color w:val="1F2025"/>
          <w:sz w:val="24"/>
          <w:szCs w:val="24"/>
          <w:highlight w:val="white"/>
        </w:rPr>
      </w:pPr>
      <w:r>
        <w:rPr>
          <w:color w:val="1F2025"/>
          <w:sz w:val="24"/>
          <w:szCs w:val="24"/>
          <w:highlight w:val="white"/>
        </w:rPr>
      </w:r>
    </w:p>
    <w:p>
      <w:pPr>
        <w:pStyle w:val="Normal"/>
        <w:ind w:right="107" w:hanging="0"/>
        <w:jc w:val="both"/>
        <w:rPr>
          <w:color w:val="1F2025"/>
          <w:sz w:val="24"/>
          <w:szCs w:val="24"/>
          <w:highlight w:val="white"/>
        </w:rPr>
      </w:pPr>
      <w:r>
        <w:rPr>
          <w:color w:val="1F2025"/>
          <w:sz w:val="24"/>
          <w:szCs w:val="24"/>
          <w:shd w:fill="FFFFFF" w:val="clear"/>
        </w:rPr>
        <w:t xml:space="preserve">Even though the male did not know the call operators race or perceived race, it will still be a hate crime as the victim perceived it to be hostility towards her race. The male showed there was a hostility towards the call operators race as they stated, “Get back to your own country.” There are five types of hate crime, these being race, religion, disability, sexual orientation and transgender identity. (CPS, 2017) This clearly falls under the race category. </w:t>
      </w:r>
    </w:p>
    <w:p>
      <w:pPr>
        <w:pStyle w:val="Normal"/>
        <w:ind w:right="107" w:hanging="0"/>
        <w:jc w:val="both"/>
        <w:rPr>
          <w:color w:val="1F2025"/>
          <w:sz w:val="24"/>
          <w:szCs w:val="24"/>
          <w:highlight w:val="white"/>
        </w:rPr>
      </w:pPr>
      <w:r>
        <w:rPr>
          <w:color w:val="1F2025"/>
          <w:sz w:val="24"/>
          <w:szCs w:val="24"/>
          <w:highlight w:val="white"/>
        </w:rPr>
      </w:r>
    </w:p>
    <w:p>
      <w:pPr>
        <w:pStyle w:val="Normal"/>
        <w:ind w:right="107" w:hanging="0"/>
        <w:jc w:val="both"/>
        <w:rPr>
          <w:color w:val="1F2025"/>
          <w:sz w:val="24"/>
          <w:szCs w:val="24"/>
          <w:highlight w:val="white"/>
        </w:rPr>
      </w:pPr>
      <w:r>
        <w:rPr>
          <w:color w:val="1F2025"/>
          <w:sz w:val="24"/>
          <w:szCs w:val="24"/>
          <w:shd w:fill="FFFFFF" w:val="clear"/>
        </w:rPr>
        <w:t>In recent years, the UK has seen a surge of hate crime offence, particularly in England and Wales, where police forces reported 124,091 hate crime incidents in 2020/21, an increase of around 81 thousand when compared to previous years of 2012/13. (Statista, 2022) This shows that there has been an increase in reports of hate incidents in recent years, whether this is because of the confidence the public has now with police dealing with hate crime incidents or there are still several incidents going unreported. The home office states,</w:t>
      </w:r>
      <w:r>
        <w:rPr>
          <w:sz w:val="24"/>
          <w:szCs w:val="24"/>
          <w:shd w:fill="FFFFFF" w:val="clear"/>
        </w:rPr>
        <w:t xml:space="preserve"> “It is uncertain to what degree the increase in police recorded hate crime is a genuine rise, or due to continued recording improvements and more victims having the confidence to report these crimes to the police.”</w:t>
      </w:r>
    </w:p>
    <w:p>
      <w:pPr>
        <w:pStyle w:val="Normal"/>
        <w:ind w:right="107" w:hanging="0"/>
        <w:jc w:val="both"/>
        <w:rPr>
          <w:color w:val="1F2025"/>
          <w:sz w:val="24"/>
          <w:szCs w:val="24"/>
          <w:highlight w:val="white"/>
        </w:rPr>
      </w:pPr>
      <w:r>
        <w:rPr>
          <w:color w:val="1F2025"/>
          <w:sz w:val="24"/>
          <w:szCs w:val="24"/>
          <w:highlight w:val="white"/>
        </w:rPr>
      </w:r>
    </w:p>
    <w:p>
      <w:pPr>
        <w:pStyle w:val="Normal"/>
        <w:ind w:right="107" w:hanging="0"/>
        <w:jc w:val="both"/>
        <w:rPr>
          <w:sz w:val="24"/>
          <w:szCs w:val="24"/>
        </w:rPr>
      </w:pPr>
      <w:r>
        <w:rPr>
          <w:sz w:val="24"/>
          <w:szCs w:val="24"/>
        </w:rPr>
        <w:t xml:space="preserve">There are no ethnicity or language issues with this occurrence. The call operator was a black, British female with English being her first language. The code of practice sets out the responsibilities for all relevant services providers for dealing with crime, not just the police. This is the procedure that police officers will adhere to when dealing with victims of crime. The code of practice sets out twelve rights to which every victim is entitled to when being a victim of a crime. These are </w:t>
      </w:r>
      <w:r>
        <w:rPr>
          <w:color w:val="auto"/>
          <w:sz w:val="24"/>
          <w:szCs w:val="24"/>
        </w:rPr>
        <w:t>Due Process, Fairness, Dignity, Respect, and Privacy Notice, Be Present, Be Heard, Protection, Restitution, Proceedings Free from Unreasonable Delay, Confer, Standing and Remedies, A Copy of Records, information and Referral, Compensation</w:t>
      </w:r>
    </w:p>
    <w:p>
      <w:pPr>
        <w:pStyle w:val="Normal"/>
        <w:ind w:right="107" w:hanging="0"/>
        <w:jc w:val="both"/>
        <w:rPr>
          <w:sz w:val="24"/>
          <w:szCs w:val="24"/>
        </w:rPr>
      </w:pPr>
      <w:r>
        <w:rPr>
          <w:sz w:val="24"/>
          <w:szCs w:val="24"/>
        </w:rPr>
      </w:r>
    </w:p>
    <w:p>
      <w:pPr>
        <w:pStyle w:val="Normal"/>
        <w:ind w:right="107" w:hanging="0"/>
        <w:jc w:val="both"/>
        <w:rPr/>
      </w:pPr>
      <w:r>
        <w:rPr>
          <w:sz w:val="24"/>
          <w:szCs w:val="24"/>
        </w:rPr>
        <w:t xml:space="preserve">Below I will be discussing the rights that I feel were relevant. On initial attendance to a report of any crime the victim will have an initial needs assessment. There are categories within this assessment which will deem whether the victim is entitled to an enhanced victim service. The victim in this case was entitled to an enhanced victim service as they were deemed to be a victim of a serious crime, a hate crime. As police we will provide a dedicated officer know as a hate crime officer to liaise with the victim and deem what needs are best for them. Due to the victim being entitled to an enhanced victim service she was able to receive updates from myself daily.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Another right for the victim it to make a Victim Personal Statement if desired to be the victim. This statement is different to an evidential statement. This statement is to describe the impact the crime has had on the victim. This is usually taken after the victim has had time to think the impact the crime has had on them. These are usually read out in court after conviction but before sentencing.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Another right that would be relevant would be the option for the victim to receive support through the court process. If a victim is classed as vulnerable due to the potential vulnerabilities, then the victim could potentially receive special measures at court. Special measures are a way of getting the victim to court and ensuring that their evidence is not weakened because of their vulnerabilities. They are designed to get the best evidence out of the victim.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code of ethics played a major role in this incident. The code of ethics is is a set of guidelines that police officers and staff follow when conducting themselves in their daily role. Not every part of the code of ethics is relevant in this case but I will discuss which ones I think are relevant below.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Authority, Respect and Courtesy is relevant in this incident. The victim went through a quick and brief telephone call but it had a traumatic impact on her and the incident was very personal. How police officers deal with people in these circumstances is very important. I believe this was met by the victim. The victim was reluctant to contact police first as she is a police staff member and believed she was expected to take this sort of abuse. It was important to deal with this with the utmost respect and courtesy and state to the victim that this is not something she should be dealing with in her role and it is not okay.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Duties and responsibilities was also important in this case, ensuring that I was diligent in my actions. This was because the victim was a police staff member, even though the victim was a police staff member they should still receive the same quality of service as a member of the public. It should not be assumed that as the victim was police staff they would know the process of getting to court. I also ensured that all procedural responsibilities are being met by doing all the force requirements for a hate crime. Ensuring I completed the hate crime action plan, asking for the local inspector to review it and providing he victim with a dedicated hate crime officer. All the above ensured that time and appropriate police actions were taken.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Equality and Diversity also placed a vital part in this investigation. Police officers should ensure that every person, whether they be a victim or not are dealt with fairness and impartiality and do not discriminate unlawfully or unfairly. Even though the victim was part of the “policing family” it was important that I dealt with the incident with fairness and impartiality as if the victim was just any other victim. It was also important that I did not discriminate against the victim.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On reflection I am very happy on how I dealt with this incident. I ensured from the start that all force procedures were met and I ensured that I was complying to the code of ethics. In certain circumstances due to the policing role being fast paced role you often forget about the most important part of a crime, the victim. Even though the outcome of this incident is that the victim wanted the suspect to be spoken to and given words of advice rather than any formal police action, I still ensured that the victim would have been ready to go through the criminal justice service if it had gone that way. The most important part is that victims are not mistreated.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most important thing to remember from this and to take through my policing career is that I should ensure that these three things are provided to a victim, That they are safeguarded, that they are supported, and that they are given every opportunity to provide the best evidence that they can. I feel like I have done this by being patient and giving the victim the time to think about what they wanted to. As a police service we are victim led, and ultimately officers are governed by what victims want to do.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bCs/>
          <w:sz w:val="24"/>
          <w:szCs w:val="24"/>
        </w:rPr>
      </w:pPr>
      <w:r>
        <w:rPr>
          <w:b/>
          <w:bCs/>
          <w:sz w:val="24"/>
          <w:szCs w:val="24"/>
        </w:rPr>
        <w:t>Word Count – 1,829</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p>
      <w:pPr>
        <w:pStyle w:val="Normal"/>
        <w:ind w:right="107" w:hanging="0"/>
        <w:rPr/>
      </w:pPr>
      <w:r>
        <w:rPr/>
      </w:r>
      <w:r>
        <w:br w:type="page"/>
      </w:r>
    </w:p>
    <w:p>
      <w:pPr>
        <w:pStyle w:val="Normal"/>
        <w:spacing w:lineRule="auto" w:line="259"/>
        <w:ind w:right="107" w:hanging="0"/>
        <w:jc w:val="both"/>
        <w:rPr>
          <w:b/>
          <w:b/>
          <w:bCs/>
          <w:sz w:val="24"/>
          <w:szCs w:val="24"/>
        </w:rPr>
      </w:pPr>
      <w:r>
        <w:rPr>
          <w:sz w:val="24"/>
          <w:szCs w:val="24"/>
        </w:rPr>
        <w:t>Task</w:t>
      </w:r>
      <w:r>
        <w:rPr>
          <w:b/>
          <w:bCs/>
          <w:color w:val="auto"/>
          <w:sz w:val="24"/>
          <w:szCs w:val="24"/>
        </w:rPr>
        <w:t xml:space="preserve"> </w:t>
      </w:r>
      <w:r>
        <w:rPr>
          <w:b/>
          <w:bCs/>
          <w:sz w:val="24"/>
          <w:szCs w:val="24"/>
        </w:rPr>
        <w:t>4</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sz w:val="24"/>
          <w:szCs w:val="24"/>
        </w:rPr>
      </w:pPr>
      <w:r>
        <w:rPr>
          <w:b/>
          <w:sz w:val="24"/>
          <w:szCs w:val="24"/>
        </w:rPr>
        <w:t xml:space="preserve">Decision making and discretion, Conducting Investigations and Criminal Justice (Managing offenders) </w:t>
      </w:r>
    </w:p>
    <w:p>
      <w:pPr>
        <w:pStyle w:val="Normal"/>
        <w:ind w:right="107" w:hanging="0"/>
        <w:jc w:val="both"/>
        <w:rPr>
          <w:sz w:val="24"/>
          <w:szCs w:val="24"/>
          <w:highlight w:val="yellow"/>
        </w:rPr>
      </w:pPr>
      <w:r>
        <w:rPr>
          <w:sz w:val="24"/>
          <w:szCs w:val="24"/>
          <w:highlight w:val="yellow"/>
        </w:rPr>
      </w:r>
    </w:p>
    <w:p>
      <w:pPr>
        <w:pStyle w:val="Normal"/>
        <w:ind w:right="107" w:hanging="0"/>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tbl>
      <w:tblPr>
        <w:tblW w:w="9736" w:type="dxa"/>
        <w:jc w:val="left"/>
        <w:tblInd w:w="0" w:type="dxa"/>
        <w:tblCellMar>
          <w:top w:w="0" w:type="dxa"/>
          <w:left w:w="108" w:type="dxa"/>
          <w:bottom w:w="0" w:type="dxa"/>
          <w:right w:w="108" w:type="dxa"/>
        </w:tblCellMar>
        <w:tblLook w:firstRow="1" w:noVBand="0" w:lastRow="1" w:firstColumn="1" w:lastColumn="1" w:noHBand="0" w:val="01e0"/>
      </w:tblPr>
      <w:tblGrid>
        <w:gridCol w:w="9736"/>
      </w:tblGrid>
      <w:tr>
        <w:trPr/>
        <w:tc>
          <w:tcPr>
            <w:tcW w:w="9736" w:type="dxa"/>
            <w:tcBorders>
              <w:top w:val="single" w:sz="4" w:space="0" w:color="000000"/>
              <w:left w:val="single" w:sz="4" w:space="0" w:color="000000"/>
              <w:bottom w:val="single" w:sz="4" w:space="0" w:color="000000"/>
              <w:right w:val="single" w:sz="4" w:space="0" w:color="000000"/>
            </w:tcBorders>
            <w:shd w:color="auto" w:fill="auto" w:val="clear"/>
          </w:tcPr>
          <w:p>
            <w:pPr>
              <w:pStyle w:val="TableParagraph"/>
              <w:tabs>
                <w:tab w:val="clear" w:pos="720"/>
                <w:tab w:val="left" w:pos="355" w:leader="none"/>
              </w:tabs>
              <w:ind w:left="0" w:right="107" w:hanging="0"/>
              <w:rPr>
                <w:rFonts w:eastAsia="Times New Roman"/>
                <w:color w:val="000000"/>
                <w:sz w:val="24"/>
                <w:szCs w:val="24"/>
                <w:lang w:bidi="ar-SA"/>
              </w:rPr>
            </w:pPr>
            <w:r>
              <w:rPr>
                <w:rFonts w:eastAsia="Times New Roman"/>
                <w:color w:val="000000"/>
                <w:sz w:val="24"/>
                <w:szCs w:val="24"/>
                <w:lang w:bidi="ar-SA"/>
              </w:rPr>
            </w:r>
          </w:p>
          <w:p>
            <w:pPr>
              <w:pStyle w:val="Normal"/>
              <w:ind w:right="107" w:hanging="0"/>
              <w:rPr>
                <w:color w:val="000000" w:themeColor="text1"/>
                <w:sz w:val="24"/>
                <w:szCs w:val="24"/>
              </w:rPr>
            </w:pPr>
            <w:r>
              <w:rPr>
                <w:b/>
                <w:bCs/>
                <w:color w:val="000000" w:themeColor="text1"/>
                <w:sz w:val="24"/>
                <w:szCs w:val="24"/>
              </w:rPr>
              <w:t xml:space="preserve">Critically assess </w:t>
            </w:r>
            <w:r>
              <w:rPr>
                <w:color w:val="000000" w:themeColor="text1"/>
                <w:sz w:val="24"/>
                <w:szCs w:val="24"/>
              </w:rPr>
              <w:t xml:space="preserve">a policing incident that you have attended, where you played a significant role with an offender/victim and reflect upon what happened. </w:t>
            </w:r>
          </w:p>
          <w:p>
            <w:pPr>
              <w:pStyle w:val="Normal"/>
              <w:ind w:right="107" w:hanging="0"/>
              <w:rPr>
                <w:color w:val="000000" w:themeColor="text1"/>
                <w:sz w:val="24"/>
                <w:szCs w:val="24"/>
              </w:rPr>
            </w:pPr>
            <w:r>
              <w:rPr>
                <w:color w:val="000000" w:themeColor="text1"/>
                <w:sz w:val="24"/>
                <w:szCs w:val="24"/>
              </w:rPr>
            </w:r>
          </w:p>
          <w:p>
            <w:pPr>
              <w:pStyle w:val="Normal"/>
              <w:ind w:right="107" w:hanging="0"/>
              <w:rPr>
                <w:color w:val="000000" w:themeColor="text1"/>
                <w:sz w:val="24"/>
                <w:szCs w:val="24"/>
              </w:rPr>
            </w:pPr>
            <w:r>
              <w:rPr>
                <w:b/>
                <w:bCs/>
                <w:color w:val="000000" w:themeColor="text1"/>
                <w:sz w:val="24"/>
                <w:szCs w:val="24"/>
              </w:rPr>
              <w:t xml:space="preserve">Reflect </w:t>
            </w:r>
            <w:r>
              <w:rPr>
                <w:color w:val="000000" w:themeColor="text1"/>
                <w:sz w:val="24"/>
                <w:szCs w:val="24"/>
              </w:rPr>
              <w:t xml:space="preserve">upon your use of the National Decision-Making Model and the Code of Ethics and review this impacted upon your decision making and use of discretion within the incident. </w:t>
            </w:r>
          </w:p>
          <w:p>
            <w:pPr>
              <w:pStyle w:val="Normal"/>
              <w:ind w:right="107" w:hanging="0"/>
              <w:rPr>
                <w:color w:val="000000" w:themeColor="text1"/>
                <w:sz w:val="24"/>
                <w:szCs w:val="24"/>
              </w:rPr>
            </w:pPr>
            <w:r>
              <w:rPr>
                <w:color w:val="000000" w:themeColor="text1"/>
                <w:sz w:val="24"/>
                <w:szCs w:val="24"/>
              </w:rPr>
            </w:r>
          </w:p>
          <w:p>
            <w:pPr>
              <w:pStyle w:val="Normal"/>
              <w:ind w:right="107" w:hanging="0"/>
              <w:rPr>
                <w:color w:val="000000" w:themeColor="text1"/>
                <w:sz w:val="24"/>
                <w:szCs w:val="24"/>
              </w:rPr>
            </w:pPr>
            <w:r>
              <w:rPr>
                <w:b/>
                <w:bCs/>
                <w:color w:val="000000" w:themeColor="text1"/>
                <w:sz w:val="24"/>
                <w:szCs w:val="24"/>
              </w:rPr>
              <w:t>Critically review</w:t>
            </w:r>
            <w:r>
              <w:rPr>
                <w:color w:val="000000" w:themeColor="text1"/>
                <w:sz w:val="24"/>
                <w:szCs w:val="24"/>
              </w:rPr>
              <w:t xml:space="preserve"> your responsibilities regarding the provision of CPIA when conducting this investigation. </w:t>
            </w:r>
          </w:p>
          <w:p>
            <w:pPr>
              <w:pStyle w:val="Normal"/>
              <w:ind w:right="107" w:hanging="0"/>
              <w:rPr>
                <w:color w:val="000000" w:themeColor="text1"/>
                <w:sz w:val="24"/>
                <w:szCs w:val="24"/>
              </w:rPr>
            </w:pPr>
            <w:r>
              <w:rPr>
                <w:color w:val="000000" w:themeColor="text1"/>
                <w:sz w:val="24"/>
                <w:szCs w:val="24"/>
              </w:rPr>
            </w:r>
          </w:p>
          <w:p>
            <w:pPr>
              <w:pStyle w:val="Normal"/>
              <w:ind w:right="107" w:hanging="0"/>
              <w:rPr>
                <w:color w:val="000000" w:themeColor="text1"/>
                <w:sz w:val="24"/>
                <w:szCs w:val="24"/>
              </w:rPr>
            </w:pPr>
            <w:r>
              <w:rPr>
                <w:color w:val="000000" w:themeColor="text1"/>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2000 words </w:t>
            </w:r>
            <w:r>
              <w:rPr>
                <w:i/>
                <w:iCs/>
                <w:sz w:val="24"/>
                <w:szCs w:val="24"/>
              </w:rPr>
              <w:t>(+/- 10%: include your actual word count at the end of each section)</w:t>
            </w:r>
          </w:p>
        </w:tc>
      </w:tr>
    </w:tbl>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ANSWER:</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Decision making is a vital quality that police officers need to have. This is due to the fluid nature of the job. Officers deal with different situations daily. Therefore, decision making is so important, officers need to be able to make robust and justifiable decisions. The main decision-making tool available to officers is the National Decision-Making Model. This is a model that is accredited and developed by the college of policing. It is a model that allows officers to reflect upon the actions they have taken and the decisions they have made.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In this essay, I will be critically exploring a situation that I have been involved in recently, I will be doing this by using the National Decision-Making Model to critically reflect on the decisions I made. I will also be using the Codes of practice and how it was used to support the victim within the incident.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I recently attended a report of Stalking/Harassment from an ex-partner. The Ex-partner was calling the victim from a withheld number and making calls via social media accounts. This was happening on numerous occasions in multiple days. There are ongoing domestic issues between both parties. Before this incident the ex-partner had walked into the victim’s house unannounced and was removed by officers. I lead the initial investigation, even though I was still in my tutorship I felt confident to lead this investigation. </w:t>
      </w:r>
    </w:p>
    <w:p>
      <w:pPr>
        <w:pStyle w:val="Normal"/>
        <w:ind w:right="107" w:hanging="0"/>
        <w:jc w:val="both"/>
        <w:rPr>
          <w:sz w:val="24"/>
          <w:szCs w:val="24"/>
        </w:rPr>
      </w:pPr>
      <w:r>
        <w:rPr>
          <w:sz w:val="24"/>
          <w:szCs w:val="24"/>
        </w:rPr>
      </w:r>
    </w:p>
    <w:p>
      <w:pPr>
        <w:pStyle w:val="Normal"/>
        <w:ind w:right="107" w:hanging="0"/>
        <w:jc w:val="both"/>
        <w:rPr/>
      </w:pPr>
      <w:r>
        <w:rPr>
          <w:sz w:val="24"/>
          <w:szCs w:val="24"/>
        </w:rPr>
        <w:t>Domestic incidents are complex to deal with, especially when there is a form of stalking involved. The legislative context also is simple but can seem complex. Stalking forms under Section 2A of the Protection from Harassment Act 1997</w:t>
      </w:r>
      <w:r>
        <w:rPr>
          <w:sz w:val="24"/>
          <w:szCs w:val="24"/>
        </w:rPr>
        <w:t>(Protection from Harassment Act, 1997)</w:t>
      </w:r>
      <w:r>
        <w:rPr>
          <w:sz w:val="24"/>
          <w:szCs w:val="24"/>
        </w:rPr>
        <w:t xml:space="preserve">. The elements of the offence are, that there must be a course of conduct, which amounts to harassment of another, and which the defendant knows or ought to know amounts to harassment of another.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Throughout this incident without knowing I was using the National Decision-Making Model. The NDM is the primary decision-making tool available to police officers. The National Decision making model was created in 2013 to ensure that police officers were using a standardised model, where decisions from officers could me measured and justified. The NDM is suitable for all decisions and should be used by everyone in policing. (COP,2014) It can be applied to spontaneous incidents, or planned operations, by an individual or a team of people and both operational and non-operational situations.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NDM is separated into five sections, which are, gather information and intelligence, assess threat and risk and develop a working strategy, consider powers and policy, identify options and contingences, and take action and review. Although the NDM has five sections officers must adhere to the code of ethics whilst using the tool. The Code of ethics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(COP,2014) Below I will discuss each section and how it helped me make my decision in the case of stalking/harassment.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first stage of the NDM making is gathering information and intelligence. The call was a grade two call, which gives officers an hour to respond to. During this time, I was able to do background checks on the suspect and the victim and get a knowledge of previous incidents between both. The suspect is an ex-partner of the victim, and the victim is a DV perpetrator against the victim. Although this information was received it did not change my way of thinking. I knew I still had to deal with it fairly and appropriately.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On initial attendance I could assess the threat and realise that they were no immediate threat, harm or risk to the suspect or the victim. This was an incident to be dealt with as slow time enquiries as the victim’s phone needed to be downloaded and a statement taken from him.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Powers and policies is the next stage of the NDM. It was important to determine what powers and policies were available to me and what my options and contingencies were. The power or arrest was not currently present for myself as I had no evidence to support that the victim was being stalked or harassed. There was no necessity for arrest at that time. After the download of the phone and statements being taken off the victim. If there is evidence to support the offence, then there would be a necessity to arrest.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Discretion is an important tool available to police officers. As police officers deal with a variety of calls it is important police officers have the freedom to decide what should be done and how the incident should be dealt with. I believe it was important to use my discretion at the time of this incident and not arrest on first report and gather all the information and intelligence available to me first. In this case the phone was downloaded, and it showed evidence of the victim being in contact with the suspect and sending abusive messages back to the suspect.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An act that is crucial in the way officers gather evidence and what they present at court is the Criminal Procedure and Investigations ACT(CPIA,1996). This act applies not just to the police but to the criminal justice system, including people working in the Crown Prosecution Service such as barristers and magistrates. The main aim of the act is to outline the procedures of obtaining information or evidence and the management of it and who you disclose the information to. The information that is covered in the act is any information which is gathered by the police officer investigating the offence. The person the information is about mut be suspected of committing a summary, indictable or either way offence.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Within the act there are there three types of evidence, I will briefly explain these below. The types of evidence are evidence, unused material and non- relevant material. Evidence is any information or material which is being used as evidence and is going to be exhibited by the prosecution. Types of these exhibits would be witness statements, forensic exhibits or any body worn camera from officers. Unused material would be any material that has been used in the investigation but is not being exhibited as evidence, examples of these would be custody records or any statements which have been decided by officers that they hold no evidential value. Non-relevant material is material that has been gathered through the investigation but is deemed to be not relevant for the investigation.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The code of ethics played a large part in this incident as it should with any of the decisions made by police officers. Below I will discuss the relevant topics in the code of ethics I believe applied to this incident.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Duties and Responsibilities paid an important part. It is important as police officers we can protect and safeguard members of the public, especially when it is domestic related. Relevant forms were submitted to safeguard the victim. This would then share information to the relevant partner agencies so the victim could receive the support they needed. The relevant sharing of information through forces and partner agencies was highlighted in the murders of Jessica Chapman and Holly Wells back in 2002. A report was published regarding the murders. It stated that the police failed to share relevant information with partner agencies. If this information was shared it may have been a different outcome. (Sir Ronnie Flannagan ,2002)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Authority respect and courtesy also played a vital part of this incident. Whenever an officer is dealing with a domestic incident it is important to how officers interact with them. Especially as the victim has warning markers for being a domestic violence perpetrator and was not reporting being the victim. This prior information made no difference in the way I dealt with the incident, and I was respectful, caring and supportive throughout.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Carrying on from above Bias could have been a factor of this incident if I did not deal with it fairly and be impartial. Bias is a preference against someone or something. Biases are in everyone’s day to day life, these can bee from the food we eat to what clothes they were.  Our assumption is that every single person has biases. But the important thing is if you’re someone acting on behalf of the state and exercising your powers is to recognise those biases and to ensure they do not impact on your decision-making around things like stop and search and other operational decision. (</w:t>
      </w:r>
      <w:bookmarkStart w:id="6" w:name="__DdeLink__770_942395158"/>
      <w:r>
        <w:rPr>
          <w:sz w:val="24"/>
          <w:szCs w:val="24"/>
        </w:rPr>
        <w:t>Bennett, 2016)</w:t>
      </w:r>
      <w:bookmarkEnd w:id="6"/>
      <w:r>
        <w:rPr>
          <w:sz w:val="24"/>
          <w:szCs w:val="24"/>
        </w:rPr>
        <w:t xml:space="preserve">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It is easy to se</w:t>
      </w:r>
      <w:r>
        <w:rPr>
          <w:sz w:val="24"/>
          <w:szCs w:val="24"/>
        </w:rPr>
        <w:t>e</w:t>
      </w:r>
      <w:r>
        <w:rPr>
          <w:sz w:val="24"/>
          <w:szCs w:val="24"/>
        </w:rPr>
        <w:t xml:space="preserve"> how my bias could have affected me in dealing with this incident. The victim had been serial perpetrator of domestic violence towards the female and then reported himself as being a victim. It could have been easy for myself to think that the victim could not be a victim of crime and not carry out the thorough investigation that I did. I pride myself on being a person that is not affected by bias, whether that be unconscious or not. I pride myself as being a public sector work and acknowledge the importance of following policy and procedure. I believe I am also rational in my decision making. I believe I am not the sort of person that will hold a bias against another person and act with impartiality and fairness and do everything I can with due diligence. When dealing with the incident I realised because of the historical domestic violence involved that it needed to be dealt with appropriately. A statement was obtained from the victim and the phone downloaded. Phone was downloaded and it showed that the victim was in contact with the suspect and was sending abusive messages back to the suspect, hence the offence of stalking and harassment could not be met. I would have not been able to come to this if I had any bias towards the victim.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To conclude and review on using the NDM in this incident, overall, I am very pleased on my performance. I think the incident went as it should have. I realised that even though it was a domestic incident, there were no immediate threat, risk or harm and that it was going to be a prolonged investigation. All the evidence needed to be gathered before an arrest was made. Whilst still being empathetic to the victim I was able to gather all the evidence needed. Sensible words of advice were given to the victim regarding his behaviour and some of the messages he had sent the potential suspect.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Hopefully, the decision I made in this investigation will follow me through my policing career and will ensure that I am always adhering to the code of ethics when decision making.  </w:t>
      </w:r>
    </w:p>
    <w:p>
      <w:pPr>
        <w:pStyle w:val="Normal"/>
        <w:ind w:right="107" w:hanging="0"/>
        <w:jc w:val="both"/>
        <w:rPr>
          <w:sz w:val="24"/>
          <w:szCs w:val="24"/>
        </w:rPr>
      </w:pPr>
      <w:r>
        <w:rPr>
          <w:sz w:val="24"/>
          <w:szCs w:val="24"/>
        </w:rPr>
      </w:r>
    </w:p>
    <w:p>
      <w:pPr>
        <w:pStyle w:val="Normal"/>
        <w:ind w:right="107" w:hanging="0"/>
        <w:jc w:val="both"/>
        <w:rPr>
          <w:b/>
          <w:b/>
          <w:bCs/>
          <w:sz w:val="24"/>
          <w:szCs w:val="24"/>
          <w:u w:val="single"/>
        </w:rPr>
      </w:pPr>
      <w:r>
        <w:rPr>
          <w:b/>
          <w:bCs/>
          <w:sz w:val="24"/>
          <w:szCs w:val="24"/>
          <w:u w:val="single"/>
        </w:rPr>
        <w:t>Word Count- 1810</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080" w:right="1080" w:header="720" w:top="1440" w:footer="720" w:bottom="1440" w:gutter="0"/>
          <w:pgNumType w:fmt="decimal"/>
          <w:formProt w:val="false"/>
          <w:titlePg/>
          <w:textDirection w:val="lrTb"/>
          <w:docGrid w:type="default" w:linePitch="272" w:charSpace="8192"/>
        </w:sectPr>
        <w:pStyle w:val="Normal"/>
        <w:ind w:right="107" w:hanging="0"/>
        <w:jc w:val="both"/>
        <w:rPr>
          <w:b/>
          <w:b/>
          <w:sz w:val="24"/>
          <w:szCs w:val="24"/>
        </w:rPr>
      </w:pPr>
      <w:r>
        <w:rPr>
          <w:b/>
          <w:sz w:val="24"/>
          <w:szCs w:val="24"/>
        </w:rPr>
      </w:r>
    </w:p>
    <w:p>
      <w:pPr>
        <w:pStyle w:val="Normal"/>
        <w:ind w:left="3600" w:right="107" w:firstLine="720"/>
        <w:jc w:val="both"/>
        <w:rPr>
          <w:b/>
          <w:b/>
          <w:bCs/>
          <w:sz w:val="24"/>
          <w:szCs w:val="24"/>
        </w:rPr>
      </w:pPr>
      <w:r>
        <w:rPr>
          <w:b/>
          <w:bCs/>
          <w:sz w:val="24"/>
          <w:szCs w:val="24"/>
        </w:rPr>
        <w:t>Task 5</w:t>
      </w:r>
    </w:p>
    <w:p>
      <w:pPr>
        <w:pStyle w:val="Normal"/>
        <w:ind w:right="107" w:hanging="0"/>
        <w:jc w:val="both"/>
        <w:rPr>
          <w:b/>
          <w:b/>
          <w:bCs/>
          <w:sz w:val="24"/>
          <w:szCs w:val="24"/>
        </w:rPr>
      </w:pPr>
      <w:r>
        <w:rPr>
          <w:b/>
          <w:bCs/>
          <w:sz w:val="24"/>
          <w:szCs w:val="24"/>
        </w:rPr>
        <w:t>Personal Development Plan (PDP)</w:t>
      </w:r>
    </w:p>
    <w:p>
      <w:pPr>
        <w:pStyle w:val="Normal"/>
        <w:ind w:right="107" w:hanging="0"/>
        <w:jc w:val="both"/>
        <w:rPr>
          <w:b/>
          <w:b/>
          <w:sz w:val="24"/>
          <w:szCs w:val="24"/>
        </w:rPr>
      </w:pPr>
      <w:r>
        <w:rPr>
          <w:b/>
          <w:sz w:val="24"/>
          <w:szCs w:val="24"/>
        </w:rPr>
      </w:r>
    </w:p>
    <w:p>
      <w:pPr>
        <w:pStyle w:val="Normal"/>
        <w:ind w:right="107" w:hanging="0"/>
        <w:jc w:val="both"/>
        <w:rPr>
          <w:b/>
          <w:b/>
          <w:bCs/>
          <w:sz w:val="24"/>
          <w:szCs w:val="24"/>
        </w:rPr>
      </w:pPr>
      <w:r>
        <w:rPr>
          <w:b/>
          <w:bCs/>
          <w:sz w:val="24"/>
          <w:szCs w:val="24"/>
        </w:rPr>
        <w:t xml:space="preserve">As part of your reflective process, please use this table to aid you in identifying the next steps for development. </w:t>
      </w:r>
    </w:p>
    <w:p>
      <w:pPr>
        <w:pStyle w:val="Normal"/>
        <w:ind w:right="107" w:hanging="0"/>
        <w:jc w:val="both"/>
        <w:rPr>
          <w:b/>
          <w:b/>
          <w:bCs/>
          <w:sz w:val="24"/>
          <w:szCs w:val="24"/>
        </w:rPr>
      </w:pPr>
      <w:r>
        <w:rPr>
          <w:b/>
          <w:bCs/>
          <w:sz w:val="24"/>
          <w:szCs w:val="24"/>
        </w:rPr>
      </w:r>
    </w:p>
    <w:p>
      <w:pPr>
        <w:pStyle w:val="Normal"/>
        <w:ind w:right="107" w:hanging="0"/>
        <w:jc w:val="both"/>
        <w:rPr>
          <w:i/>
          <w:i/>
          <w:iCs/>
          <w:sz w:val="24"/>
          <w:szCs w:val="24"/>
        </w:rPr>
      </w:pPr>
      <w:r>
        <w:rPr>
          <w:i/>
          <w:iCs/>
          <w:sz w:val="24"/>
          <w:szCs w:val="24"/>
        </w:rPr>
        <w:t>This is equivalent to 1000 words towards the overall wordcount, please note this is not the actual number of words used in completing the table, the count reflects the thought and research behind it.</w:t>
      </w:r>
    </w:p>
    <w:p>
      <w:pPr>
        <w:pStyle w:val="Normal"/>
        <w:ind w:right="107" w:hanging="0"/>
        <w:jc w:val="both"/>
        <w:rPr>
          <w:sz w:val="24"/>
          <w:szCs w:val="24"/>
        </w:rPr>
      </w:pPr>
      <w:r>
        <w:rPr>
          <w:sz w:val="24"/>
          <w:szCs w:val="24"/>
        </w:rPr>
      </w:r>
    </w:p>
    <w:tbl>
      <w:tblPr>
        <w:tblW w:w="9747" w:type="dxa"/>
        <w:jc w:val="left"/>
        <w:tblInd w:w="0" w:type="dxa"/>
        <w:tblCellMar>
          <w:top w:w="0" w:type="dxa"/>
          <w:left w:w="108" w:type="dxa"/>
          <w:bottom w:w="0" w:type="dxa"/>
          <w:right w:w="108" w:type="dxa"/>
        </w:tblCellMar>
        <w:tblLook w:firstRow="1" w:noVBand="1" w:lastRow="0" w:firstColumn="1" w:lastColumn="0" w:noHBand="0" w:val="04a0"/>
      </w:tblPr>
      <w:tblGrid>
        <w:gridCol w:w="2462"/>
        <w:gridCol w:w="2431"/>
        <w:gridCol w:w="2425"/>
        <w:gridCol w:w="2428"/>
      </w:tblGrid>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center"/>
              <w:rPr>
                <w:b/>
                <w:b/>
                <w:sz w:val="24"/>
                <w:szCs w:val="24"/>
              </w:rPr>
            </w:pPr>
            <w:r>
              <w:rPr>
                <w:b/>
                <w:sz w:val="24"/>
                <w:szCs w:val="24"/>
              </w:rPr>
            </w:r>
          </w:p>
          <w:p>
            <w:pPr>
              <w:pStyle w:val="Normal"/>
              <w:ind w:right="107" w:hanging="0"/>
              <w:jc w:val="center"/>
              <w:rPr>
                <w:b/>
                <w:b/>
                <w:sz w:val="24"/>
                <w:szCs w:val="24"/>
              </w:rPr>
            </w:pPr>
            <w:r>
              <w:rPr>
                <w:b/>
                <w:sz w:val="24"/>
                <w:szCs w:val="24"/>
              </w:rPr>
              <w:t xml:space="preserve">Area of Development </w:t>
            </w:r>
          </w:p>
          <w:p>
            <w:pPr>
              <w:pStyle w:val="Normal"/>
              <w:ind w:right="107" w:hanging="0"/>
              <w:jc w:val="center"/>
              <w:rPr>
                <w:b/>
                <w:b/>
                <w:sz w:val="24"/>
                <w:szCs w:val="24"/>
              </w:rPr>
            </w:pPr>
            <w:r>
              <w:rPr>
                <w:b/>
                <w:sz w:val="24"/>
                <w:szCs w:val="24"/>
              </w:rPr>
            </w:r>
          </w:p>
        </w:tc>
        <w:tc>
          <w:tcPr>
            <w:tcW w:w="243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center"/>
              <w:rPr>
                <w:b/>
                <w:b/>
                <w:sz w:val="24"/>
                <w:szCs w:val="24"/>
              </w:rPr>
            </w:pPr>
            <w:r>
              <w:rPr>
                <w:b/>
                <w:sz w:val="24"/>
                <w:szCs w:val="24"/>
              </w:rPr>
            </w:r>
          </w:p>
          <w:p>
            <w:pPr>
              <w:pStyle w:val="Normal"/>
              <w:ind w:right="107" w:hanging="0"/>
              <w:jc w:val="center"/>
              <w:rPr>
                <w:b/>
                <w:b/>
                <w:sz w:val="24"/>
                <w:szCs w:val="24"/>
              </w:rPr>
            </w:pPr>
            <w:r>
              <w:rPr>
                <w:b/>
                <w:sz w:val="24"/>
                <w:szCs w:val="24"/>
              </w:rPr>
              <w:t>How it will be achieved</w:t>
            </w:r>
          </w:p>
        </w:tc>
        <w:tc>
          <w:tcPr>
            <w:tcW w:w="24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center"/>
              <w:rPr>
                <w:b/>
                <w:b/>
                <w:sz w:val="24"/>
                <w:szCs w:val="24"/>
              </w:rPr>
            </w:pPr>
            <w:r>
              <w:rPr>
                <w:b/>
                <w:sz w:val="24"/>
                <w:szCs w:val="24"/>
              </w:rPr>
            </w:r>
          </w:p>
          <w:p>
            <w:pPr>
              <w:pStyle w:val="Normal"/>
              <w:ind w:right="107" w:hanging="0"/>
              <w:jc w:val="center"/>
              <w:rPr>
                <w:b/>
                <w:b/>
                <w:sz w:val="24"/>
                <w:szCs w:val="24"/>
              </w:rPr>
            </w:pPr>
            <w:r>
              <w:rPr>
                <w:b/>
                <w:sz w:val="24"/>
                <w:szCs w:val="24"/>
              </w:rPr>
              <w:t>Who can provide support</w:t>
            </w:r>
          </w:p>
        </w:tc>
        <w:tc>
          <w:tcPr>
            <w:tcW w:w="242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center"/>
              <w:rPr>
                <w:b/>
                <w:b/>
                <w:bCs/>
                <w:sz w:val="24"/>
                <w:szCs w:val="24"/>
              </w:rPr>
            </w:pPr>
            <w:r>
              <w:rPr>
                <w:b/>
                <w:bCs/>
                <w:sz w:val="24"/>
                <w:szCs w:val="24"/>
              </w:rPr>
            </w:r>
          </w:p>
          <w:p>
            <w:pPr>
              <w:pStyle w:val="Normal"/>
              <w:jc w:val="center"/>
              <w:rPr>
                <w:b/>
                <w:b/>
                <w:bCs/>
                <w:sz w:val="24"/>
                <w:szCs w:val="24"/>
              </w:rPr>
            </w:pPr>
            <w:r>
              <w:rPr>
                <w:b/>
                <w:bCs/>
                <w:sz w:val="24"/>
                <w:szCs w:val="24"/>
              </w:rPr>
              <w:t>Timeline</w:t>
            </w:r>
          </w:p>
        </w:tc>
      </w:tr>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Achieve a realistic balance between workload, social life and university work.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tc>
        <w:tc>
          <w:tcPr>
            <w:tcW w:w="243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Measuring my stress levels and ensuring I am not just doing a balancing act. This should help the quality of work I provide to the force and university and social life I offer to my family. </w:t>
            </w:r>
          </w:p>
        </w:tc>
        <w:tc>
          <w:tcPr>
            <w:tcW w:w="24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rPr>
                <w:sz w:val="24"/>
                <w:szCs w:val="24"/>
              </w:rPr>
            </w:pPr>
            <w:r>
              <w:rPr>
                <w:sz w:val="24"/>
                <w:szCs w:val="24"/>
              </w:rPr>
              <w:t>My supervisor</w:t>
            </w:r>
          </w:p>
          <w:p>
            <w:pPr>
              <w:pStyle w:val="Normal"/>
              <w:rPr>
                <w:sz w:val="24"/>
                <w:szCs w:val="24"/>
              </w:rPr>
            </w:pPr>
            <w:r>
              <w:rPr>
                <w:sz w:val="24"/>
                <w:szCs w:val="24"/>
              </w:rPr>
              <w:t>University</w:t>
            </w:r>
          </w:p>
          <w:p>
            <w:pPr>
              <w:pStyle w:val="Normal"/>
              <w:rPr>
                <w:sz w:val="24"/>
                <w:szCs w:val="24"/>
              </w:rPr>
            </w:pPr>
            <w:r>
              <w:rPr>
                <w:sz w:val="24"/>
                <w:szCs w:val="24"/>
              </w:rPr>
              <w:t>Family</w:t>
            </w:r>
          </w:p>
        </w:tc>
        <w:tc>
          <w:tcPr>
            <w:tcW w:w="242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sz w:val="24"/>
                <w:szCs w:val="24"/>
              </w:rPr>
            </w:pPr>
            <w:r>
              <w:rPr>
                <w:sz w:val="24"/>
                <w:szCs w:val="24"/>
              </w:rPr>
            </w:r>
          </w:p>
          <w:p>
            <w:pPr>
              <w:pStyle w:val="Normal"/>
              <w:rPr>
                <w:sz w:val="24"/>
                <w:szCs w:val="24"/>
              </w:rPr>
            </w:pPr>
            <w:r>
              <w:rPr>
                <w:sz w:val="24"/>
                <w:szCs w:val="24"/>
              </w:rPr>
              <w:t>I will know if I am able to achieve this once my first workbook has been submitted and I have the gap between the second being issued.</w:t>
            </w:r>
          </w:p>
        </w:tc>
      </w:tr>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Ensure I maintain a high standard throughout my two-year probation, which will help me specialise at the end of it or go on the relevant training courses to continuously develop myself.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tc>
        <w:tc>
          <w:tcPr>
            <w:tcW w:w="243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Complete my university work to a more than satisfactory level throughout the two years ensuring I pass probation and enrolling myself onto training courses to develop myself to specialise in years to come. </w:t>
            </w:r>
          </w:p>
        </w:tc>
        <w:tc>
          <w:tcPr>
            <w:tcW w:w="24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rPr>
                <w:sz w:val="24"/>
                <w:szCs w:val="24"/>
              </w:rPr>
            </w:pPr>
            <w:r>
              <w:rPr>
                <w:sz w:val="24"/>
                <w:szCs w:val="24"/>
              </w:rPr>
              <w:t>My Supervisor</w:t>
            </w:r>
          </w:p>
          <w:p>
            <w:pPr>
              <w:pStyle w:val="Normal"/>
              <w:rPr>
                <w:sz w:val="24"/>
                <w:szCs w:val="24"/>
              </w:rPr>
            </w:pPr>
            <w:r>
              <w:rPr>
                <w:sz w:val="24"/>
                <w:szCs w:val="24"/>
              </w:rPr>
              <w:t>University Team</w:t>
            </w:r>
          </w:p>
          <w:p>
            <w:pPr>
              <w:pStyle w:val="Normal"/>
              <w:rPr>
                <w:sz w:val="24"/>
                <w:szCs w:val="24"/>
              </w:rPr>
            </w:pPr>
            <w:r>
              <w:rPr>
                <w:sz w:val="24"/>
                <w:szCs w:val="24"/>
              </w:rPr>
              <w:t>Family and Partner</w:t>
            </w:r>
          </w:p>
        </w:tc>
        <w:tc>
          <w:tcPr>
            <w:tcW w:w="242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sz w:val="24"/>
                <w:szCs w:val="24"/>
              </w:rPr>
            </w:pPr>
            <w:r>
              <w:rPr>
                <w:sz w:val="24"/>
                <w:szCs w:val="24"/>
              </w:rPr>
            </w:r>
          </w:p>
          <w:p>
            <w:pPr>
              <w:pStyle w:val="Normal"/>
              <w:jc w:val="both"/>
              <w:rPr>
                <w:sz w:val="24"/>
                <w:szCs w:val="24"/>
              </w:rPr>
            </w:pPr>
            <w:r>
              <w:rPr>
                <w:sz w:val="24"/>
                <w:szCs w:val="24"/>
              </w:rPr>
              <w:t xml:space="preserve">The end of my two year probation. </w:t>
            </w:r>
          </w:p>
        </w:tc>
      </w:tr>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Not being reluctant on using appointments provided to me. </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tc>
        <w:tc>
          <w:tcPr>
            <w:tcW w:w="243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rPr>
                <w:sz w:val="24"/>
                <w:szCs w:val="24"/>
              </w:rPr>
            </w:pPr>
            <w:r>
              <w:rPr>
                <w:sz w:val="24"/>
                <w:szCs w:val="24"/>
              </w:rPr>
              <w:t xml:space="preserve">By being double crewed with colleagues for the first couple of weeks out of tutorship and learning off them when to use appointments and when not needed to use them. </w:t>
            </w:r>
          </w:p>
        </w:tc>
        <w:tc>
          <w:tcPr>
            <w:tcW w:w="2425"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right="107" w:hanging="0"/>
              <w:jc w:val="both"/>
              <w:rPr>
                <w:sz w:val="24"/>
                <w:szCs w:val="24"/>
              </w:rPr>
            </w:pPr>
            <w:r>
              <w:rPr>
                <w:sz w:val="24"/>
                <w:szCs w:val="24"/>
              </w:rPr>
            </w:r>
          </w:p>
          <w:p>
            <w:pPr>
              <w:pStyle w:val="Normal"/>
              <w:rPr>
                <w:sz w:val="24"/>
                <w:szCs w:val="24"/>
              </w:rPr>
            </w:pPr>
            <w:r>
              <w:rPr>
                <w:sz w:val="24"/>
                <w:szCs w:val="24"/>
              </w:rPr>
              <w:t>Colleagues on my team</w:t>
            </w:r>
          </w:p>
          <w:p>
            <w:pPr>
              <w:pStyle w:val="Normal"/>
              <w:rPr>
                <w:sz w:val="24"/>
                <w:szCs w:val="24"/>
              </w:rPr>
            </w:pPr>
            <w:r>
              <w:rPr>
                <w:sz w:val="24"/>
                <w:szCs w:val="24"/>
              </w:rPr>
              <w:t xml:space="preserve">My supervisor. </w:t>
            </w:r>
          </w:p>
        </w:tc>
        <w:tc>
          <w:tcPr>
            <w:tcW w:w="2428" w:type="dxa"/>
            <w:tcBorders>
              <w:top w:val="single" w:sz="4" w:space="0" w:color="000000"/>
              <w:left w:val="single" w:sz="4" w:space="0" w:color="000000"/>
              <w:bottom w:val="single" w:sz="4" w:space="0" w:color="000000"/>
              <w:right w:val="single" w:sz="4" w:space="0" w:color="000000"/>
            </w:tcBorders>
            <w:shd w:color="auto" w:fill="auto" w:val="clear"/>
          </w:tcPr>
          <w:p>
            <w:pPr>
              <w:pStyle w:val="Normal"/>
              <w:jc w:val="both"/>
              <w:rPr>
                <w:sz w:val="24"/>
                <w:szCs w:val="24"/>
              </w:rPr>
            </w:pPr>
            <w:r>
              <w:rPr>
                <w:sz w:val="24"/>
                <w:szCs w:val="24"/>
              </w:rPr>
            </w:r>
          </w:p>
          <w:p>
            <w:pPr>
              <w:pStyle w:val="Normal"/>
              <w:jc w:val="both"/>
              <w:rPr>
                <w:sz w:val="24"/>
                <w:szCs w:val="24"/>
              </w:rPr>
            </w:pPr>
            <w:r>
              <w:rPr>
                <w:sz w:val="24"/>
                <w:szCs w:val="24"/>
              </w:rPr>
              <w:t xml:space="preserve">By the time I finish my first year of probation. </w:t>
            </w:r>
          </w:p>
        </w:tc>
      </w:tr>
    </w:tbl>
    <w:p>
      <w:pPr>
        <w:pStyle w:val="Normal"/>
        <w:ind w:right="107" w:hanging="0"/>
        <w:jc w:val="both"/>
        <w:rPr>
          <w:sz w:val="24"/>
          <w:szCs w:val="24"/>
        </w:rPr>
      </w:pPr>
      <w:r>
        <w:rPr>
          <w:sz w:val="24"/>
          <w:szCs w:val="24"/>
        </w:rPr>
      </w:r>
    </w:p>
    <w:p>
      <w:pPr>
        <w:pStyle w:val="Normal"/>
        <w:overflowPunct w:val="true"/>
        <w:ind w:right="107" w:hanging="0"/>
        <w:textAlignment w:val="auto"/>
        <w:rPr>
          <w:b/>
          <w:b/>
          <w:sz w:val="24"/>
          <w:szCs w:val="24"/>
        </w:rPr>
      </w:pPr>
      <w:r>
        <w:rPr>
          <w:b/>
          <w:sz w:val="24"/>
          <w:szCs w:val="24"/>
        </w:rPr>
      </w:r>
      <w:r>
        <w:br w:type="page"/>
      </w:r>
    </w:p>
    <w:p>
      <w:pPr>
        <w:pStyle w:val="Normal"/>
        <w:keepNext w:val="true"/>
        <w:spacing w:before="240" w:after="60"/>
        <w:ind w:right="107" w:hanging="0"/>
        <w:jc w:val="both"/>
        <w:rPr>
          <w:b/>
          <w:b/>
          <w:sz w:val="24"/>
          <w:szCs w:val="24"/>
        </w:rPr>
      </w:pPr>
      <w:r>
        <w:rPr>
          <w:b/>
          <w:sz w:val="24"/>
          <w:szCs w:val="24"/>
        </w:rPr>
        <w:t>Bibliography</w:t>
      </w:r>
    </w:p>
    <w:p>
      <w:pPr>
        <w:pStyle w:val="Normal"/>
        <w:keepNext w:val="true"/>
        <w:spacing w:before="240" w:after="60"/>
        <w:ind w:right="107" w:hanging="0"/>
        <w:jc w:val="both"/>
        <w:rPr>
          <w:b/>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t xml:space="preserve">Mind (2020) </w:t>
      </w:r>
      <w:r>
        <w:rPr>
          <w:b/>
          <w:sz w:val="24"/>
          <w:szCs w:val="24"/>
        </w:rPr>
        <w:t xml:space="preserve">8 in 10 police officer recently felt stressed. Dealing with stress and resilience. </w:t>
      </w:r>
    </w:p>
    <w:p>
      <w:pPr>
        <w:pStyle w:val="Normal"/>
        <w:overflowPunct w:val="true"/>
        <w:ind w:right="107" w:hanging="0"/>
        <w:textAlignment w:val="auto"/>
        <w:rPr/>
      </w:pPr>
      <w:hyperlink r:id="rId17">
        <w:r>
          <w:rPr>
            <w:rStyle w:val="InternetLink"/>
            <w:b/>
            <w:sz w:val="24"/>
            <w:szCs w:val="24"/>
          </w:rPr>
          <w:t>https://www.mind.org.uk/news-campaigns/news/nearly-8-in-10-police-officers-recently-felt-stressed-finds-police-federation/</w:t>
        </w:r>
      </w:hyperlink>
    </w:p>
    <w:p>
      <w:pPr>
        <w:pStyle w:val="Normal"/>
        <w:overflowPunct w:val="true"/>
        <w:ind w:right="107" w:hanging="0"/>
        <w:textAlignment w:val="auto"/>
        <w:rPr>
          <w:rStyle w:val="InternetLink"/>
          <w:b/>
          <w:b/>
          <w:sz w:val="24"/>
          <w:szCs w:val="24"/>
        </w:rPr>
      </w:pPr>
      <w:r>
        <w:rPr>
          <w:b/>
          <w:sz w:val="24"/>
          <w:szCs w:val="24"/>
        </w:rPr>
      </w:r>
    </w:p>
    <w:p>
      <w:pPr>
        <w:pStyle w:val="Normal"/>
        <w:overflowPunct w:val="true"/>
        <w:ind w:right="107" w:hanging="0"/>
        <w:textAlignment w:val="auto"/>
        <w:rPr>
          <w:b/>
          <w:b/>
          <w:sz w:val="24"/>
          <w:szCs w:val="24"/>
        </w:rPr>
      </w:pPr>
      <w:r>
        <w:rPr>
          <w:rStyle w:val="InternetLink"/>
          <w:b/>
          <w:bCs/>
          <w:color w:val="000000"/>
          <w:position w:val="0"/>
          <w:sz w:val="24"/>
          <w:sz w:val="24"/>
          <w:szCs w:val="24"/>
          <w:u w:val="none"/>
          <w:vertAlign w:val="baseline"/>
        </w:rPr>
        <w:t xml:space="preserve">Jasper (2013) ERA </w:t>
      </w:r>
      <w:r>
        <w:rPr>
          <w:rStyle w:val="InternetLink"/>
          <w:b/>
          <w:bCs/>
          <w:color w:val="000000"/>
          <w:position w:val="0"/>
          <w:sz w:val="24"/>
          <w:sz w:val="24"/>
          <w:szCs w:val="24"/>
          <w:u w:val="none"/>
          <w:vertAlign w:val="baseline"/>
        </w:rPr>
        <w:t xml:space="preserve">Reflective </w:t>
      </w:r>
      <w:r>
        <w:rPr>
          <w:rStyle w:val="InternetLink"/>
          <w:b/>
          <w:bCs/>
          <w:color w:val="000000"/>
          <w:position w:val="0"/>
          <w:sz w:val="24"/>
          <w:sz w:val="24"/>
          <w:szCs w:val="24"/>
          <w:u w:val="none"/>
          <w:vertAlign w:val="baseline"/>
        </w:rPr>
        <w:t>cycle</w:t>
      </w:r>
    </w:p>
    <w:p>
      <w:pPr>
        <w:pStyle w:val="Normal"/>
        <w:overflowPunct w:val="true"/>
        <w:ind w:right="107" w:hanging="0"/>
        <w:textAlignment w:val="auto"/>
        <w:rPr>
          <w:rStyle w:val="InternetLink"/>
          <w:b/>
          <w:b/>
          <w:sz w:val="24"/>
          <w:szCs w:val="24"/>
        </w:rPr>
      </w:pPr>
      <w:hyperlink r:id="rId18">
        <w:r>
          <w:rPr>
            <w:rStyle w:val="InternetLink"/>
            <w:b/>
            <w:sz w:val="24"/>
            <w:szCs w:val="24"/>
          </w:rPr>
          <w:t>ERA - Reflective writing - LibGuides at University of Hull</w:t>
        </w:r>
      </w:hyperlink>
      <w:r>
        <w:rPr>
          <w:rStyle w:val="InternetLink"/>
          <w:b/>
          <w:sz w:val="24"/>
          <w:szCs w:val="24"/>
        </w:rPr>
        <w:t xml:space="preserve"> </w:t>
      </w:r>
    </w:p>
    <w:p>
      <w:pPr>
        <w:pStyle w:val="Normal"/>
        <w:overflowPunct w:val="true"/>
        <w:ind w:right="107" w:hanging="0"/>
        <w:textAlignment w:val="auto"/>
        <w:rPr>
          <w:rStyle w:val="InternetLink"/>
          <w:b/>
          <w:b/>
          <w:sz w:val="24"/>
          <w:szCs w:val="24"/>
        </w:rPr>
      </w:pPr>
      <w:r>
        <w:rPr>
          <w:b/>
          <w:sz w:val="24"/>
          <w:szCs w:val="24"/>
        </w:rPr>
      </w:r>
    </w:p>
    <w:p>
      <w:pPr>
        <w:pStyle w:val="Normal"/>
        <w:overflowPunct w:val="true"/>
        <w:ind w:right="107" w:hanging="0"/>
        <w:jc w:val="both"/>
        <w:textAlignment w:val="auto"/>
        <w:rPr>
          <w:b/>
          <w:b/>
          <w:sz w:val="24"/>
          <w:szCs w:val="24"/>
        </w:rPr>
      </w:pPr>
      <w:r>
        <w:rPr>
          <w:rStyle w:val="InternetLink"/>
          <w:b/>
          <w:color w:val="1F2025"/>
          <w:sz w:val="24"/>
          <w:szCs w:val="24"/>
          <w:highlight w:val="white"/>
        </w:rPr>
        <w:t xml:space="preserve">(Statista, 2022). </w:t>
      </w:r>
      <w:r>
        <w:rPr>
          <w:rStyle w:val="InternetLink"/>
          <w:b/>
          <w:color w:val="1F2025"/>
          <w:sz w:val="24"/>
          <w:szCs w:val="24"/>
          <w:highlight w:val="white"/>
        </w:rPr>
        <w:t>Rise in hate crimes over the years</w:t>
      </w:r>
    </w:p>
    <w:p>
      <w:pPr>
        <w:pStyle w:val="Normal"/>
        <w:overflowPunct w:val="true"/>
        <w:ind w:right="107" w:hanging="0"/>
        <w:textAlignment w:val="auto"/>
        <w:rPr/>
      </w:pPr>
      <w:r>
        <w:fldChar w:fldCharType="begin"/>
      </w:r>
      <w:r>
        <w:rPr>
          <w:rStyle w:val="ListLabel6"/>
          <w:u w:val="single"/>
        </w:rPr>
        <w:instrText> HYPERLINK "https://www.statista.com/topics/3311/hate-crime-in-the-uk/" \l ":~:text=Hate crime in the UK - Statistics %26,of around 81.8 thousand when compared with 2012%2F13."</w:instrText>
      </w:r>
      <w:r>
        <w:rPr>
          <w:rStyle w:val="ListLabel6"/>
          <w:u w:val="single"/>
        </w:rPr>
        <w:fldChar w:fldCharType="separate"/>
      </w:r>
      <w:r>
        <w:rPr>
          <w:rStyle w:val="ListLabel6"/>
          <w:color w:val="0000FF"/>
          <w:u w:val="single"/>
        </w:rPr>
        <w:t>Hate crime in the UK - Statistics &amp; Facts | Statista</w:t>
      </w:r>
      <w:r>
        <w:rPr>
          <w:rStyle w:val="ListLabel6"/>
          <w:u w:val="single"/>
        </w:rPr>
        <w:fldChar w:fldCharType="end"/>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t>College of Policing(2104) National Decision Making Model</w:t>
      </w:r>
    </w:p>
    <w:p>
      <w:pPr>
        <w:pStyle w:val="Normal"/>
        <w:overflowPunct w:val="true"/>
        <w:ind w:right="107" w:hanging="0"/>
        <w:textAlignment w:val="auto"/>
        <w:rPr/>
      </w:pPr>
      <w:hyperlink r:id="rId19">
        <w:r>
          <w:rPr>
            <w:rStyle w:val="InternetLink"/>
            <w:b/>
            <w:sz w:val="24"/>
            <w:szCs w:val="24"/>
          </w:rPr>
          <w:t>https://www.college.police.uk/app/national-decision-model/national-decision-model</w:t>
        </w:r>
      </w:hyperlink>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t>College of Policing(2014) Code of Ethics</w:t>
      </w:r>
    </w:p>
    <w:p>
      <w:pPr>
        <w:pStyle w:val="Normal"/>
        <w:overflowPunct w:val="true"/>
        <w:ind w:right="107" w:hanging="0"/>
        <w:textAlignment w:val="auto"/>
        <w:rPr/>
      </w:pPr>
      <w:hyperlink r:id="rId21">
        <w:r>
          <w:rPr>
            <w:rStyle w:val="InternetLink"/>
            <w:b/>
            <w:sz w:val="24"/>
            <w:szCs w:val="24"/>
          </w:rPr>
          <w:t>https://www.college.police.uk/ethics/code-of-ethics</w:t>
        </w:r>
      </w:hyperlink>
    </w:p>
    <w:p>
      <w:pPr>
        <w:pStyle w:val="Normal"/>
        <w:overflowPunct w:val="true"/>
        <w:ind w:right="107" w:hanging="0"/>
        <w:textAlignment w:val="auto"/>
        <w:rPr>
          <w:rStyle w:val="InternetLink"/>
          <w:b/>
          <w:b/>
          <w:sz w:val="24"/>
          <w:szCs w:val="24"/>
        </w:rPr>
      </w:pPr>
      <w:r>
        <w:rPr/>
      </w:r>
    </w:p>
    <w:p>
      <w:pPr>
        <w:pStyle w:val="Normal"/>
        <w:overflowPunct w:val="true"/>
        <w:ind w:right="107" w:hanging="0"/>
        <w:textAlignment w:val="auto"/>
        <w:rPr/>
      </w:pPr>
      <w:r>
        <w:rPr>
          <w:rStyle w:val="InternetLink"/>
          <w:b/>
          <w:color w:val="000000"/>
          <w:sz w:val="24"/>
          <w:szCs w:val="24"/>
          <w:u w:val="none"/>
        </w:rPr>
        <w:t>College of Policing(2021) Victims Code for Policing</w:t>
      </w:r>
    </w:p>
    <w:p>
      <w:pPr>
        <w:pStyle w:val="Normal"/>
        <w:overflowPunct w:val="true"/>
        <w:ind w:right="107" w:hanging="0"/>
        <w:textAlignment w:val="auto"/>
        <w:rPr/>
      </w:pPr>
      <w:hyperlink r:id="rId22">
        <w:r>
          <w:rPr>
            <w:rStyle w:val="InternetLink"/>
            <w:b/>
            <w:color w:val="000000"/>
            <w:sz w:val="24"/>
            <w:szCs w:val="24"/>
            <w:u w:val="none"/>
          </w:rPr>
          <w:t>Victims' Code for policing | College of Policing</w:t>
        </w:r>
      </w:hyperlink>
      <w:r>
        <w:rPr>
          <w:rStyle w:val="InternetLink"/>
          <w:b/>
          <w:color w:val="000000"/>
          <w:sz w:val="24"/>
          <w:szCs w:val="24"/>
          <w:u w:val="none"/>
        </w:rPr>
        <w:t xml:space="preserve"> </w:t>
      </w:r>
    </w:p>
    <w:p>
      <w:pPr>
        <w:pStyle w:val="Normal"/>
        <w:overflowPunct w:val="true"/>
        <w:ind w:right="107" w:hanging="0"/>
        <w:textAlignment w:val="auto"/>
        <w:rPr>
          <w:rStyle w:val="InternetLink"/>
          <w:b/>
          <w:b/>
          <w:color w:val="000000"/>
          <w:sz w:val="24"/>
          <w:szCs w:val="24"/>
          <w:u w:val="none"/>
        </w:rPr>
      </w:pPr>
      <w:r>
        <w:rPr/>
      </w:r>
    </w:p>
    <w:p>
      <w:pPr>
        <w:pStyle w:val="Normal"/>
        <w:overflowPunct w:val="true"/>
        <w:ind w:right="107" w:hanging="0"/>
        <w:textAlignment w:val="auto"/>
        <w:rPr>
          <w:rStyle w:val="InternetLink"/>
          <w:b/>
          <w:b/>
          <w:color w:val="000000"/>
          <w:sz w:val="24"/>
          <w:szCs w:val="24"/>
          <w:u w:val="none"/>
        </w:rPr>
      </w:pPr>
      <w:r>
        <w:rPr/>
      </w:r>
    </w:p>
    <w:p>
      <w:pPr>
        <w:pStyle w:val="Normal"/>
        <w:overflowPunct w:val="true"/>
        <w:ind w:right="107" w:hanging="0"/>
        <w:textAlignment w:val="auto"/>
        <w:rPr>
          <w:b/>
          <w:b/>
          <w:sz w:val="24"/>
          <w:szCs w:val="24"/>
        </w:rPr>
      </w:pPr>
      <w:r>
        <w:rPr>
          <w:rStyle w:val="InternetLink"/>
          <w:b/>
          <w:bCs/>
          <w:color w:val="000000"/>
          <w:sz w:val="24"/>
          <w:szCs w:val="24"/>
          <w:u w:val="none"/>
        </w:rPr>
        <w:t>Sir Ronnie Flannagan(2002) Outcome of the murders of Jessica Chapman and Holly Wells</w:t>
      </w:r>
    </w:p>
    <w:p>
      <w:pPr>
        <w:pStyle w:val="Normal"/>
        <w:overflowPunct w:val="true"/>
        <w:ind w:right="107" w:hanging="0"/>
        <w:textAlignment w:val="auto"/>
        <w:rPr/>
      </w:pPr>
      <w:r>
        <w:rPr>
          <w:rStyle w:val="InternetLink"/>
          <w:b/>
          <w:sz w:val="24"/>
          <w:szCs w:val="24"/>
        </w:rPr>
        <w:t>https://www.justiceinspectorates.gov.uk/hmicfrs/media/investigation-by-cambridgeshire-constabulary-20040530.pdf</w:t>
      </w:r>
    </w:p>
    <w:p>
      <w:pPr>
        <w:pStyle w:val="Normal"/>
        <w:overflowPunct w:val="true"/>
        <w:ind w:right="107" w:hanging="0"/>
        <w:textAlignment w:val="auto"/>
        <w:rPr>
          <w:rStyle w:val="InternetLink"/>
          <w:b/>
          <w:b/>
          <w:sz w:val="24"/>
          <w:szCs w:val="24"/>
        </w:rPr>
      </w:pPr>
      <w:r>
        <w:rPr>
          <w:b/>
          <w:sz w:val="24"/>
          <w:szCs w:val="24"/>
        </w:rPr>
      </w:r>
    </w:p>
    <w:p>
      <w:pPr>
        <w:pStyle w:val="Normal"/>
        <w:overflowPunct w:val="true"/>
        <w:ind w:right="107" w:hanging="0"/>
        <w:textAlignment w:val="auto"/>
        <w:rPr>
          <w:rStyle w:val="InternetLink"/>
          <w:b/>
          <w:b/>
          <w:sz w:val="24"/>
          <w:szCs w:val="24"/>
        </w:rPr>
      </w:pPr>
      <w:r>
        <w:rPr>
          <w:b/>
          <w:sz w:val="24"/>
          <w:szCs w:val="24"/>
        </w:rPr>
      </w:r>
    </w:p>
    <w:p>
      <w:pPr>
        <w:pStyle w:val="Normal"/>
        <w:overflowPunct w:val="true"/>
        <w:ind w:right="107" w:hanging="0"/>
        <w:textAlignment w:val="auto"/>
        <w:rPr/>
      </w:pPr>
      <w:hyperlink r:id="rId23">
        <w:r>
          <w:rPr>
            <w:rStyle w:val="InternetLink"/>
            <w:b/>
            <w:color w:val="000000"/>
            <w:sz w:val="24"/>
            <w:szCs w:val="24"/>
            <w:u w:val="none"/>
          </w:rPr>
          <w:t>Malicious Communications Act</w:t>
        </w:r>
      </w:hyperlink>
      <w:r>
        <w:rPr>
          <w:rStyle w:val="InternetLink"/>
          <w:b/>
          <w:color w:val="000000"/>
          <w:sz w:val="24"/>
          <w:szCs w:val="24"/>
          <w:u w:val="none"/>
        </w:rPr>
        <w:t xml:space="preserve">(1988) </w:t>
      </w:r>
    </w:p>
    <w:p>
      <w:pPr>
        <w:pStyle w:val="Normal"/>
        <w:overflowPunct w:val="true"/>
        <w:ind w:right="107" w:hanging="0"/>
        <w:textAlignment w:val="auto"/>
        <w:rPr/>
      </w:pPr>
      <w:hyperlink r:id="rId24">
        <w:r>
          <w:rPr>
            <w:rStyle w:val="InternetLink"/>
            <w:b/>
            <w:sz w:val="24"/>
            <w:szCs w:val="24"/>
          </w:rPr>
          <w:t>Malicious Communications Act 1988 (legislation.gov.uk)</w:t>
        </w:r>
      </w:hyperlink>
      <w:r>
        <w:rPr>
          <w:rStyle w:val="InternetLink"/>
          <w:b/>
          <w:sz w:val="24"/>
          <w:szCs w:val="24"/>
        </w:rPr>
        <w:t xml:space="preserve"> </w:t>
      </w:r>
    </w:p>
    <w:p>
      <w:pPr>
        <w:pStyle w:val="Normal"/>
        <w:overflowPunct w:val="true"/>
        <w:ind w:right="107" w:hanging="0"/>
        <w:textAlignment w:val="auto"/>
        <w:rPr>
          <w:rStyle w:val="InternetLink"/>
          <w:b/>
          <w:b/>
          <w:sz w:val="24"/>
          <w:szCs w:val="24"/>
        </w:rPr>
      </w:pPr>
      <w:r>
        <w:rPr/>
      </w:r>
    </w:p>
    <w:p>
      <w:pPr>
        <w:pStyle w:val="Normal"/>
        <w:overflowPunct w:val="true"/>
        <w:ind w:right="107" w:hanging="0"/>
        <w:textAlignment w:val="auto"/>
        <w:rPr>
          <w:rStyle w:val="InternetLink"/>
          <w:b/>
          <w:b/>
          <w:sz w:val="24"/>
          <w:szCs w:val="24"/>
        </w:rPr>
      </w:pPr>
      <w:r>
        <w:rPr/>
      </w:r>
    </w:p>
    <w:p>
      <w:pPr>
        <w:pStyle w:val="Normal"/>
        <w:overflowPunct w:val="true"/>
        <w:ind w:right="107" w:hanging="0"/>
        <w:textAlignment w:val="auto"/>
        <w:rPr/>
      </w:pPr>
      <w:r>
        <w:rPr>
          <w:rStyle w:val="InternetLink"/>
          <w:b/>
          <w:color w:val="000000"/>
          <w:sz w:val="24"/>
          <w:szCs w:val="24"/>
          <w:u w:val="none"/>
        </w:rPr>
        <w:t xml:space="preserve">Criminal Procedure Invetigation Act (1996) </w:t>
      </w:r>
    </w:p>
    <w:p>
      <w:pPr>
        <w:pStyle w:val="Normal"/>
        <w:overflowPunct w:val="true"/>
        <w:ind w:right="107" w:hanging="0"/>
        <w:textAlignment w:val="auto"/>
        <w:rPr>
          <w:rStyle w:val="InternetLink"/>
          <w:b/>
          <w:b/>
          <w:sz w:val="24"/>
          <w:szCs w:val="24"/>
        </w:rPr>
      </w:pPr>
      <w:hyperlink r:id="rId25">
        <w:r>
          <w:rPr>
            <w:rStyle w:val="InternetLink"/>
            <w:b/>
            <w:sz w:val="24"/>
            <w:szCs w:val="24"/>
          </w:rPr>
          <w:t>Criminal Procedure and Investigations Act 1996 (legislation.gov.uk)</w:t>
        </w:r>
      </w:hyperlink>
      <w:r>
        <w:rPr>
          <w:rStyle w:val="InternetLink"/>
          <w:b/>
          <w:sz w:val="24"/>
          <w:szCs w:val="24"/>
        </w:rPr>
        <w:t xml:space="preserve"> </w:t>
      </w:r>
    </w:p>
    <w:p>
      <w:pPr>
        <w:pStyle w:val="Normal"/>
        <w:overflowPunct w:val="true"/>
        <w:ind w:right="107" w:hanging="0"/>
        <w:textAlignment w:val="auto"/>
        <w:rPr>
          <w:rStyle w:val="InternetLink"/>
          <w:b/>
          <w:b/>
          <w:sz w:val="24"/>
          <w:szCs w:val="24"/>
        </w:rPr>
      </w:pPr>
      <w:r>
        <w:rPr/>
      </w:r>
    </w:p>
    <w:p>
      <w:pPr>
        <w:pStyle w:val="Normal"/>
        <w:overflowPunct w:val="true"/>
        <w:ind w:right="107" w:hanging="0"/>
        <w:textAlignment w:val="auto"/>
        <w:rPr/>
      </w:pPr>
      <w:r>
        <w:rPr>
          <w:rStyle w:val="InternetLink"/>
          <w:b/>
          <w:color w:val="000000"/>
          <w:sz w:val="24"/>
          <w:szCs w:val="24"/>
          <w:u w:val="none"/>
        </w:rPr>
        <w:t>Lazarus and Delongis(1983)</w:t>
      </w:r>
      <w:r>
        <w:rPr>
          <w:rStyle w:val="InternetLink"/>
          <w:b/>
          <w:sz w:val="24"/>
          <w:szCs w:val="24"/>
        </w:rPr>
        <w:t xml:space="preserve"> </w:t>
      </w:r>
    </w:p>
    <w:p>
      <w:pPr>
        <w:pStyle w:val="Normal"/>
        <w:overflowPunct w:val="true"/>
        <w:ind w:right="107" w:hanging="0"/>
        <w:textAlignment w:val="auto"/>
        <w:rPr>
          <w:b/>
          <w:b/>
          <w:sz w:val="24"/>
          <w:szCs w:val="24"/>
        </w:rPr>
      </w:pPr>
      <w:hyperlink r:id="rId26">
        <w:r>
          <w:rPr>
            <w:rStyle w:val="InternetLink"/>
            <w:b/>
            <w:sz w:val="24"/>
            <w:szCs w:val="24"/>
          </w:rPr>
          <w:t>Lazarus, R.S. and DeLongis, A. (1983) Psychological Stress and Coping in Aging. American Psychologist, 38, 245- 254. - References - Scientific Research Publishing (scirp.org)</w:t>
        </w:r>
      </w:hyperlink>
      <w:r>
        <w:rPr>
          <w:b/>
          <w:sz w:val="24"/>
          <w:szCs w:val="24"/>
        </w:rPr>
        <w:t xml:space="preserve"> </w:t>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t xml:space="preserve">Gibbs Reflective Model(2020) </w:t>
      </w:r>
    </w:p>
    <w:p>
      <w:pPr>
        <w:pStyle w:val="Normal"/>
        <w:overflowPunct w:val="true"/>
        <w:ind w:right="107" w:hanging="0"/>
        <w:textAlignment w:val="auto"/>
        <w:rPr>
          <w:b/>
          <w:b/>
          <w:sz w:val="24"/>
          <w:szCs w:val="24"/>
        </w:rPr>
      </w:pPr>
      <w:hyperlink r:id="rId27">
        <w:r>
          <w:rPr>
            <w:rStyle w:val="InternetLink"/>
            <w:b/>
            <w:sz w:val="24"/>
            <w:szCs w:val="24"/>
          </w:rPr>
          <w:t>Gibbs' Reflective Cycle | The University of Edinburgh</w:t>
        </w:r>
      </w:hyperlink>
      <w:r>
        <w:rPr>
          <w:b/>
          <w:sz w:val="24"/>
          <w:szCs w:val="24"/>
        </w:rPr>
        <w:t xml:space="preserve"> </w:t>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bCs/>
          <w:sz w:val="24"/>
          <w:szCs w:val="24"/>
        </w:rPr>
      </w:pPr>
      <w:r>
        <w:rPr>
          <w:rFonts w:ascii="Open Sans;Helvetica;sans-serif" w:hAnsi="Open Sans;Helvetica;sans-serif"/>
          <w:b/>
          <w:bCs/>
          <w:i w:val="false"/>
          <w:caps w:val="false"/>
          <w:smallCaps w:val="false"/>
          <w:strike w:val="false"/>
          <w:dstrike w:val="false"/>
          <w:color w:val="1E1E1E"/>
          <w:spacing w:val="0"/>
          <w:sz w:val="23"/>
          <w:szCs w:val="24"/>
          <w:u w:val="none"/>
          <w:effect w:val="none"/>
        </w:rPr>
        <w:t xml:space="preserve">CEDAW. </w:t>
      </w:r>
      <w:r>
        <w:rPr>
          <w:rFonts w:ascii="Open Sans;Helvetica;sans-serif" w:hAnsi="Open Sans;Helvetica;sans-serif"/>
          <w:b/>
          <w:bCs/>
          <w:i w:val="false"/>
          <w:caps w:val="false"/>
          <w:smallCaps w:val="false"/>
          <w:strike w:val="false"/>
          <w:dstrike w:val="false"/>
          <w:color w:val="1E1E1E"/>
          <w:spacing w:val="0"/>
          <w:sz w:val="23"/>
          <w:szCs w:val="24"/>
          <w:u w:val="none"/>
          <w:effect w:val="none"/>
        </w:rPr>
        <w:t>(</w:t>
      </w:r>
      <w:r>
        <w:rPr>
          <w:rFonts w:ascii="Open Sans;Helvetica;sans-serif" w:hAnsi="Open Sans;Helvetica;sans-serif"/>
          <w:b/>
          <w:bCs/>
          <w:i w:val="false"/>
          <w:caps w:val="false"/>
          <w:smallCaps w:val="false"/>
          <w:strike w:val="false"/>
          <w:dstrike w:val="false"/>
          <w:color w:val="1E1E1E"/>
          <w:spacing w:val="0"/>
          <w:sz w:val="23"/>
          <w:szCs w:val="24"/>
          <w:u w:val="none"/>
          <w:effect w:val="none"/>
        </w:rPr>
        <w:t>1992</w:t>
      </w:r>
      <w:r>
        <w:rPr>
          <w:rFonts w:ascii="Open Sans;Helvetica;sans-serif" w:hAnsi="Open Sans;Helvetica;sans-serif"/>
          <w:b/>
          <w:bCs/>
          <w:i w:val="false"/>
          <w:caps w:val="false"/>
          <w:smallCaps w:val="false"/>
          <w:strike w:val="false"/>
          <w:dstrike w:val="false"/>
          <w:color w:val="1E1E1E"/>
          <w:spacing w:val="0"/>
          <w:sz w:val="23"/>
          <w:szCs w:val="24"/>
          <w:u w:val="none"/>
          <w:effect w:val="none"/>
        </w:rPr>
        <w:t>)</w:t>
      </w:r>
    </w:p>
    <w:p>
      <w:pPr>
        <w:pStyle w:val="Normal"/>
        <w:overflowPunct w:val="true"/>
        <w:ind w:right="107" w:hanging="0"/>
        <w:textAlignment w:val="auto"/>
        <w:rPr>
          <w:rFonts w:ascii="Open Sans;Helvetica;sans-serif" w:hAnsi="Open Sans;Helvetica;sans-serif"/>
          <w:b w:val="false"/>
          <w:i w:val="false"/>
          <w:caps w:val="false"/>
          <w:smallCaps w:val="false"/>
          <w:color w:val="1E1E1E"/>
          <w:spacing w:val="0"/>
          <w:sz w:val="23"/>
        </w:rPr>
      </w:pPr>
      <w:r>
        <w:fldChar w:fldCharType="begin"/>
      </w:r>
      <w:r>
        <w:rPr>
          <w:rStyle w:val="InternetLink"/>
          <w:smallCaps w:val="false"/>
          <w:caps w:val="false"/>
          <w:sz w:val="23"/>
          <w:spacing w:val="0"/>
          <w:i w:val="false"/>
          <w:b w:val="false"/>
          <w:szCs w:val="24"/>
          <w:rFonts w:ascii="Open Sans;Helvetica;sans-serif" w:hAnsi="Open Sans;Helvetica;sans-serif"/>
        </w:rPr>
        <w:instrText> HYPERLINK "https://www.womensaid.org.uk/information-support/what-is-domestic-abuse/" \l ":~:text=Domestic abuse is a gendered crime which is,a women or that affects disproportionately.” (CEDAW%2C 1992)."</w:instrText>
      </w:r>
      <w:r>
        <w:rPr>
          <w:rStyle w:val="InternetLink"/>
          <w:smallCaps w:val="false"/>
          <w:caps w:val="false"/>
          <w:sz w:val="23"/>
          <w:spacing w:val="0"/>
          <w:i w:val="false"/>
          <w:b w:val="false"/>
          <w:szCs w:val="24"/>
          <w:rFonts w:ascii="Open Sans;Helvetica;sans-serif" w:hAnsi="Open Sans;Helvetica;sans-serif"/>
        </w:rPr>
        <w:fldChar w:fldCharType="separate"/>
      </w:r>
      <w:r>
        <w:rPr>
          <w:rStyle w:val="InternetLink"/>
          <w:rFonts w:ascii="Open Sans;Helvetica;sans-serif" w:hAnsi="Open Sans;Helvetica;sans-serif"/>
          <w:b w:val="false"/>
          <w:i w:val="false"/>
          <w:caps w:val="false"/>
          <w:smallCaps w:val="false"/>
          <w:color w:val="1E1E1E"/>
          <w:spacing w:val="0"/>
          <w:sz w:val="23"/>
          <w:szCs w:val="24"/>
        </w:rPr>
        <w:t>What is domestic abuse? - Women’s Aid (womensaid.org.uk)</w:t>
      </w:r>
      <w:r>
        <w:rPr>
          <w:rStyle w:val="InternetLink"/>
          <w:smallCaps w:val="false"/>
          <w:caps w:val="false"/>
          <w:sz w:val="23"/>
          <w:spacing w:val="0"/>
          <w:i w:val="false"/>
          <w:b w:val="false"/>
          <w:szCs w:val="24"/>
          <w:rFonts w:ascii="Open Sans;Helvetica;sans-serif" w:hAnsi="Open Sans;Helvetica;sans-serif"/>
        </w:rPr>
        <w:fldChar w:fldCharType="end"/>
      </w:r>
      <w:r>
        <w:rPr>
          <w:rFonts w:ascii="Open Sans;Helvetica;sans-serif" w:hAnsi="Open Sans;Helvetica;sans-serif"/>
          <w:b w:val="false"/>
          <w:i w:val="false"/>
          <w:caps w:val="false"/>
          <w:smallCaps w:val="false"/>
          <w:color w:val="1E1E1E"/>
          <w:spacing w:val="0"/>
          <w:sz w:val="23"/>
          <w:szCs w:val="24"/>
        </w:rPr>
        <w:t xml:space="preserve"> </w:t>
      </w:r>
    </w:p>
    <w:p>
      <w:pPr>
        <w:pStyle w:val="Normal"/>
        <w:overflowPunct w:val="true"/>
        <w:ind w:right="107" w:hanging="0"/>
        <w:textAlignment w:val="auto"/>
        <w:rPr>
          <w:rFonts w:ascii="Open Sans;Helvetica;sans-serif" w:hAnsi="Open Sans;Helvetica;sans-serif"/>
          <w:b w:val="false"/>
          <w:i w:val="false"/>
          <w:caps w:val="false"/>
          <w:smallCaps w:val="false"/>
          <w:color w:val="1E1E1E"/>
          <w:spacing w:val="0"/>
          <w:sz w:val="23"/>
        </w:rPr>
      </w:pPr>
      <w:r>
        <w:rPr>
          <w:b/>
          <w:sz w:val="24"/>
          <w:szCs w:val="24"/>
        </w:rPr>
      </w:r>
    </w:p>
    <w:p>
      <w:pPr>
        <w:pStyle w:val="Normal"/>
        <w:overflowPunct w:val="true"/>
        <w:ind w:right="107" w:hanging="0"/>
        <w:textAlignment w:val="auto"/>
        <w:rPr>
          <w:rFonts w:ascii="Open Sans;Helvetica;sans-serif" w:hAnsi="Open Sans;Helvetica;sans-serif"/>
          <w:b w:val="false"/>
          <w:i w:val="false"/>
          <w:caps w:val="false"/>
          <w:smallCaps w:val="false"/>
          <w:color w:val="1E1E1E"/>
          <w:spacing w:val="0"/>
          <w:sz w:val="23"/>
        </w:rPr>
      </w:pPr>
      <w:r>
        <w:rPr>
          <w:b/>
          <w:sz w:val="24"/>
          <w:szCs w:val="24"/>
        </w:rPr>
      </w:r>
    </w:p>
    <w:p>
      <w:pPr>
        <w:pStyle w:val="Normal"/>
        <w:overflowPunct w:val="true"/>
        <w:ind w:right="107" w:hanging="0"/>
        <w:textAlignment w:val="auto"/>
        <w:rPr>
          <w:b/>
          <w:b/>
          <w:sz w:val="24"/>
          <w:szCs w:val="24"/>
        </w:rPr>
      </w:pPr>
      <w:r>
        <w:rPr>
          <w:b/>
          <w:sz w:val="24"/>
          <w:szCs w:val="24"/>
        </w:rPr>
        <w:t xml:space="preserve">Betari Box – College of Policing (2020) </w:t>
      </w:r>
    </w:p>
    <w:p>
      <w:pPr>
        <w:pStyle w:val="Normal"/>
        <w:overflowPunct w:val="true"/>
        <w:ind w:right="107" w:hanging="0"/>
        <w:textAlignment w:val="auto"/>
        <w:rPr>
          <w:b/>
          <w:b/>
          <w:sz w:val="24"/>
          <w:szCs w:val="24"/>
        </w:rPr>
      </w:pPr>
      <w:hyperlink r:id="rId28">
        <w:r>
          <w:rPr>
            <w:rStyle w:val="InternetLink"/>
            <w:b/>
            <w:sz w:val="24"/>
            <w:szCs w:val="24"/>
          </w:rPr>
          <w:t>Conflict management skills | College of Policing</w:t>
        </w:r>
      </w:hyperlink>
      <w:r>
        <w:rPr>
          <w:b/>
          <w:sz w:val="24"/>
          <w:szCs w:val="24"/>
        </w:rPr>
        <w:t xml:space="preserve"> </w:t>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t xml:space="preserve">Hate Crime and its types - CPS(2017) </w:t>
      </w:r>
    </w:p>
    <w:p>
      <w:pPr>
        <w:pStyle w:val="Normal"/>
        <w:overflowPunct w:val="true"/>
        <w:ind w:right="107" w:hanging="0"/>
        <w:textAlignment w:val="auto"/>
        <w:rPr>
          <w:b/>
          <w:b/>
          <w:sz w:val="24"/>
          <w:szCs w:val="24"/>
        </w:rPr>
      </w:pPr>
      <w:hyperlink r:id="rId29">
        <w:r>
          <w:rPr>
            <w:rStyle w:val="InternetLink"/>
            <w:b/>
            <w:sz w:val="24"/>
            <w:szCs w:val="24"/>
          </w:rPr>
          <w:t>Hate crime | The Crown Prosecution Service (cps.gov.uk)</w:t>
        </w:r>
      </w:hyperlink>
      <w:r>
        <w:rPr>
          <w:b/>
          <w:sz w:val="24"/>
          <w:szCs w:val="24"/>
        </w:rPr>
        <w:t xml:space="preserve"> </w:t>
      </w:r>
    </w:p>
    <w:p>
      <w:pPr>
        <w:pStyle w:val="Normal"/>
        <w:overflowPunct w:val="true"/>
        <w:ind w:right="107" w:hanging="0"/>
        <w:textAlignment w:val="auto"/>
        <w:rPr>
          <w:b/>
          <w:b/>
          <w:sz w:val="24"/>
          <w:szCs w:val="24"/>
        </w:rPr>
      </w:pPr>
      <w:r>
        <w:rPr>
          <w:b/>
          <w:sz w:val="24"/>
          <w:szCs w:val="24"/>
        </w:rPr>
      </w:r>
    </w:p>
    <w:p>
      <w:pPr>
        <w:pStyle w:val="Normal"/>
        <w:overflowPunct w:val="true"/>
        <w:ind w:right="107" w:hanging="0"/>
        <w:jc w:val="both"/>
        <w:textAlignment w:val="auto"/>
        <w:rPr>
          <w:b/>
          <w:b/>
          <w:sz w:val="24"/>
          <w:szCs w:val="24"/>
        </w:rPr>
      </w:pPr>
      <w:r>
        <w:rPr>
          <w:b/>
          <w:sz w:val="24"/>
          <w:szCs w:val="24"/>
        </w:rPr>
        <w:t>(Protection from Harassment Act, 1997)</w:t>
      </w:r>
    </w:p>
    <w:p>
      <w:pPr>
        <w:pStyle w:val="Normal"/>
        <w:overflowPunct w:val="true"/>
        <w:ind w:right="107" w:hanging="0"/>
        <w:jc w:val="both"/>
        <w:textAlignment w:val="auto"/>
        <w:rPr>
          <w:b/>
          <w:b/>
          <w:sz w:val="24"/>
          <w:szCs w:val="24"/>
        </w:rPr>
      </w:pPr>
      <w:hyperlink r:id="rId30">
        <w:r>
          <w:rPr>
            <w:rStyle w:val="InternetLink"/>
            <w:b/>
            <w:sz w:val="24"/>
            <w:szCs w:val="24"/>
          </w:rPr>
          <w:t>Protection from Harassment Act 1997 (legislation.gov.uk)</w:t>
        </w:r>
      </w:hyperlink>
      <w:r>
        <w:rPr>
          <w:b/>
          <w:sz w:val="24"/>
          <w:szCs w:val="24"/>
        </w:rPr>
        <w:t xml:space="preserve"> </w:t>
      </w:r>
    </w:p>
    <w:p>
      <w:pPr>
        <w:pStyle w:val="Normal"/>
        <w:overflowPunct w:val="true"/>
        <w:ind w:right="107" w:hanging="0"/>
        <w:textAlignment w:val="auto"/>
        <w:rPr>
          <w:b/>
          <w:b/>
          <w:sz w:val="24"/>
          <w:szCs w:val="24"/>
        </w:rPr>
      </w:pPr>
      <w:r>
        <w:rPr>
          <w:b/>
          <w:sz w:val="24"/>
          <w:szCs w:val="24"/>
        </w:rPr>
      </w:r>
    </w:p>
    <w:p>
      <w:pPr>
        <w:pStyle w:val="Normal"/>
        <w:overflowPunct w:val="true"/>
        <w:ind w:right="107" w:hanging="0"/>
        <w:textAlignment w:val="auto"/>
        <w:rPr>
          <w:b/>
          <w:b/>
          <w:sz w:val="24"/>
          <w:szCs w:val="24"/>
        </w:rPr>
      </w:pPr>
      <w:r>
        <w:rPr>
          <w:b/>
          <w:sz w:val="24"/>
          <w:szCs w:val="24"/>
        </w:rPr>
      </w:r>
    </w:p>
    <w:p>
      <w:pPr>
        <w:pStyle w:val="Normal"/>
        <w:pBdr>
          <w:top w:val="single" w:sz="6" w:space="1" w:color="000000"/>
          <w:left w:val="single" w:sz="6" w:space="1" w:color="000000"/>
          <w:bottom w:val="single" w:sz="6" w:space="1" w:color="000000"/>
          <w:right w:val="single" w:sz="6" w:space="1" w:color="000000"/>
        </w:pBdr>
        <w:ind w:right="107" w:hanging="0"/>
        <w:jc w:val="both"/>
        <w:rPr>
          <w:b/>
          <w:b/>
          <w:sz w:val="24"/>
          <w:szCs w:val="24"/>
        </w:rPr>
      </w:pPr>
      <w:r>
        <w:rPr>
          <w:b/>
          <w:sz w:val="24"/>
          <w:szCs w:val="24"/>
        </w:rPr>
      </w:r>
    </w:p>
    <w:p>
      <w:pPr>
        <w:pStyle w:val="Normal"/>
        <w:pBdr>
          <w:top w:val="single" w:sz="6" w:space="1" w:color="000000"/>
          <w:left w:val="single" w:sz="6" w:space="1" w:color="000000"/>
          <w:bottom w:val="single" w:sz="6" w:space="1" w:color="000000"/>
          <w:right w:val="single" w:sz="6" w:space="1" w:color="000000"/>
        </w:pBdr>
        <w:ind w:right="107" w:hanging="0"/>
        <w:jc w:val="both"/>
        <w:rPr>
          <w:b/>
          <w:b/>
          <w:bCs/>
          <w:sz w:val="24"/>
          <w:szCs w:val="24"/>
        </w:rPr>
      </w:pPr>
      <w:r>
        <w:rPr>
          <w:b/>
          <w:bCs/>
          <w:sz w:val="24"/>
          <w:szCs w:val="24"/>
        </w:rPr>
        <w:t>CONFIDENTIALITY and PLAGIARISM – confirmed by submission through Turnitin</w:t>
      </w:r>
    </w:p>
    <w:p>
      <w:pPr>
        <w:sectPr>
          <w:headerReference w:type="even" r:id="rId31"/>
          <w:headerReference w:type="default" r:id="rId32"/>
          <w:headerReference w:type="first" r:id="rId33"/>
          <w:footerReference w:type="even" r:id="rId34"/>
          <w:footerReference w:type="default" r:id="rId35"/>
          <w:footerReference w:type="first" r:id="rId36"/>
          <w:type w:val="nextPage"/>
          <w:pgSz w:w="11906" w:h="16838"/>
          <w:pgMar w:left="1080" w:right="1080" w:header="720" w:top="1021" w:footer="720" w:bottom="1021" w:gutter="0"/>
          <w:pgNumType w:fmt="decimal"/>
          <w:formProt w:val="false"/>
          <w:titlePg/>
          <w:textDirection w:val="lrTb"/>
          <w:docGrid w:type="default" w:linePitch="272" w:charSpace="8192"/>
        </w:sectPr>
        <w:pStyle w:val="Normal"/>
        <w:pBdr>
          <w:top w:val="single" w:sz="6" w:space="1" w:color="000000"/>
          <w:left w:val="single" w:sz="6" w:space="1" w:color="000000"/>
          <w:bottom w:val="single" w:sz="6" w:space="1" w:color="000000"/>
          <w:right w:val="single" w:sz="6" w:space="1" w:color="000000"/>
        </w:pBdr>
        <w:ind w:right="107" w:hanging="0"/>
        <w:jc w:val="both"/>
        <w:rPr>
          <w:sz w:val="24"/>
          <w:szCs w:val="24"/>
        </w:rPr>
      </w:pPr>
      <w:r>
        <w:rPr>
          <w:sz w:val="24"/>
          <w:szCs w:val="24"/>
        </w:rPr>
      </w:r>
    </w:p>
    <w:p>
      <w:pPr>
        <w:pStyle w:val="Normal"/>
        <w:jc w:val="both"/>
        <w:rPr>
          <w:color w:val="000000" w:themeColor="text1"/>
          <w:sz w:val="24"/>
          <w:szCs w:val="24"/>
        </w:rPr>
      </w:pPr>
      <w:r>
        <w:rPr>
          <w:color w:val="000000" w:themeColor="text1"/>
          <w:sz w:val="24"/>
          <w:szCs w:val="24"/>
        </w:rPr>
      </w:r>
    </w:p>
    <w:p>
      <w:pPr>
        <w:pStyle w:val="Normal"/>
        <w:jc w:val="both"/>
        <w:rPr>
          <w:color w:val="000000" w:themeColor="text1"/>
          <w:sz w:val="24"/>
          <w:szCs w:val="24"/>
        </w:rPr>
      </w:pPr>
      <w:r>
        <w:rPr>
          <w:color w:val="000000" w:themeColor="text1"/>
          <w:sz w:val="24"/>
          <w:szCs w:val="24"/>
        </w:rPr>
      </w:r>
    </w:p>
    <w:p>
      <w:pPr>
        <w:pStyle w:val="Normal"/>
        <w:jc w:val="both"/>
        <w:rPr>
          <w:color w:val="000000" w:themeColor="text1"/>
          <w:sz w:val="24"/>
          <w:szCs w:val="24"/>
          <w:highlight w:val="yellow"/>
        </w:rPr>
      </w:pPr>
      <w:r>
        <w:rPr>
          <w:rFonts w:eastAsia="Arial"/>
          <w:color w:val="000000" w:themeColor="text1"/>
          <w:sz w:val="24"/>
          <w:szCs w:val="24"/>
          <w:highlight w:val="yellow"/>
        </w:rPr>
        <w:t>Please sign to confirm the work submitted is your own work and has not been copied from another.</w:t>
      </w:r>
      <w:r>
        <w:rPr>
          <w:rFonts w:eastAsia="Arial"/>
          <w:color w:val="000000" w:themeColor="text1"/>
          <w:sz w:val="24"/>
          <w:szCs w:val="24"/>
        </w:rPr>
        <w:t xml:space="preserve"> </w:t>
      </w:r>
    </w:p>
    <w:p>
      <w:pPr>
        <w:pStyle w:val="Normal"/>
        <w:jc w:val="both"/>
        <w:rPr>
          <w:color w:val="000000" w:themeColor="text1"/>
          <w:sz w:val="24"/>
          <w:szCs w:val="24"/>
          <w:highlight w:val="yellow"/>
        </w:rPr>
      </w:pPr>
      <w:r>
        <w:rPr>
          <w:color w:val="000000" w:themeColor="text1"/>
          <w:sz w:val="24"/>
          <w:szCs w:val="24"/>
          <w:highlight w:val="yellow"/>
        </w:rPr>
      </w:r>
    </w:p>
    <w:p>
      <w:pPr>
        <w:pStyle w:val="Normal"/>
        <w:jc w:val="both"/>
        <w:rPr>
          <w:color w:val="000000" w:themeColor="text1"/>
          <w:sz w:val="24"/>
          <w:szCs w:val="24"/>
          <w:highlight w:val="yellow"/>
        </w:rPr>
      </w:pPr>
      <w:r>
        <w:rPr>
          <w:rFonts w:eastAsia="Arial"/>
          <w:color w:val="000000" w:themeColor="text1"/>
          <w:sz w:val="24"/>
          <w:szCs w:val="24"/>
          <w:highlight w:val="yellow"/>
        </w:rPr>
        <w:t>Signed: …...................</w:t>
      </w:r>
    </w:p>
    <w:p>
      <w:pPr>
        <w:pStyle w:val="Normal"/>
        <w:jc w:val="both"/>
        <w:rPr>
          <w:color w:val="000000" w:themeColor="text1"/>
          <w:sz w:val="24"/>
          <w:szCs w:val="24"/>
          <w:highlight w:val="yellow"/>
        </w:rPr>
      </w:pPr>
      <w:r>
        <w:rPr>
          <w:color w:val="000000" w:themeColor="text1"/>
          <w:sz w:val="24"/>
          <w:szCs w:val="24"/>
          <w:highlight w:val="yellow"/>
        </w:rPr>
      </w:r>
    </w:p>
    <w:p>
      <w:pPr>
        <w:pStyle w:val="Normal"/>
        <w:jc w:val="both"/>
        <w:rPr>
          <w:color w:val="000000" w:themeColor="text1"/>
          <w:sz w:val="24"/>
          <w:szCs w:val="24"/>
          <w:highlight w:val="yellow"/>
        </w:rPr>
      </w:pPr>
      <w:r>
        <w:rPr>
          <w:rFonts w:eastAsia="Arial"/>
          <w:color w:val="000000" w:themeColor="text1"/>
          <w:sz w:val="24"/>
          <w:szCs w:val="24"/>
          <w:highlight w:val="yellow"/>
        </w:rPr>
        <w:t>Date: ….......................</w:t>
      </w:r>
    </w:p>
    <w:p>
      <w:pPr>
        <w:pStyle w:val="Normal"/>
        <w:rPr/>
      </w:pPr>
      <w:r>
        <w:rPr>
          <w:rFonts w:eastAsia="Arial"/>
          <w:b/>
          <w:bCs/>
          <w:sz w:val="24"/>
          <w:szCs w:val="24"/>
        </w:rPr>
        <w:t xml:space="preserve"> </w:t>
      </w:r>
    </w:p>
    <w:p>
      <w:pPr>
        <w:pStyle w:val="Normal"/>
        <w:rPr/>
      </w:pPr>
      <w:r>
        <w:rPr>
          <w:rFonts w:eastAsia="Arial"/>
          <w:b/>
          <w:bCs/>
          <w:sz w:val="24"/>
          <w:szCs w:val="24"/>
        </w:rPr>
        <w:t xml:space="preserve"> </w:t>
      </w:r>
    </w:p>
    <w:p>
      <w:pPr>
        <w:pStyle w:val="Normal"/>
        <w:rPr/>
      </w:pPr>
      <w:r>
        <w:rPr/>
        <w:t xml:space="preserve">Legilsatio </w:t>
      </w:r>
      <w:hyperlink r:id="rId37">
        <w:r>
          <w:rPr>
            <w:rStyle w:val="InternetLink"/>
          </w:rPr>
          <w:t>https://www.legislation.gov.uk/ukpga/2021/17/section/1</w:t>
        </w:r>
      </w:hyperlink>
    </w:p>
    <w:p>
      <w:pPr>
        <w:pStyle w:val="Normal"/>
        <w:rPr/>
      </w:pPr>
      <w:r>
        <w:rPr/>
      </w:r>
    </w:p>
    <w:sectPr>
      <w:headerReference w:type="even" r:id="rId38"/>
      <w:headerReference w:type="default" r:id="rId39"/>
      <w:headerReference w:type="first" r:id="rId40"/>
      <w:footerReference w:type="even" r:id="rId41"/>
      <w:footerReference w:type="default" r:id="rId42"/>
      <w:footerReference w:type="first" r:id="rId43"/>
      <w:type w:val="nextPage"/>
      <w:pgSz w:w="11906" w:h="16838"/>
      <w:pgMar w:left="1080" w:right="1080" w:header="720" w:top="1021" w:footer="720" w:bottom="1021" w:gutter="0"/>
      <w:pgNumType w:fmt="decimal"/>
      <w:formProt w:val="false"/>
      <w:titlePg/>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Cambria">
    <w:charset w:val="00"/>
    <w:family w:val="roman"/>
    <w:pitch w:val="variable"/>
  </w:font>
  <w:font w:name="Tahoma">
    <w:charset w:val="00"/>
    <w:family w:val="roman"/>
    <w:pitch w:val="variable"/>
  </w:font>
  <w:font w:name="Calibri">
    <w:charset w:val="00"/>
    <w:family w:val="roman"/>
    <w:pitch w:val="variable"/>
  </w:font>
  <w:font w:name="Open Sans">
    <w:altName w:val="Helvetica"/>
    <w:charset w:val="00"/>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3" w:name="TITUS1FooterEvenPages"/>
    <w:bookmarkEnd w:id="3"/>
  </w:p>
  <w:p>
    <w:pPr>
      <w:pStyle w:val="Footer"/>
      <w:jc w:val="right"/>
      <w:rPr/>
    </w:pPr>
    <w:r>
      <w:rPr/>
      <w:fldChar w:fldCharType="begin"/>
    </w:r>
    <w:r>
      <w:rPr/>
      <w:instrText> PAGE </w:instrText>
    </w:r>
    <w:r>
      <w:rPr/>
      <w:fldChar w:fldCharType="separate"/>
    </w:r>
    <w:r>
      <w:rPr/>
      <w:t>2</w:t>
    </w:r>
    <w:r>
      <w:rPr/>
      <w:fldChar w:fldCharType="end"/>
    </w:r>
  </w:p>
  <w:p>
    <w:pPr>
      <w:pStyle w:val="Footer"/>
      <w:ind w:right="360" w:hanging="0"/>
      <w:jc w:val="center"/>
      <w:rPr/>
    </w:pPr>
    <w:r>
      <w:rPr/>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4" w:name="TITUS1FooterPrimary"/>
    <w:bookmarkEnd w:id="4"/>
  </w:p>
  <w:p>
    <w:pPr>
      <w:pStyle w:val="Footer"/>
      <w:jc w:val="right"/>
      <w:rPr/>
    </w:pPr>
    <w:r>
      <w:rPr/>
      <w:fldChar w:fldCharType="begin"/>
    </w:r>
    <w:r>
      <w:rPr/>
      <w:instrText> PAGE </w:instrText>
    </w:r>
    <w:r>
      <w:rPr/>
      <w:fldChar w:fldCharType="separate"/>
    </w:r>
    <w:r>
      <w:rPr/>
      <w:t>5</w:t>
    </w:r>
    <w:r>
      <w:rPr/>
      <w:fldChar w:fldCharType="end"/>
    </w:r>
  </w:p>
  <w:p>
    <w:pPr>
      <w:pStyle w:val="Footer"/>
      <w:ind w:right="360" w:hanging="0"/>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5" w:name="TITUS1FooterFirstPage"/>
    <w:bookmarkEnd w:id="5"/>
  </w:p>
  <w:p>
    <w:pPr>
      <w:pStyle w:val="Footer"/>
      <w:jc w:val="right"/>
      <w:rPr/>
    </w:pPr>
    <w:r>
      <w:rPr/>
      <w:fldChar w:fldCharType="begin"/>
    </w:r>
    <w:r>
      <w:rPr/>
      <w:instrText> PAGE </w:instrText>
    </w:r>
    <w:r>
      <w:rPr/>
      <w:fldChar w:fldCharType="separate"/>
    </w:r>
    <w:r>
      <w:rPr/>
      <w:t>1</w:t>
    </w:r>
    <w:r>
      <w:rPr/>
      <w:fldChar w:fldCharType="end"/>
    </w:r>
  </w:p>
  <w:p>
    <w:pPr>
      <w:pStyle w:val="Footer"/>
      <w:ind w:right="360" w:hanging="0"/>
      <w:jc w:val="center"/>
      <w:rPr/>
    </w:pPr>
    <w:r>
      <w:rPr/>
    </w:r>
  </w:p>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10" w:name="TITUS2FooterEvenPages"/>
    <w:bookmarkEnd w:id="10"/>
  </w:p>
  <w:p>
    <w:pPr>
      <w:pStyle w:val="Footer"/>
      <w:jc w:val="right"/>
      <w:rPr/>
    </w:pPr>
    <w:r>
      <w:rPr/>
    </w:r>
  </w:p>
  <w:p>
    <w:pPr>
      <w:pStyle w:val="Footer"/>
      <w:jc w:val="right"/>
      <w:rPr/>
    </w:pPr>
    <w:r>
      <w:rPr/>
      <w:fldChar w:fldCharType="begin"/>
    </w:r>
    <w:r>
      <w:rPr/>
      <w:instrText> PAGE </w:instrText>
    </w:r>
    <w:r>
      <w:rPr/>
      <w:fldChar w:fldCharType="separate"/>
    </w:r>
    <w:r>
      <w:rPr/>
      <w:t>18</w:t>
    </w:r>
    <w:r>
      <w:rPr/>
      <w:fldChar w:fldCharType="end"/>
    </w:r>
  </w:p>
  <w:p>
    <w:pPr>
      <w:pStyle w:val="Footer"/>
      <w:ind w:right="360" w:hanging="0"/>
      <w:jc w:val="center"/>
      <w:rPr/>
    </w:pPr>
    <w:r>
      <w:rPr/>
    </w:r>
  </w:p>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11" w:name="TITUS2FooterPrimary"/>
    <w:bookmarkEnd w:id="11"/>
  </w:p>
  <w:p>
    <w:pPr>
      <w:pStyle w:val="Footer"/>
      <w:jc w:val="right"/>
      <w:rPr/>
    </w:pPr>
    <w:r>
      <w:rPr/>
    </w:r>
  </w:p>
  <w:p>
    <w:pPr>
      <w:pStyle w:val="Footer"/>
      <w:jc w:val="right"/>
      <w:rPr/>
    </w:pPr>
    <w:r>
      <w:rPr/>
      <w:fldChar w:fldCharType="begin"/>
    </w:r>
    <w:r>
      <w:rPr/>
      <w:instrText> PAGE </w:instrText>
    </w:r>
    <w:r>
      <w:rPr/>
      <w:fldChar w:fldCharType="separate"/>
    </w:r>
    <w:r>
      <w:rPr/>
      <w:t>19</w:t>
    </w:r>
    <w:r>
      <w:rPr/>
      <w:fldChar w:fldCharType="end"/>
    </w:r>
  </w:p>
  <w:p>
    <w:pPr>
      <w:pStyle w:val="Footer"/>
      <w:ind w:right="360" w:hanging="0"/>
      <w:jc w:val="cen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12" w:name="TITUS2FooterFirstPage"/>
    <w:bookmarkEnd w:id="12"/>
  </w:p>
  <w:p>
    <w:pPr>
      <w:pStyle w:val="Footer"/>
      <w:jc w:val="right"/>
      <w:rPr/>
    </w:pPr>
    <w:r>
      <w:rPr/>
    </w:r>
  </w:p>
  <w:p>
    <w:pPr>
      <w:pStyle w:val="Footer"/>
      <w:jc w:val="right"/>
      <w:rPr/>
    </w:pPr>
    <w:r>
      <w:rPr/>
      <w:fldChar w:fldCharType="begin"/>
    </w:r>
    <w:r>
      <w:rPr/>
      <w:instrText> PAGE </w:instrText>
    </w:r>
    <w:r>
      <w:rPr/>
      <w:fldChar w:fldCharType="separate"/>
    </w:r>
    <w:r>
      <w:rPr/>
      <w:t>8</w:t>
    </w:r>
    <w:r>
      <w:rPr/>
      <w:fldChar w:fldCharType="end"/>
    </w:r>
  </w:p>
  <w:p>
    <w:pPr>
      <w:pStyle w:val="Footer"/>
      <w:ind w:right="360" w:hanging="0"/>
      <w:jc w:val="center"/>
      <w:rPr/>
    </w:pPr>
    <w:r>
      <w:rPr/>
    </w:r>
  </w:p>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16" w:name="TITUS3FooterEvenPages"/>
    <w:bookmarkEnd w:id="16"/>
  </w:p>
  <w:p>
    <w:pPr>
      <w:pStyle w:val="Footer"/>
      <w:jc w:val="right"/>
      <w:rPr/>
    </w:pPr>
    <w:r>
      <w:rPr/>
    </w:r>
  </w:p>
  <w:p>
    <w:pPr>
      <w:pStyle w:val="Footer"/>
      <w:jc w:val="right"/>
      <w:rPr/>
    </w:pPr>
    <w:r>
      <w:rPr/>
      <w:fldChar w:fldCharType="begin"/>
    </w:r>
    <w:r>
      <w:rPr/>
      <w:instrText> PAGE </w:instrText>
    </w:r>
    <w:r>
      <w:rPr/>
      <w:fldChar w:fldCharType="separate"/>
    </w:r>
    <w:r>
      <w:rPr/>
      <w:t>22</w:t>
    </w:r>
    <w:r>
      <w:rPr/>
      <w:fldChar w:fldCharType="end"/>
    </w:r>
  </w:p>
  <w:p>
    <w:pPr>
      <w:pStyle w:val="Footer"/>
      <w:ind w:right="360" w:hanging="0"/>
      <w:jc w:val="center"/>
      <w:rPr/>
    </w:pPr>
    <w:r>
      <w:rPr/>
    </w:r>
  </w:p>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17" w:name="TITUS3FooterPrimary"/>
    <w:bookmarkEnd w:id="17"/>
  </w:p>
  <w:p>
    <w:pPr>
      <w:pStyle w:val="Footer"/>
      <w:jc w:val="right"/>
      <w:rPr/>
    </w:pPr>
    <w:r>
      <w:rPr/>
    </w:r>
  </w:p>
  <w:p>
    <w:pPr>
      <w:pStyle w:val="Footer"/>
      <w:jc w:val="right"/>
      <w:rPr/>
    </w:pPr>
    <w:r>
      <w:rPr/>
      <w:fldChar w:fldCharType="begin"/>
    </w:r>
    <w:r>
      <w:rPr/>
      <w:instrText> PAGE </w:instrText>
    </w:r>
    <w:r>
      <w:rPr/>
      <w:fldChar w:fldCharType="separate"/>
    </w:r>
    <w:r>
      <w:rPr/>
      <w:t>21</w:t>
    </w:r>
    <w:r>
      <w:rPr/>
      <w:fldChar w:fldCharType="end"/>
    </w:r>
  </w:p>
  <w:p>
    <w:pPr>
      <w:pStyle w:val="Footer"/>
      <w:ind w:right="360" w:hanging="0"/>
      <w:jc w:val="center"/>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18" w:name="TITUS3FooterFirstPage"/>
    <w:bookmarkEnd w:id="18"/>
  </w:p>
  <w:p>
    <w:pPr>
      <w:pStyle w:val="Footer"/>
      <w:jc w:val="right"/>
      <w:rPr/>
    </w:pPr>
    <w:r>
      <w:rPr/>
    </w:r>
  </w:p>
  <w:p>
    <w:pPr>
      <w:pStyle w:val="Footer"/>
      <w:jc w:val="right"/>
      <w:rPr/>
    </w:pPr>
    <w:r>
      <w:rPr/>
      <w:fldChar w:fldCharType="begin"/>
    </w:r>
    <w:r>
      <w:rPr/>
      <w:instrText> PAGE </w:instrText>
    </w:r>
    <w:r>
      <w:rPr/>
      <w:fldChar w:fldCharType="separate"/>
    </w:r>
    <w:r>
      <w:rPr/>
      <w:t>20</w:t>
    </w:r>
    <w:r>
      <w:rPr/>
      <w:fldChar w:fldCharType="end"/>
    </w:r>
  </w:p>
  <w:p>
    <w:pPr>
      <w:pStyle w:val="Footer"/>
      <w:ind w:right="360" w:hanging="0"/>
      <w:jc w:val="center"/>
      <w:rPr/>
    </w:pPr>
    <w:r>
      <w:rPr/>
    </w:r>
  </w:p>
  <w:p>
    <w:pPr>
      <w:pStyle w:val="Footer"/>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22" w:name="TITUS4FooterEvenPages"/>
    <w:bookmarkEnd w:id="22"/>
  </w:p>
  <w:p>
    <w:pPr>
      <w:pStyle w:val="Footer"/>
      <w:jc w:val="right"/>
      <w:rPr/>
    </w:pPr>
    <w:r>
      <w:rPr/>
    </w:r>
  </w:p>
  <w:p>
    <w:pPr>
      <w:pStyle w:val="Footer"/>
      <w:jc w:val="right"/>
      <w:rPr/>
    </w:pPr>
    <w:r>
      <w:rPr/>
      <w:fldChar w:fldCharType="begin"/>
    </w:r>
    <w:r>
      <w:rPr/>
      <w:instrText> PAGE </w:instrText>
    </w:r>
    <w:r>
      <w:rPr/>
      <w:fldChar w:fldCharType="separate"/>
    </w:r>
    <w:r>
      <w:rPr/>
      <w:t>0</w:t>
    </w:r>
    <w:r>
      <w:rPr/>
      <w:fldChar w:fldCharType="end"/>
    </w:r>
  </w:p>
  <w:p>
    <w:pPr>
      <w:pStyle w:val="Footer"/>
      <w:ind w:right="360" w:hanging="0"/>
      <w:jc w:val="center"/>
      <w:rPr/>
    </w:pPr>
    <w:r>
      <w:rPr/>
    </w:r>
  </w:p>
  <w:p>
    <w:pPr>
      <w:pStyle w:val="Footer"/>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23" w:name="TITUS4FooterPrimary"/>
    <w:bookmarkEnd w:id="23"/>
  </w:p>
  <w:p>
    <w:pPr>
      <w:pStyle w:val="Footer"/>
      <w:jc w:val="right"/>
      <w:rPr/>
    </w:pPr>
    <w:r>
      <w:rPr/>
    </w:r>
  </w:p>
  <w:p>
    <w:pPr>
      <w:pStyle w:val="Footer"/>
      <w:jc w:val="right"/>
      <w:rPr/>
    </w:pPr>
    <w:r>
      <w:rPr/>
      <w:fldChar w:fldCharType="begin"/>
    </w:r>
    <w:r>
      <w:rPr/>
      <w:instrText> PAGE </w:instrText>
    </w:r>
    <w:r>
      <w:rPr/>
      <w:fldChar w:fldCharType="separate"/>
    </w:r>
    <w:r>
      <w:rPr/>
      <w:t>25</w:t>
    </w:r>
    <w:r>
      <w:rPr/>
      <w:fldChar w:fldCharType="end"/>
    </w:r>
  </w:p>
  <w:p>
    <w:pPr>
      <w:pStyle w:val="Footer"/>
      <w:ind w:right="360" w:hanging="0"/>
      <w:jc w:val="center"/>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7"/>
      </w:rPr>
    </w:pPr>
    <w:r>
      <w:rPr>
        <w:sz w:val="17"/>
      </w:rPr>
      <w:t> </w:t>
    </w:r>
    <w:bookmarkStart w:id="24" w:name="TITUS4FooterFirstPage"/>
    <w:bookmarkEnd w:id="24"/>
  </w:p>
  <w:p>
    <w:pPr>
      <w:pStyle w:val="Footer"/>
      <w:jc w:val="right"/>
      <w:rPr/>
    </w:pPr>
    <w:r>
      <w:rPr/>
    </w:r>
  </w:p>
  <w:p>
    <w:pPr>
      <w:pStyle w:val="Footer"/>
      <w:jc w:val="right"/>
      <w:rPr/>
    </w:pPr>
    <w:r>
      <w:rPr/>
      <w:fldChar w:fldCharType="begin"/>
    </w:r>
    <w:r>
      <w:rPr/>
      <w:instrText> PAGE </w:instrText>
    </w:r>
    <w:r>
      <w:rPr/>
      <w:fldChar w:fldCharType="separate"/>
    </w:r>
    <w:r>
      <w:rPr/>
      <w:t>24</w:t>
    </w:r>
    <w:r>
      <w:rPr/>
      <w:fldChar w:fldCharType="end"/>
    </w:r>
  </w:p>
  <w:p>
    <w:pPr>
      <w:pStyle w:val="Footer"/>
      <w:ind w:right="360" w:hanging="0"/>
      <w:jc w:val="center"/>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0" w:name="TITUS1HeaderEvenPages"/>
    <w:bookmarkEnd w:id="0"/>
  </w:p>
  <w:p>
    <w:pPr>
      <w:pStyle w:val="Header"/>
      <w:rPr/>
    </w:pPr>
    <w:r>
      <w:rPr/>
    </w:r>
  </w:p>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1" w:name="TITUS1HeaderPrimary"/>
    <w:bookmarkEnd w:id="1"/>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2" w:name="TITUS1HeaderFirstPage"/>
    <w:bookmarkEnd w:id="2"/>
  </w:p>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7" w:name="TITUS2HeaderEvenPages"/>
    <w:bookmarkEnd w:id="7"/>
  </w:p>
  <w:p>
    <w:pPr>
      <w:pStyle w:val="Header"/>
      <w:rPr/>
    </w:pPr>
    <w:r>
      <w:rPr/>
    </w:r>
  </w:p>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8" w:name="TITUS2HeaderPrimary"/>
    <w:bookmarkEnd w:id="8"/>
  </w:p>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9" w:name="TITUS2HeaderFirstPage"/>
    <w:bookmarkEnd w:id="9"/>
  </w:p>
  <w:p>
    <w:pPr>
      <w:pStyle w:val="Header"/>
      <w:rPr/>
    </w:pPr>
    <w:r>
      <w:rPr/>
    </w:r>
  </w:p>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13" w:name="TITUS3HeaderEvenPages"/>
    <w:bookmarkEnd w:id="13"/>
  </w:p>
  <w:p>
    <w:pPr>
      <w:pStyle w:val="Header"/>
      <w:rPr/>
    </w:pPr>
    <w:r>
      <w:rPr/>
    </w:r>
  </w:p>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14" w:name="TITUS3HeaderPrimary"/>
    <w:bookmarkEnd w:id="14"/>
  </w:p>
  <w:p>
    <w:pPr>
      <w:pStyle w:val="Header"/>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15" w:name="TITUS3HeaderFirstPage"/>
    <w:bookmarkEnd w:id="15"/>
  </w:p>
  <w:p>
    <w:pPr>
      <w:pStyle w:val="Header"/>
      <w:rPr/>
    </w:pPr>
    <w:r>
      <w:rPr/>
    </w:r>
  </w:p>
  <w:p>
    <w:pPr>
      <w:pStyle w:val="Header"/>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19" w:name="TITUS4HeaderEvenPages"/>
    <w:bookmarkEnd w:id="19"/>
  </w:p>
  <w:p>
    <w:pPr>
      <w:pStyle w:val="Header"/>
      <w:rPr/>
    </w:pPr>
    <w:r>
      <w:rPr/>
    </w:r>
  </w:p>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20" w:name="TITUS4HeaderPrimary"/>
    <w:bookmarkEnd w:id="20"/>
  </w:p>
  <w:p>
    <w:pPr>
      <w:pStyle w:val="Header"/>
      <w:rPr/>
    </w:pPr>
    <w:r>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17"/>
      </w:rPr>
    </w:pPr>
    <w:r>
      <w:rPr>
        <w:sz w:val="17"/>
      </w:rPr>
      <w:t> </w:t>
    </w:r>
    <w:bookmarkStart w:id="21" w:name="TITUS4HeaderFirstPage"/>
    <w:bookmarkEnd w:id="21"/>
  </w:p>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38"/>
  <w:defaultTabStop w:val="72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zh-TW"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zh-TW"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widowControl/>
      <w:overflowPunct w:val="false"/>
      <w:bidi w:val="0"/>
      <w:jc w:val="left"/>
      <w:textAlignment w:val="baseline"/>
    </w:pPr>
    <w:rPr>
      <w:rFonts w:ascii="Arial" w:hAnsi="Arial" w:eastAsia="Times New Roman" w:cs="Arial"/>
      <w:color w:val="000000"/>
      <w:kern w:val="0"/>
      <w:sz w:val="20"/>
      <w:szCs w:val="20"/>
      <w:lang w:val="en-GB" w:eastAsia="en-GB" w:bidi="ar-SA"/>
    </w:rPr>
  </w:style>
  <w:style w:type="paragraph" w:styleId="Heading1">
    <w:name w:val="Heading 1"/>
    <w:basedOn w:val="Normal"/>
    <w:next w:val="Normal"/>
    <w:qFormat/>
    <w:pPr>
      <w:keepNext w:val="true"/>
      <w:spacing w:before="240" w:after="60"/>
      <w:outlineLvl w:val="0"/>
    </w:pPr>
    <w:rPr>
      <w:b/>
      <w:kern w:val="2"/>
      <w:sz w:val="28"/>
    </w:rPr>
  </w:style>
  <w:style w:type="paragraph" w:styleId="Heading2">
    <w:name w:val="Heading 2"/>
    <w:basedOn w:val="Normal"/>
    <w:next w:val="Normal"/>
    <w:link w:val="Heading2Char"/>
    <w:uiPriority w:val="9"/>
    <w:qFormat/>
    <w:rsid w:val="00f927a1"/>
    <w:pPr>
      <w:keepNext w:val="true"/>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qFormat/>
    <w:rPr/>
  </w:style>
  <w:style w:type="character" w:styleId="Pagenumber">
    <w:name w:val="page number"/>
    <w:semiHidden/>
    <w:qFormat/>
    <w:rPr/>
  </w:style>
  <w:style w:type="character" w:styleId="InternetLink">
    <w:name w:val="Internet Link"/>
    <w:rsid w:val="00ea4d48"/>
    <w:rPr>
      <w:color w:val="0000FF"/>
      <w:u w:val="single"/>
    </w:rPr>
  </w:style>
  <w:style w:type="character" w:styleId="Annotationreference">
    <w:name w:val="annotation reference"/>
    <w:uiPriority w:val="99"/>
    <w:semiHidden/>
    <w:unhideWhenUsed/>
    <w:qFormat/>
    <w:rsid w:val="0057780f"/>
    <w:rPr>
      <w:sz w:val="16"/>
      <w:szCs w:val="16"/>
    </w:rPr>
  </w:style>
  <w:style w:type="character" w:styleId="CommentTextChar" w:customStyle="1">
    <w:name w:val="Comment Text Char"/>
    <w:link w:val="CommentText"/>
    <w:uiPriority w:val="99"/>
    <w:semiHidden/>
    <w:qFormat/>
    <w:rsid w:val="0057780f"/>
    <w:rPr>
      <w:rFonts w:ascii="Arial" w:hAnsi="Arial" w:cs="Arial"/>
      <w:color w:val="000000"/>
    </w:rPr>
  </w:style>
  <w:style w:type="character" w:styleId="CommentSubjectChar" w:customStyle="1">
    <w:name w:val="Comment Subject Char"/>
    <w:link w:val="CommentSubject"/>
    <w:uiPriority w:val="99"/>
    <w:semiHidden/>
    <w:qFormat/>
    <w:rsid w:val="0057780f"/>
    <w:rPr>
      <w:rFonts w:ascii="Arial" w:hAnsi="Arial" w:cs="Arial"/>
      <w:b/>
      <w:bCs/>
      <w:color w:val="000000"/>
    </w:rPr>
  </w:style>
  <w:style w:type="character" w:styleId="Heading2Char" w:customStyle="1">
    <w:name w:val="Heading 2 Char"/>
    <w:link w:val="Heading2"/>
    <w:uiPriority w:val="9"/>
    <w:semiHidden/>
    <w:qFormat/>
    <w:rsid w:val="00f927a1"/>
    <w:rPr>
      <w:rFonts w:ascii="Cambria" w:hAnsi="Cambria" w:eastAsia="Times New Roman" w:cs="Times New Roman"/>
      <w:b/>
      <w:bCs/>
      <w:i/>
      <w:iCs/>
      <w:color w:val="000000"/>
      <w:sz w:val="28"/>
      <w:szCs w:val="28"/>
    </w:rPr>
  </w:style>
  <w:style w:type="character" w:styleId="BodyText3Char" w:customStyle="1">
    <w:name w:val="Body Text 3 Char"/>
    <w:link w:val="BodyText3"/>
    <w:uiPriority w:val="99"/>
    <w:semiHidden/>
    <w:qFormat/>
    <w:rsid w:val="00f927a1"/>
    <w:rPr>
      <w:rFonts w:ascii="Arial" w:hAnsi="Arial" w:cs="Arial"/>
      <w:color w:val="000000"/>
      <w:sz w:val="16"/>
      <w:szCs w:val="16"/>
    </w:rPr>
  </w:style>
  <w:style w:type="character" w:styleId="FooterChar" w:customStyle="1">
    <w:name w:val="Footer Char"/>
    <w:link w:val="Footer"/>
    <w:uiPriority w:val="99"/>
    <w:qFormat/>
    <w:rsid w:val="00727c4c"/>
    <w:rPr>
      <w:rFonts w:ascii="Arial" w:hAnsi="Arial" w:cs="Arial"/>
      <w:color w:val="000000"/>
    </w:rPr>
  </w:style>
  <w:style w:type="character" w:styleId="UnresolvedMention">
    <w:name w:val="Unresolved Mention"/>
    <w:basedOn w:val="DefaultParagraphFont"/>
    <w:uiPriority w:val="99"/>
    <w:semiHidden/>
    <w:unhideWhenUsed/>
    <w:qFormat/>
    <w:rsid w:val="005b66b7"/>
    <w:rPr>
      <w:color w:val="605E5C"/>
      <w:shd w:fill="E1DFDD" w:val="clear"/>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Arial"/>
      <w:sz w:val="24"/>
      <w:szCs w:val="24"/>
    </w:rPr>
  </w:style>
  <w:style w:type="character" w:styleId="ListLabel5">
    <w:name w:val="ListLabel 5"/>
    <w:qFormat/>
    <w:rPr>
      <w:b/>
      <w:sz w:val="24"/>
      <w:szCs w:val="24"/>
    </w:rPr>
  </w:style>
  <w:style w:type="character" w:styleId="ListLabel6">
    <w:name w:val="ListLabel 6"/>
    <w:qFormat/>
    <w:rPr>
      <w:color w:val="0000FF"/>
      <w:u w:val="single"/>
    </w:rPr>
  </w:style>
  <w:style w:type="character" w:styleId="ListLabel7">
    <w:name w:val="ListLabel 7"/>
    <w:qFormat/>
    <w:rPr/>
  </w:style>
  <w:style w:type="character" w:styleId="StrongEmphasis">
    <w:name w:val="Strong Emphasis"/>
    <w:qFormat/>
    <w:rPr>
      <w:b/>
      <w:bCs/>
    </w:rPr>
  </w:style>
  <w:style w:type="character" w:styleId="ListLabel8">
    <w:name w:val="ListLabel 8"/>
    <w:qFormat/>
    <w:rPr>
      <w:rFonts w:cs="Symbol"/>
      <w:sz w:val="24"/>
    </w:rPr>
  </w:style>
  <w:style w:type="character" w:styleId="ListLabel9">
    <w:name w:val="ListLabel 9"/>
    <w:qFormat/>
    <w:rPr>
      <w:rFonts w:cs="Courier New"/>
    </w:rPr>
  </w:style>
  <w:style w:type="character" w:styleId="ListLabel10">
    <w:name w:val="ListLabel 10"/>
    <w:qFormat/>
    <w:rPr>
      <w:rFonts w:cs="Wingdings"/>
    </w:rPr>
  </w:style>
  <w:style w:type="character" w:styleId="ListLabel11">
    <w:name w:val="ListLabel 11"/>
    <w:qFormat/>
    <w:rPr>
      <w:rFonts w:cs="Symbol"/>
    </w:rPr>
  </w:style>
  <w:style w:type="character" w:styleId="ListLabel12">
    <w:name w:val="ListLabel 12"/>
    <w:qFormat/>
    <w:rPr>
      <w:rFonts w:cs="Courier New"/>
    </w:rPr>
  </w:style>
  <w:style w:type="character" w:styleId="ListLabel13">
    <w:name w:val="ListLabel 13"/>
    <w:qFormat/>
    <w:rPr>
      <w:rFonts w:cs="Wingdings"/>
    </w:rPr>
  </w:style>
  <w:style w:type="character" w:styleId="ListLabel14">
    <w:name w:val="ListLabel 14"/>
    <w:qFormat/>
    <w:rPr>
      <w:rFonts w:cs="Symbol"/>
    </w:rPr>
  </w:style>
  <w:style w:type="character" w:styleId="ListLabel15">
    <w:name w:val="ListLabel 15"/>
    <w:qFormat/>
    <w:rPr>
      <w:rFonts w:cs="Courier New"/>
    </w:rPr>
  </w:style>
  <w:style w:type="character" w:styleId="ListLabel16">
    <w:name w:val="ListLabel 16"/>
    <w:qFormat/>
    <w:rPr>
      <w:rFonts w:cs="Wingdings"/>
    </w:rPr>
  </w:style>
  <w:style w:type="character" w:styleId="ListLabel17">
    <w:name w:val="ListLabel 17"/>
    <w:qFormat/>
    <w:rPr>
      <w:rFonts w:cs="Symbol"/>
      <w:sz w:val="24"/>
    </w:rPr>
  </w:style>
  <w:style w:type="character" w:styleId="ListLabel18">
    <w:name w:val="ListLabel 18"/>
    <w:qFormat/>
    <w:rPr>
      <w:rFonts w:cs="Courier New"/>
    </w:rPr>
  </w:style>
  <w:style w:type="character" w:styleId="ListLabel19">
    <w:name w:val="ListLabel 19"/>
    <w:qFormat/>
    <w:rPr>
      <w:rFonts w:cs="Wingdings"/>
    </w:rPr>
  </w:style>
  <w:style w:type="character" w:styleId="ListLabel20">
    <w:name w:val="ListLabel 20"/>
    <w:qFormat/>
    <w:rPr>
      <w:rFonts w:cs="Symbol"/>
    </w:rPr>
  </w:style>
  <w:style w:type="character" w:styleId="ListLabel21">
    <w:name w:val="ListLabel 21"/>
    <w:qFormat/>
    <w:rPr>
      <w:rFonts w:cs="Courier New"/>
    </w:rPr>
  </w:style>
  <w:style w:type="character" w:styleId="ListLabel22">
    <w:name w:val="ListLabel 22"/>
    <w:qFormat/>
    <w:rPr>
      <w:rFonts w:cs="Wingdings"/>
    </w:rPr>
  </w:style>
  <w:style w:type="character" w:styleId="ListLabel23">
    <w:name w:val="ListLabel 23"/>
    <w:qFormat/>
    <w:rPr>
      <w:rFonts w:cs="Symbol"/>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sz w:val="24"/>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sz w:val="24"/>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eastAsia="Arial"/>
      <w:sz w:val="24"/>
      <w:szCs w:val="24"/>
    </w:rPr>
  </w:style>
  <w:style w:type="character" w:styleId="ListLabel45">
    <w:name w:val="ListLabel 45"/>
    <w:qFormat/>
    <w:rPr>
      <w:b/>
      <w:sz w:val="24"/>
      <w:szCs w:val="24"/>
    </w:rPr>
  </w:style>
  <w:style w:type="character" w:styleId="ListLabel46">
    <w:name w:val="ListLabel 46"/>
    <w:qFormat/>
    <w:rPr>
      <w:color w:val="0000FF"/>
      <w:u w:val="single"/>
    </w:rPr>
  </w:style>
  <w:style w:type="character" w:styleId="ListLabel47">
    <w:name w:val="ListLabel 47"/>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semiHidden/>
    <w:pPr/>
    <w:rPr>
      <w:b/>
      <w:sz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semiHidden/>
    <w:pPr>
      <w:tabs>
        <w:tab w:val="clear" w:pos="720"/>
        <w:tab w:val="center" w:pos="4320" w:leader="none"/>
        <w:tab w:val="right" w:pos="8640" w:leader="none"/>
      </w:tabs>
    </w:pPr>
    <w:rPr/>
  </w:style>
  <w:style w:type="paragraph" w:styleId="Footer">
    <w:name w:val="Footer"/>
    <w:basedOn w:val="Normal"/>
    <w:link w:val="FooterChar"/>
    <w:uiPriority w:val="99"/>
    <w:pPr>
      <w:tabs>
        <w:tab w:val="clear" w:pos="720"/>
        <w:tab w:val="center" w:pos="4320" w:leader="none"/>
        <w:tab w:val="right" w:pos="8640" w:leader="none"/>
      </w:tabs>
    </w:pPr>
    <w:rPr/>
  </w:style>
  <w:style w:type="paragraph" w:styleId="BalloonText">
    <w:name w:val="Balloon Text"/>
    <w:basedOn w:val="Normal"/>
    <w:semiHidden/>
    <w:qFormat/>
    <w:rsid w:val="00c3278b"/>
    <w:pPr/>
    <w:rPr>
      <w:rFonts w:ascii="Tahoma" w:hAnsi="Tahoma" w:cs="Tahoma"/>
      <w:sz w:val="16"/>
      <w:szCs w:val="16"/>
    </w:rPr>
  </w:style>
  <w:style w:type="paragraph" w:styleId="Annotationtext">
    <w:name w:val="annotation text"/>
    <w:basedOn w:val="Normal"/>
    <w:link w:val="CommentTextChar"/>
    <w:uiPriority w:val="99"/>
    <w:semiHidden/>
    <w:unhideWhenUsed/>
    <w:qFormat/>
    <w:rsid w:val="0057780f"/>
    <w:pPr/>
    <w:rPr/>
  </w:style>
  <w:style w:type="paragraph" w:styleId="Annotationsubject">
    <w:name w:val="annotation subject"/>
    <w:basedOn w:val="Annotationtext"/>
    <w:next w:val="Annotationtext"/>
    <w:link w:val="CommentSubjectChar"/>
    <w:uiPriority w:val="99"/>
    <w:semiHidden/>
    <w:unhideWhenUsed/>
    <w:qFormat/>
    <w:rsid w:val="0057780f"/>
    <w:pPr/>
    <w:rPr>
      <w:b/>
      <w:bCs/>
    </w:rPr>
  </w:style>
  <w:style w:type="paragraph" w:styleId="BodyText3">
    <w:name w:val="Body Text 3"/>
    <w:basedOn w:val="Normal"/>
    <w:link w:val="BodyText3Char"/>
    <w:uiPriority w:val="99"/>
    <w:semiHidden/>
    <w:unhideWhenUsed/>
    <w:qFormat/>
    <w:rsid w:val="00f927a1"/>
    <w:pPr>
      <w:spacing w:before="0" w:after="120"/>
    </w:pPr>
    <w:rPr>
      <w:sz w:val="16"/>
      <w:szCs w:val="16"/>
    </w:rPr>
  </w:style>
  <w:style w:type="paragraph" w:styleId="ColorfulShadingAccent11" w:customStyle="1">
    <w:name w:val="Colorful Shading - Accent 11"/>
    <w:uiPriority w:val="99"/>
    <w:semiHidden/>
    <w:qFormat/>
    <w:rsid w:val="004b6822"/>
    <w:pPr>
      <w:widowControl/>
      <w:bidi w:val="0"/>
      <w:jc w:val="left"/>
    </w:pPr>
    <w:rPr>
      <w:rFonts w:ascii="Arial" w:hAnsi="Arial" w:eastAsia="Times New Roman" w:cs="Arial"/>
      <w:color w:val="000000"/>
      <w:kern w:val="0"/>
      <w:sz w:val="20"/>
      <w:szCs w:val="20"/>
      <w:lang w:val="en-GB" w:eastAsia="en-GB" w:bidi="ar-SA"/>
    </w:rPr>
  </w:style>
  <w:style w:type="paragraph" w:styleId="ListParagraph">
    <w:name w:val="List Paragraph"/>
    <w:basedOn w:val="Normal"/>
    <w:uiPriority w:val="34"/>
    <w:qFormat/>
    <w:rsid w:val="00450c83"/>
    <w:pPr>
      <w:spacing w:before="0" w:after="0"/>
      <w:ind w:left="720" w:hanging="0"/>
      <w:contextualSpacing/>
    </w:pPr>
    <w:rPr/>
  </w:style>
  <w:style w:type="paragraph" w:styleId="TableParagraph" w:customStyle="1">
    <w:name w:val="Table Paragraph"/>
    <w:basedOn w:val="Normal"/>
    <w:uiPriority w:val="1"/>
    <w:qFormat/>
    <w:rsid w:val="006c7ca5"/>
    <w:pPr>
      <w:widowControl w:val="false"/>
      <w:overflowPunct w:val="true"/>
      <w:ind w:left="108" w:hanging="0"/>
      <w:textAlignment w:val="auto"/>
    </w:pPr>
    <w:rPr>
      <w:rFonts w:eastAsia="Arial"/>
      <w:color w:val="auto"/>
      <w:sz w:val="22"/>
      <w:szCs w:val="22"/>
      <w:lang w:bidi="en-GB"/>
    </w:rPr>
  </w:style>
  <w:style w:type="paragraph" w:styleId="Default" w:customStyle="1">
    <w:name w:val="Default"/>
    <w:qFormat/>
    <w:rsid w:val="00ad3703"/>
    <w:pPr>
      <w:widowControl/>
      <w:bidi w:val="0"/>
      <w:jc w:val="left"/>
    </w:pPr>
    <w:rPr>
      <w:rFonts w:ascii="Arial" w:hAnsi="Arial" w:eastAsia="Times New Roman" w:cs="Arial"/>
      <w:color w:val="000000"/>
      <w:kern w:val="0"/>
      <w:sz w:val="24"/>
      <w:szCs w:val="24"/>
      <w:lang w:val="en-GB" w:eastAsia="zh-TW"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uwtsd.ac.uk/media/uwtsd-website/content-assets/documents/academic-office/aqh-chapters/chapters---en/Chapter_07_Assessment_Taught_Programmes_Pages_72-79-UPDATED-05-11-2019.pdf" TargetMode="External"/><Relationship Id="rId4" Type="http://schemas.openxmlformats.org/officeDocument/2006/relationships/hyperlink" Target="https://moodle.uwtsd.ac.uk/pluginfile.php/298870/mod_resource/content/1/Reflective Practice for Policing Students - Selina Copley Chapter5.pdf"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hyperlink" Target="https://www.mind.org.uk/news-campaigns/news/nearly-8-in-10-police-officers-recently-felt-stressed-finds-police-federation/" TargetMode="External"/><Relationship Id="rId18" Type="http://schemas.openxmlformats.org/officeDocument/2006/relationships/hyperlink" Target="https://libguides.hull.ac.uk/reflectivewriting/era" TargetMode="External"/><Relationship Id="rId19" Type="http://schemas.openxmlformats.org/officeDocument/2006/relationships/hyperlink" Target="https://www.college.police.uk/app/national-decision-model/national-decision-model" TargetMode="External"/><Relationship Id="rId20" Type="http://schemas.openxmlformats.org/officeDocument/2006/relationships/hyperlink" Target="https://www.college.police.uk/ethics/code-of-ethics" TargetMode="External"/><Relationship Id="rId21" Type="http://schemas.openxmlformats.org/officeDocument/2006/relationships/hyperlink" Target="" TargetMode="External"/><Relationship Id="rId22" Type="http://schemas.openxmlformats.org/officeDocument/2006/relationships/hyperlink" Target="https://www.college.police.uk/guidance/victims-code/victims-rights-policing" TargetMode="External"/><Relationship Id="rId23" Type="http://schemas.openxmlformats.org/officeDocument/2006/relationships/hyperlink" Target="https://www.legislation.gov.uk/ukpga/1988/27/section/1" TargetMode="External"/><Relationship Id="rId24" Type="http://schemas.openxmlformats.org/officeDocument/2006/relationships/hyperlink" Target="https://www.legislation.gov.uk/ukpga/1988/27/contents" TargetMode="External"/><Relationship Id="rId25" Type="http://schemas.openxmlformats.org/officeDocument/2006/relationships/hyperlink" Target="https://www.legislation.gov.uk/ukpga/1996/25/contents" TargetMode="External"/><Relationship Id="rId26" Type="http://schemas.openxmlformats.org/officeDocument/2006/relationships/hyperlink" Target="https://www.scirp.org/(S(351jmbntvnsjt1aadkposzje))/reference/ReferencesPapers.aspx?ReferenceID=1348612" TargetMode="External"/><Relationship Id="rId27" Type="http://schemas.openxmlformats.org/officeDocument/2006/relationships/hyperlink" Target="https://www.ed.ac.uk/reflection/reflectors-toolkit/reflecting-on-experience/gibbs-reflective-cycle" TargetMode="External"/><Relationship Id="rId28" Type="http://schemas.openxmlformats.org/officeDocument/2006/relationships/hyperlink" Target="https://www.college.police.uk/guidance/conflict-management/conflict-management-skills" TargetMode="External"/><Relationship Id="rId29" Type="http://schemas.openxmlformats.org/officeDocument/2006/relationships/hyperlink" Target="https://www.cps.gov.uk/crime-info/hate-crime" TargetMode="External"/><Relationship Id="rId30" Type="http://schemas.openxmlformats.org/officeDocument/2006/relationships/hyperlink" Target="https://www.legislation.gov.uk/ukpga/1997/40/section/2A" TargetMode="External"/><Relationship Id="rId31" Type="http://schemas.openxmlformats.org/officeDocument/2006/relationships/header" Target="header7.xml"/><Relationship Id="rId32" Type="http://schemas.openxmlformats.org/officeDocument/2006/relationships/header" Target="header8.xml"/><Relationship Id="rId33" Type="http://schemas.openxmlformats.org/officeDocument/2006/relationships/header" Target="header9.xml"/><Relationship Id="rId34" Type="http://schemas.openxmlformats.org/officeDocument/2006/relationships/footer" Target="footer7.xml"/><Relationship Id="rId35" Type="http://schemas.openxmlformats.org/officeDocument/2006/relationships/footer" Target="footer8.xml"/><Relationship Id="rId36" Type="http://schemas.openxmlformats.org/officeDocument/2006/relationships/footer" Target="footer9.xml"/><Relationship Id="rId37" Type="http://schemas.openxmlformats.org/officeDocument/2006/relationships/hyperlink" Target="https://www.legislation.gov.uk/ukpga/2021/17/section/1" TargetMode="External"/><Relationship Id="rId38" Type="http://schemas.openxmlformats.org/officeDocument/2006/relationships/header" Target="header10.xml"/><Relationship Id="rId39" Type="http://schemas.openxmlformats.org/officeDocument/2006/relationships/header" Target="header11.xml"/><Relationship Id="rId40" Type="http://schemas.openxmlformats.org/officeDocument/2006/relationships/header" Target="header12.xml"/><Relationship Id="rId41" Type="http://schemas.openxmlformats.org/officeDocument/2006/relationships/footer" Target="footer10.xml"/><Relationship Id="rId42" Type="http://schemas.openxmlformats.org/officeDocument/2006/relationships/footer" Target="footer11.xml"/><Relationship Id="rId43" Type="http://schemas.openxmlformats.org/officeDocument/2006/relationships/footer" Target="footer12.xml"/><Relationship Id="rId44" Type="http://schemas.openxmlformats.org/officeDocument/2006/relationships/numbering" Target="numbering.xml"/><Relationship Id="rId45" Type="http://schemas.openxmlformats.org/officeDocument/2006/relationships/fontTable" Target="fontTable.xml"/><Relationship Id="rId46" Type="http://schemas.openxmlformats.org/officeDocument/2006/relationships/settings" Target="settings.xml"/><Relationship Id="rId47" Type="http://schemas.openxmlformats.org/officeDocument/2006/relationships/theme" Target="theme/theme1.xml"/><Relationship Id="rId48" Type="http://schemas.openxmlformats.org/officeDocument/2006/relationships/customXml" Target="../customXml/item1.xml"/><Relationship Id="rId49" Type="http://schemas.openxmlformats.org/officeDocument/2006/relationships/customXml" Target="../customXml/item2.xml"/><Relationship Id="rId50" Type="http://schemas.openxmlformats.org/officeDocument/2006/relationships/customXml" Target="../customXml/item3.xml"/><Relationship Id="rId5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term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0558C-BF04-4ACB-9D37-4AC6FB200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2313</TotalTime>
  <Application>Trio_Office/6.2.8.2$Windows_x86 LibreOffice_project/</Application>
  <Pages>24</Pages>
  <Words>8311</Words>
  <Characters>41573</Characters>
  <CharactersWithSpaces>49795</CharactersWithSpaces>
  <Paragraphs>291</Paragraphs>
  <Company>Powys County Council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2019-08-13T11:48:00Z</dcterms:created>
  <dc:creator>GC</dc:creator>
  <dc:description/>
  <dc:language>en-GB</dc:language>
  <cp:lastModifiedBy/>
  <cp:lastPrinted>2019-08-13T11:47:00Z</cp:lastPrinted>
  <dcterms:modified xsi:type="dcterms:W3CDTF">2023-01-03T10:52:10Z</dcterms:modified>
  <cp:revision>12</cp:revision>
  <dc:subject/>
  <dc:title>NORTH AND WEST WALES PQ1 PROGRAMME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lassification">
    <vt:lpwstr>OFFICIAL</vt:lpwstr>
  </property>
  <property fmtid="{D5CDD505-2E9C-101B-9397-08002B2CF9AE}" pid="4" name="Company">
    <vt:lpwstr>Powys County Council</vt:lpwstr>
  </property>
  <property fmtid="{D5CDD505-2E9C-101B-9397-08002B2CF9AE}" pid="5" name="ContentTypeId">
    <vt:lpwstr>0x01010054EC8029807A2946B625B0D114BCF650</vt:lpwstr>
  </property>
  <property fmtid="{D5CDD505-2E9C-101B-9397-08002B2CF9AE}" pid="6" name="DocSecurity">
    <vt:i4>0</vt:i4>
  </property>
  <property fmtid="{D5CDD505-2E9C-101B-9397-08002B2CF9AE}" pid="7" name="HyperlinksChanged">
    <vt:bool>0</vt:bool>
  </property>
  <property fmtid="{D5CDD505-2E9C-101B-9397-08002B2CF9AE}" pid="8" name="LinksUpToDate">
    <vt:bool>0</vt:bool>
  </property>
  <property fmtid="{D5CDD505-2E9C-101B-9397-08002B2CF9AE}" pid="9" name="MSIP_Label_66cf8fe5-b7b7-4df7-b38d-1c61ac2f6639_ActionId">
    <vt:lpwstr>a3a86eb4-cefc-4335-9806-a9c2922521b9</vt:lpwstr>
  </property>
  <property fmtid="{D5CDD505-2E9C-101B-9397-08002B2CF9AE}" pid="10" name="MSIP_Label_66cf8fe5-b7b7-4df7-b38d-1c61ac2f6639_ContentBits">
    <vt:lpwstr>0</vt:lpwstr>
  </property>
  <property fmtid="{D5CDD505-2E9C-101B-9397-08002B2CF9AE}" pid="11" name="MSIP_Label_66cf8fe5-b7b7-4df7-b38d-1c61ac2f6639_Enabled">
    <vt:lpwstr>true</vt:lpwstr>
  </property>
  <property fmtid="{D5CDD505-2E9C-101B-9397-08002B2CF9AE}" pid="12" name="MSIP_Label_66cf8fe5-b7b7-4df7-b38d-1c61ac2f6639_Method">
    <vt:lpwstr>Standard</vt:lpwstr>
  </property>
  <property fmtid="{D5CDD505-2E9C-101B-9397-08002B2CF9AE}" pid="13" name="MSIP_Label_66cf8fe5-b7b7-4df7-b38d-1c61ac2f6639_Name">
    <vt:lpwstr>66cf8fe5-b7b7-4df7-b38d-1c61ac2f6639</vt:lpwstr>
  </property>
  <property fmtid="{D5CDD505-2E9C-101B-9397-08002B2CF9AE}" pid="14" name="MSIP_Label_66cf8fe5-b7b7-4df7-b38d-1c61ac2f6639_SetDate">
    <vt:lpwstr>2022-12-20T18:38:13Z</vt:lpwstr>
  </property>
  <property fmtid="{D5CDD505-2E9C-101B-9397-08002B2CF9AE}" pid="15" name="MSIP_Label_66cf8fe5-b7b7-4df7-b38d-1c61ac2f6639_SiteId">
    <vt:lpwstr>270c2f4d-fd0c-4f08-92a9-e5bdd8a87e09</vt:lpwstr>
  </property>
  <property fmtid="{D5CDD505-2E9C-101B-9397-08002B2CF9AE}" pid="16" name="ScaleCrop">
    <vt:bool>0</vt:bool>
  </property>
  <property fmtid="{D5CDD505-2E9C-101B-9397-08002B2CF9AE}" pid="17" name="ShareDoc">
    <vt:bool>0</vt:bool>
  </property>
  <property fmtid="{D5CDD505-2E9C-101B-9397-08002B2CF9AE}" pid="18" name="TitusGUID">
    <vt:lpwstr>5b302f2d-4dc2-439b-8bc9-d607191fa4ac</vt:lpwstr>
  </property>
  <property fmtid="{D5CDD505-2E9C-101B-9397-08002B2CF9AE}" pid="19" name="Visibility">
    <vt:lpwstr>NOT VISIBLE</vt:lpwstr>
  </property>
</Properties>
</file>