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7045F06" wp14:paraId="14950D38" wp14:textId="55EF0320">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Nina Mya</w:t>
      </w:r>
    </w:p>
    <w:p xmlns:wp14="http://schemas.microsoft.com/office/word/2010/wordml" w:rsidP="77045F06" wp14:paraId="3B0670AB" wp14:textId="698ED56E">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Student Number: 2328173</w:t>
      </w:r>
    </w:p>
    <w:p xmlns:wp14="http://schemas.microsoft.com/office/word/2010/wordml" w:rsidP="77045F06" wp14:paraId="6F02BB3D" wp14:textId="672F2614">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Module Code: BMHP5016</w:t>
      </w:r>
    </w:p>
    <w:p xmlns:wp14="http://schemas.microsoft.com/office/word/2010/wordml" w:rsidP="77045F06" wp14:paraId="747A48CA" wp14:textId="725A3524">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Assignment Title: Component 1: Written assignment Reflective Report</w:t>
      </w:r>
    </w:p>
    <w:p xmlns:wp14="http://schemas.microsoft.com/office/word/2010/wordml" w:rsidP="77045F06" wp14:paraId="1E426045" wp14:textId="4C104DFF">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0AB2A8E6" wp14:textId="6BD66C83">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28382C95" wp14:textId="49F38D84">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33B00155" wp14:textId="2DF285A2">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43DC94D0" wp14:textId="7369022B">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5692D660" wp14:textId="39CE23D7">
      <w:pPr>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0FE63A31" wp14:textId="7145D100">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2E13C287" wp14:textId="1499825D">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2AAE6638" wp14:textId="1E22D298">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5BAA38D7" wp14:textId="41FF7699">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71E5D4D7" wp14:textId="729A6BB5">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708B8814" wp14:textId="0F95616D">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3C55106C" wp14:textId="10F66BEB">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4FAC112D" wp14:textId="32872444">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734D11D6" wp14:textId="5DC8C6BF">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038FC51E" wp14:textId="383E28E8">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7E26FDAA" wp14:textId="23A3F114">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09866BB3" wp14:textId="51E6ED1D">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1FD210F3" wp14:textId="367898F9">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179D0E92" wp14:textId="43BC0404">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460A1D90" wp14:textId="6DE1F0DF">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3A730523" wp14:textId="12620FAE">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297D17F1" wp14:textId="4F5D3082">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2F898A16" wp14:textId="296C1791">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321C9BA5" wp14:textId="27019A82">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474D7C5F" wp14:textId="745AFFFC">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4CB9BC90" wp14:textId="11474A0F">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01594D0F" wp14:textId="74859617">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5542F792" wp14:textId="7521DAA7">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4BC8433B" wp14:textId="5B5B3DF6">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Introduction </w:t>
      </w:r>
      <w:r w:rsidR="182A91B1">
        <w:drawing>
          <wp:inline xmlns:wp14="http://schemas.microsoft.com/office/word/2010/wordprocessingDrawing" wp14:editId="22C7CBC3" wp14:anchorId="62B02C7B">
            <wp:extent cx="9525" cy="9525"/>
            <wp:effectExtent l="0" t="0" r="0" b="0"/>
            <wp:docPr id="26506157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5061575" name="Picture 265061575"/>
                    <pic:cNvPicPr/>
                  </pic:nvPicPr>
                  <pic:blipFill>
                    <a:blip xmlns:r="http://schemas.openxmlformats.org/officeDocument/2006/relationships" r:embed="rId1455861390">
                      <a:extLst>
                        <a:ext uri="{28A0092B-C50C-407E-A947-70E740481C1C}">
                          <a14:useLocalDpi xmlns:a14="http://schemas.microsoft.com/office/drawing/2010/main"/>
                        </a:ext>
                      </a:extLst>
                    </a:blip>
                    <a:stretch>
                      <a:fillRect/>
                    </a:stretch>
                  </pic:blipFill>
                  <pic:spPr>
                    <a:xfrm>
                      <a:off x="0" y="0"/>
                      <a:ext cx="9525" cy="9525"/>
                    </a:xfrm>
                    <a:prstGeom prst="rect">
                      <a:avLst/>
                    </a:prstGeom>
                  </pic:spPr>
                </pic:pic>
              </a:graphicData>
            </a:graphic>
          </wp:inline>
        </w:drawing>
      </w:r>
    </w:p>
    <w:p xmlns:wp14="http://schemas.microsoft.com/office/word/2010/wordml" w:rsidP="77045F06" wp14:paraId="2E6620C1" wp14:textId="3BF6437C">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High</w:t>
      </w:r>
      <w:r>
        <w:noBreakHyphen/>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quality health and social care should promote dignity, independence, </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safety</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wellbeing while recognising each person’s individual circumstances, </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preferences</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rights. Person</w:t>
      </w:r>
      <w:r>
        <w:noBreakHyphen/>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centred care, partnership </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working</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ethical practice are interconnected principles that support these outcomes, but applying them can be challenging when individuals have complex needs or limited resources. This report critically examines these principles, evaluates their application to Robyn’s case </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study</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reflects on my professional development using Gibbs (1988) reflective cycle. My experience across domestic abuse services, supported living and a homeless hostel has shaped my understanding of how person</w:t>
      </w:r>
      <w:r>
        <w:noBreakHyphen/>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centred practice improves outcomes when combined with professional judgement and safeguarding.</w:t>
      </w:r>
    </w:p>
    <w:p xmlns:wp14="http://schemas.microsoft.com/office/word/2010/wordml" w:rsidP="77045F06" wp14:paraId="4B74A24A" wp14:textId="2EBE9C82">
      <w:pPr>
        <w:keepNext w:val="1"/>
        <w:keepLines w:val="1"/>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Task 1: Critically reflect on person</w:t>
      </w:r>
      <w:r>
        <w:noBreakHyphen/>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centred care, partnership working and ethical practice</w:t>
      </w:r>
    </w:p>
    <w:p xmlns:wp14="http://schemas.microsoft.com/office/word/2010/wordml" w:rsidP="77045F06" wp14:paraId="474C62BB" wp14:textId="120F75AC">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Person</w:t>
      </w:r>
      <w:r>
        <w:noBreakHyphen/>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centred care involves recognising individuals as people with their own identities, values, </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strengths</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aspirations, rather than defining them by a diagnosis or support need. McCormack and McCance (2017) emphasise relationships, shared decision</w:t>
      </w:r>
      <w:r w:rsidRPr="77045F06" w:rsidR="3AECC88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making and care environments that enable person</w:t>
      </w:r>
      <w:r>
        <w:noBreakHyphen/>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centred practice. This approach supports dignity and autonomy by involving people in decisions affecting their lives. Regulation 9 of the Health and Social Care Act 2008 requires care to reflect people’s needs and preferences, while the Care Act 2014 places wellbeing at the centre of adult social care.</w:t>
      </w:r>
    </w:p>
    <w:p xmlns:wp14="http://schemas.microsoft.com/office/word/2010/wordml" w:rsidP="77045F06" wp14:paraId="7E2E1AE7" wp14:textId="52D7EBF6">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Person</w:t>
      </w:r>
      <w:r>
        <w:noBreakHyphen/>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centred care requires more than asking what someone wants. Practitioners must consider communication needs, capacity, risks and available resources. Preferences may involve risk, and automatically preventing activities can unnecessarily restrict independence. Equally, agreeing to every request without assessing foreseeable harm is unsafe. Proportionate risk assessment, accessible information and shared decision</w:t>
      </w:r>
      <w:r>
        <w:noBreakHyphen/>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making help balance autonomy with safeguarding.</w:t>
      </w:r>
    </w:p>
    <w:p xmlns:wp14="http://schemas.microsoft.com/office/word/2010/wordml" w:rsidP="77045F06" wp14:paraId="0D91604D" wp14:textId="30EF8F83">
      <w:pPr>
        <w:spacing w:before="240" w:beforeAutospacing="off" w:after="240" w:afterAutospacing="off" w:line="360" w:lineRule="auto"/>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My</w:t>
      </w:r>
      <w:r w:rsidRPr="77045F06" w:rsidR="7D7C1D6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experience working in</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7045F06" w:rsidR="7FBA877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 </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supported</w:t>
      </w:r>
      <w:r w:rsidRPr="77045F06" w:rsidR="4204B9B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living </w:t>
      </w:r>
      <w:r w:rsidRPr="77045F06" w:rsidR="4DE8057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environment</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demonstrated</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why this principal matters. I supported a young woman with learning disabilities and paranoid schizophrenia who could display aggression. Although situations were sometimes frightening, I developed a positive relationship by recognising her interests rather than focusing solely on her diagnoses. We shared an interest in history, and supporting her to </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participate</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activities she valued, including museum visits</w:t>
      </w:r>
      <w:r w:rsidRPr="77045F06" w:rsidR="0E74D8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which</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promoted inclusion and engagement. </w:t>
      </w:r>
    </w:p>
    <w:p xmlns:wp14="http://schemas.microsoft.com/office/word/2010/wordml" w:rsidP="77045F06" wp14:paraId="146D5283" wp14:textId="4EB82FD5">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This highlighted </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that behaviour may communicate distress or unmet needs rather than simply being “challenging</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xmlns:wp14="http://schemas.microsoft.com/office/word/2010/wordml" w:rsidP="77045F06" wp14:paraId="2FC3A5C3" wp14:textId="63851929">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Partnership working complements person</w:t>
      </w:r>
      <w:r>
        <w:noBreakHyphen/>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centred care by bringing individuals, families, social care staff and health professionals together. The Care Act 2014 promotes cooperation between local authorities and partners, while the Health and Care Act 2022 supports integrated working. Collaboration can reduce fragmented support and improve consistency. For example, staff supporting a person with learning disabilities may need to work with clinicians and social workers to understand communication preferences and triggers.</w:t>
      </w:r>
    </w:p>
    <w:p xmlns:wp14="http://schemas.microsoft.com/office/word/2010/wordml" w:rsidP="77045F06" wp14:paraId="31303AEC" wp14:textId="5EC23295">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However, partnership working is not automatically effective. Conflicting priorities, unclear </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responsibilities</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poor communication can undermine collaboration. Information</w:t>
      </w:r>
      <w:r w:rsidRPr="77045F06" w:rsidR="0703768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sharing may threaten privacy if excessive or lacking a lawful basis. The Data Protection Act 2018 and UK GDPR require personal information to be handled lawfully and proportionately. Effective partnership requires clear responsibilities, consent where </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appropriate</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meaningful involvement of the individual.</w:t>
      </w:r>
    </w:p>
    <w:p xmlns:wp14="http://schemas.microsoft.com/office/word/2010/wordml" w:rsidP="77045F06" wp14:paraId="5FCF15B4" wp14:textId="76BDED5A">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Ethical practice provides a framework for managing competing demands. Beauchamp and Childress (2019) identify autonomy, beneficence, non</w:t>
      </w:r>
      <w:r>
        <w:noBreakHyphen/>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maleficence and justice as key principles. These can conflict supporting an activity may promote autonomy and wellbeing while presenting risk. Ethical responses should consider wishes, likelihood and severity of harm, safeguards and less restrictive alternatives.</w:t>
      </w:r>
    </w:p>
    <w:p xmlns:wp14="http://schemas.microsoft.com/office/word/2010/wordml" w:rsidP="77045F06" wp14:paraId="4B2FF570" wp14:textId="1214FD34">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The Mental Capacity Act 2005 provides a legal framework requiring a presumption of capacity, practicable support to help individuals decide and recognition that unwise decisions do not indicate incapacity. Where capacity is lacking, decisions must follow the best</w:t>
      </w:r>
      <w:r>
        <w:noBreakHyphen/>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interests framework and consider less restrictive options. The Equality Act 2010 protects disabled people from discrimination and requires reasonable adjustments.</w:t>
      </w:r>
    </w:p>
    <w:p xmlns:wp14="http://schemas.microsoft.com/office/word/2010/wordml" w:rsidP="77045F06" wp14:paraId="4E9A3110" wp14:textId="059ABCE5">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Overall, person</w:t>
      </w:r>
      <w:r>
        <w:noBreakHyphen/>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centred care, partnership working and ethical practice are mutually reinforcing. They depend on listening, critical judgement and professional accountability, ensuring people are protected from harm without being reduced to risks to be managed.</w:t>
      </w:r>
    </w:p>
    <w:p xmlns:wp14="http://schemas.microsoft.com/office/word/2010/wordml" w:rsidP="77045F06" wp14:paraId="6B32959C" wp14:textId="0E73E6FB">
      <w:pPr>
        <w:keepNext w:val="1"/>
        <w:keepLines w:val="1"/>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Task 2: Evaluate person</w:t>
      </w:r>
      <w:r>
        <w:noBreakHyphen/>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centred care, partnership working and ethical practice in Robyn’s case</w:t>
      </w:r>
    </w:p>
    <w:p xmlns:wp14="http://schemas.microsoft.com/office/word/2010/wordml" w:rsidP="77045F06" wp14:paraId="023677AE" wp14:textId="4719340E">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Robyn sustained a spinal injury in 2006, aged 21, resulting in tetraplegia and the need for 24</w:t>
      </w:r>
      <w:r>
        <w:noBreakHyphen/>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hour support. Her experience shows how a care package can meet physical needs while failing to support independence, continuity and meaningful participation. The agency arrangement involved high staff turnover, with 36 personal assistants supporting her during 2014. Some staff were unsuitable due to allergies, fear of animals or inability to drive, affecting her ability to access her ponies and maintain her lifestyle. This demonstrates that the presence of a care service does not guarantee person</w:t>
      </w:r>
      <w:r>
        <w:noBreakHyphen/>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centred support.</w:t>
      </w:r>
    </w:p>
    <w:p xmlns:wp14="http://schemas.microsoft.com/office/word/2010/wordml" w:rsidP="77045F06" wp14:paraId="0D5240A0" wp14:textId="27C47D6C">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Person</w:t>
      </w:r>
      <w:r>
        <w:noBreakHyphen/>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centred care should consider the whole person, including relationships, interests and community participation. Robyn’s interest in animals and desire to remain active were central to her quality of life. The agency model created a mismatch between the support provided and the life she wanted. Frequent staff changes affected trust, communication and consistency. Ethically, this raises questions about autonomy and justice: physical support needs should not create unnecessary barriers to meaningful activities.</w:t>
      </w:r>
    </w:p>
    <w:p xmlns:wp14="http://schemas.microsoft.com/office/word/2010/wordml" w:rsidP="77045F06" wp14:paraId="2DDD39F4" wp14:textId="64A0F8B8">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It is inaccurate to assume agency care is inherently unsuitable. Agencies can offer recruitment, supervision and emergency cover when well managed. The issue was the mismatch between the arrangement and Robyn’s needs. Person</w:t>
      </w:r>
      <w:r>
        <w:noBreakHyphen/>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centred practice should evaluate whether a service works for the individual rather than assume one model is always better.</w:t>
      </w:r>
    </w:p>
    <w:p xmlns:wp14="http://schemas.microsoft.com/office/word/2010/wordml" w:rsidP="77045F06" wp14:paraId="1210CC2A" wp14:textId="63D70F85">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Robyn pursued a personal health budget (PHB), working with a PHB nurse and Personal Budget Support Service. The process took around 18 months, and her early plan was insufficiently personalised. Delays and poor communication undermined autonomy. Offering a personal budget does not automatically produce choice; the process must be accessible and responsive.</w:t>
      </w:r>
    </w:p>
    <w:p xmlns:wp14="http://schemas.microsoft.com/office/word/2010/wordml" w:rsidP="77045F06" wp14:paraId="7BC661BA" wp14:textId="5985F114">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Later changes aligned more closely with person</w:t>
      </w:r>
      <w:r>
        <w:noBreakHyphen/>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centred principles. Robyn rewrote her plan, employed two full</w:t>
      </w:r>
      <w:r w:rsidRPr="77045F06" w:rsidR="655188E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time live</w:t>
      </w:r>
      <w:r>
        <w:noBreakHyphen/>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in personal assistants, organised a rota and arranged backup support. The number of assistants fell to five during the third year. Greater continuity enabled her to pursue work with animals, carriage driving and social activities, and contribute to NHS England’s Personalised Care Group. Support designed around her priorities helped her exercise greater control and </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participate</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 community life.</w:t>
      </w:r>
    </w:p>
    <w:p xmlns:wp14="http://schemas.microsoft.com/office/word/2010/wordml" w:rsidP="77045F06" wp14:paraId="7B0F40F7" wp14:textId="7CEFBAE9">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Partnership working was essential. Robyn engaged with health professionals, budget support services and people assisting with employment responsibilities. Professionals provided expertise, but meaningful involvement ensured her priorities shaped the plan. Treating people as active partners supports autonomy and effective care.</w:t>
      </w:r>
    </w:p>
    <w:p xmlns:wp14="http://schemas.microsoft.com/office/word/2010/wordml" w:rsidP="77045F06" wp14:paraId="5F6C428D" wp14:textId="41E4A787">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However, PHBs can transfer significant responsibility to individuals. Recruiting staff, managing rotas and meeting employment obligations can be stressful. Personalised funding must be accompanied by practical support and contingency planning; otherwise, choice may exist in theory but be difficult to exercise.</w:t>
      </w:r>
    </w:p>
    <w:p xmlns:wp14="http://schemas.microsoft.com/office/word/2010/wordml" w:rsidP="77045F06" wp14:paraId="3A63968A" wp14:textId="6B1A9837">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Ethically, Robyn’s case reflects autonomy, beneficence and justice. Greater control respected her right to shape her life, while continuity supported wellbeing. Justice requires meaningful opportunities for participation, not just basic physical support. The Equality Act 2010 and Care Act 2014 support the argument that care should enable a meaningful life.</w:t>
      </w:r>
    </w:p>
    <w:p xmlns:wp14="http://schemas.microsoft.com/office/word/2010/wordml" w:rsidP="77045F06" wp14:paraId="671C757A" wp14:textId="74A2162E">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Overall, Robyn’s experience shows that effective person</w:t>
      </w:r>
      <w:r>
        <w:noBreakHyphen/>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centred care requires genuine control, responsive partnership and ethical attention to outcomes. Improvement depended on tailoring the plan to her priorities and supporting implementation.</w:t>
      </w:r>
    </w:p>
    <w:p xmlns:wp14="http://schemas.microsoft.com/office/word/2010/wordml" w:rsidP="77045F06" wp14:paraId="0D6A53BC" wp14:textId="57F9DFA5">
      <w:pPr>
        <w:keepNext w:val="1"/>
        <w:keepLines w:val="1"/>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Task 3: Reflect on myself as a health and social care professional</w:t>
      </w:r>
    </w:p>
    <w:p xmlns:wp14="http://schemas.microsoft.com/office/word/2010/wordml" w:rsidP="77045F06" wp14:paraId="2C761D10" wp14:textId="0923F8E7">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Gibbs (1988) reflective cycle </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provides</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 structured way to examine professional experiences. Reflection is important because experience alone does not guarantee learning. My work across a domestic violence refuge, supported living and a homeless hostel has exposed me to people experiencing trauma, homelessness, mental health difficulties, substance use and learning disabilities, reinforcing the importance of dignity, </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boundaries</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individualised support.</w:t>
      </w:r>
    </w:p>
    <w:p xmlns:wp14="http://schemas.microsoft.com/office/word/2010/wordml" w:rsidP="77045F06" wp14:paraId="79AF7E71" wp14:textId="43E0252B">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One significant experience occurred in supported living with a young woman with learning disabilities and paranoid schizophrenia. She could display aggression, and some situations felt frightening. I developed a positive relationship by recognising her interests and what mattered to her. Supporting activities she valued, including museum visits, promoted participation in ordinary community life.</w:t>
      </w:r>
    </w:p>
    <w:p xmlns:wp14="http://schemas.microsoft.com/office/word/2010/wordml" w:rsidP="77045F06" wp14:paraId="1C77AA34" wp14:textId="34B7FAD3">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Balancing my feelings about safety with respectful practice was essential. Feeling frightened was understandable, but I needed to avoid allowing it to determine how I viewed or treated her. Using approaches appropriate to her support needs, including redirection strategies, helped maintain dignity and safety.</w:t>
      </w:r>
    </w:p>
    <w:p xmlns:wp14="http://schemas.microsoft.com/office/word/2010/wordml" w:rsidP="77045F06" wp14:paraId="1DE7F72C" wp14:textId="76A98A3A">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 strength in my practice was building rapport and </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identifying</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common ground. Supporting meaningful activities recognised her identity beyond the care environment and reflected person</w:t>
      </w:r>
      <w:r>
        <w:noBreakHyphen/>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centred care. Another strength was taking initiative while </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remaining</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mindful of support strategies. However, a good relationship is not enough on its own staff must follow procedures, communicate </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concerns</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seek support when risks arise.</w:t>
      </w:r>
    </w:p>
    <w:p xmlns:wp14="http://schemas.microsoft.com/office/word/2010/wordml" w:rsidP="77045F06" wp14:paraId="38289E34" wp14:textId="0520CB57">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This experience deepened my understanding of person</w:t>
      </w:r>
      <w:r>
        <w:noBreakHyphen/>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centred care. It involves understanding what makes life meaningful and supporting participation. It also challenged assumptions that diagnoses explain behaviour. Behaviour can reflect distress, communication difficulties or environmental pressures. NICE (2015) emphasises understanding the function of behaviour and considering personal and environmental factors. Positive behaviour support can help identify patterns and prevent avoidable distress.</w:t>
      </w:r>
    </w:p>
    <w:p xmlns:wp14="http://schemas.microsoft.com/office/word/2010/wordml" w:rsidP="77045F06" wp14:paraId="286DA6D3" wp14:textId="0551A906">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Ethical principles were relevant. Beneficence involved supporting wellbeing, non</w:t>
      </w:r>
      <w:r>
        <w:noBreakHyphen/>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maleficence required considering safety and autonomy involved respecting preferences. These principles can come into tension when activities appear risky. Proportionate risk assessment and exploring safer alternatives help avoid unnecessary restrictions. The Mental Capacity Act 2005 reminds practitioners that capacity is decision</w:t>
      </w:r>
      <w:r w:rsidRPr="77045F06" w:rsidR="4A60722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specific and unwise decisions do not </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indicate</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incapacity.</w:t>
      </w:r>
    </w:p>
    <w:p xmlns:wp14="http://schemas.microsoft.com/office/word/2010/wordml" w:rsidP="77045F06" wp14:paraId="360B7D9A" wp14:textId="5A165F75">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Consistency and partnership also matter. Information about preferences and effective strategies must be shared appropriately to ensure consistent support. This requires accurate records, professional communication and respect for confidentiality under the Data Protection Act 2018 and UK GDPR. Partnership working supports consistency, although staff must still exercise judgement.</w:t>
      </w:r>
    </w:p>
    <w:p xmlns:wp14="http://schemas.microsoft.com/office/word/2010/wordml" w:rsidP="77045F06" wp14:paraId="2A49F9CB" wp14:textId="4848D824">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My work in domestic violence and homelessness reinforced the importance of understanding behaviour within wider contexts. Trauma, unstable housing and mental health needs affect trust and engagement. Compassion must be balanced with boundaries and safeguarding responsibilities.</w:t>
      </w:r>
    </w:p>
    <w:p xmlns:wp14="http://schemas.microsoft.com/office/word/2010/wordml" w:rsidP="77045F06" wp14:paraId="73BF4C3B" wp14:textId="28BC4EC8">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Reflecting on this experience, I recognise relationship</w:t>
      </w:r>
      <w:r w:rsidRPr="77045F06" w:rsidR="2F114B88">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building, patience and initiative as strengths. I also recognise that frightening situations require careful professional responses. I need to continue developing my ability to explain decisions, evaluate outcomes and seek advice when risks exceed my knowledge.</w:t>
      </w:r>
    </w:p>
    <w:p xmlns:wp14="http://schemas.microsoft.com/office/word/2010/wordml" w:rsidP="77045F06" wp14:paraId="4A54BBA3" wp14:textId="28C109CA">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 improve my practice, I will continue developing my understanding of person</w:t>
      </w:r>
      <w:r>
        <w:noBreakHyphen/>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centred care and positive behaviour support, using supervision to reflect on difficult situations. I will ensure records are factual and respectful, share information appropriately and review care plans before activities. I will seek training and feedback to support ongoing professional development.</w:t>
      </w:r>
    </w:p>
    <w:p xmlns:wp14="http://schemas.microsoft.com/office/word/2010/wordml" w:rsidP="77045F06" wp14:paraId="23C427E1" wp14:textId="7138FB84">
      <w:pPr>
        <w:keepNext w:val="1"/>
        <w:keepLines w:val="1"/>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Conclusion</w:t>
      </w:r>
    </w:p>
    <w:p xmlns:wp14="http://schemas.microsoft.com/office/word/2010/wordml" w:rsidP="77045F06" wp14:paraId="6DF08908" wp14:textId="739214D8">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This report has </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demonstrated</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that person</w:t>
      </w:r>
      <w:r>
        <w:noBreakHyphen/>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centred care, partnership working and ethical practice are essential to effective health and social care. Robyn’s case shows that personalised support improves autonomy and participation when systems respond to individual priorities. My own experience highlights the importance of dignity, meaningful relationships, proportionate risk </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management</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and reflection. Ongoing professional development will help me combine compassion with evidence</w:t>
      </w:r>
      <w:r w:rsidRPr="77045F06" w:rsidR="581DC3C5">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informed practice, safeguarding and accountability.</w:t>
      </w:r>
    </w:p>
    <w:p xmlns:wp14="http://schemas.microsoft.com/office/word/2010/wordml" w:rsidP="77045F06" wp14:paraId="50BCDA72" wp14:textId="42D4D35A">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1EF89830" wp14:textId="1295DB67">
      <w:pPr>
        <w:keepNext w:val="1"/>
        <w:keepLines w:val="1"/>
        <w:spacing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Reference list </w:t>
      </w:r>
    </w:p>
    <w:p xmlns:wp14="http://schemas.microsoft.com/office/word/2010/wordml" w:rsidP="77045F06" wp14:paraId="6CDD8D9E" wp14:textId="43329A24">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Beauchamp, T.L. and Childress, J.F. (2019) </w:t>
      </w:r>
      <w:r w:rsidRPr="77045F06" w:rsidR="182A91B1">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Principles of Biomedical Ethics</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8th edn. New York: Oxford University Press.</w:t>
      </w:r>
    </w:p>
    <w:p xmlns:wp14="http://schemas.microsoft.com/office/word/2010/wordml" w:rsidP="77045F06" wp14:paraId="7E8AB025" wp14:textId="0F1E505C">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Department of Health (2005). </w:t>
      </w:r>
      <w:r w:rsidRPr="77045F06" w:rsidR="182A91B1">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Mental capacity act 2005</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Available at: </w:t>
      </w:r>
      <w:hyperlink r:id="R1a7b9982d64446ac">
        <w:r w:rsidRPr="77045F06" w:rsidR="182A91B1">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https://www.legislation.gov.uk/ukpga/2005/9/pdfs/ukpga_20050009_en.pdf</w:t>
        </w:r>
      </w:hyperlink>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11 October. 2026).</w:t>
      </w:r>
    </w:p>
    <w:p xmlns:wp14="http://schemas.microsoft.com/office/word/2010/wordml" w:rsidP="77045F06" wp14:paraId="4B8CAAC1" wp14:textId="23687733">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England, N. (n.d.). </w:t>
      </w:r>
      <w:r w:rsidRPr="77045F06" w:rsidR="182A91B1">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NHS England » Robyn’s story</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England.nhs.uk. Available at: </w:t>
      </w:r>
      <w:hyperlink r:id="Reca48d0bb47d458c">
        <w:r w:rsidRPr="77045F06" w:rsidR="182A91B1">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https://www.england.nhs.uk/personalisedcare/comprehensive-model/case-studies/robyns-story/</w:t>
        </w:r>
      </w:hyperlink>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9 October. 2026).</w:t>
      </w:r>
    </w:p>
    <w:p xmlns:wp14="http://schemas.microsoft.com/office/word/2010/wordml" w:rsidP="77045F06" wp14:paraId="6EC0E190" wp14:textId="1C422FFB">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Gibbs, G. (1988) </w:t>
      </w:r>
      <w:r w:rsidRPr="77045F06" w:rsidR="182A91B1">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Learning by Doing: A Guide to Teaching and Learning Methods</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Oxford: Further Education Unit, Oxford Polytechnic.</w:t>
      </w:r>
    </w:p>
    <w:p xmlns:wp14="http://schemas.microsoft.com/office/word/2010/wordml" w:rsidP="77045F06" wp14:paraId="229D440A" wp14:textId="163ED499">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GOV.UK (2018). </w:t>
      </w:r>
      <w:r w:rsidRPr="77045F06" w:rsidR="182A91B1">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Data protection act 2018</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legislation.gov.uk. Available at: </w:t>
      </w:r>
      <w:hyperlink r:id="R22d8de2b090b47da">
        <w:r w:rsidRPr="77045F06" w:rsidR="182A91B1">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https://www.legislation.gov.uk/ukpga/2018/12/contents</w:t>
        </w:r>
      </w:hyperlink>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11 October. 2026).</w:t>
      </w:r>
    </w:p>
    <w:p xmlns:wp14="http://schemas.microsoft.com/office/word/2010/wordml" w:rsidP="77045F06" wp14:paraId="5A7F187B" wp14:textId="233562F9">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GOV.UK (2010). </w:t>
      </w:r>
      <w:r w:rsidRPr="77045F06" w:rsidR="182A91B1">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Equality act 2010</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Legislation.gov.uk. Available at: </w:t>
      </w:r>
      <w:hyperlink r:id="Rbc730e965ce442f9">
        <w:r w:rsidRPr="77045F06" w:rsidR="182A91B1">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https://www.legislation.gov.uk/ukpga/2010/15/contents</w:t>
        </w:r>
      </w:hyperlink>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11 October. 2026].</w:t>
      </w:r>
    </w:p>
    <w:p xmlns:wp14="http://schemas.microsoft.com/office/word/2010/wordml" w:rsidP="77045F06" wp14:paraId="351B3EFC" wp14:textId="2AFFC81F">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6C01C989" wp14:textId="0218F232">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Health and Care Act (2022). </w:t>
      </w:r>
      <w:r w:rsidRPr="77045F06" w:rsidR="182A91B1">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Health and care act 2022</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Legislation.gov.uk. Available at: </w:t>
      </w:r>
      <w:hyperlink r:id="Rb1d44a984a874b63">
        <w:r w:rsidRPr="77045F06" w:rsidR="182A91B1">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https://www.legislation.gov.uk/ukpga/2022/31/contents</w:t>
        </w:r>
      </w:hyperlink>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14 October. 2026].</w:t>
      </w:r>
    </w:p>
    <w:p xmlns:wp14="http://schemas.microsoft.com/office/word/2010/wordml" w:rsidP="77045F06" wp14:paraId="64A95F58" wp14:textId="1CDCA810">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44DB679A" wp14:textId="3CAD74DB">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Legislation.gov.uk (2014). </w:t>
      </w:r>
      <w:r w:rsidRPr="77045F06" w:rsidR="182A91B1">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The health and social care act 2008 (regulated activities) regulations 2014</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Legislation.gov.uk. Available at: </w:t>
      </w:r>
      <w:hyperlink r:id="R89e70ff26dc44602">
        <w:r w:rsidRPr="77045F06" w:rsidR="182A91B1">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https://www.legislation.gov.uk/uksi/2014/2936/contents</w:t>
        </w:r>
      </w:hyperlink>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14 Oct. 2026].</w:t>
      </w:r>
    </w:p>
    <w:p xmlns:wp14="http://schemas.microsoft.com/office/word/2010/wordml" w:rsidP="77045F06" wp14:paraId="04429722" wp14:textId="51713825">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42AFF3B5" wp14:textId="3EC9CC06">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McCormack, B. and McCance, T. (2017) </w:t>
      </w:r>
      <w:r w:rsidRPr="77045F06" w:rsidR="182A91B1">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Person</w:t>
      </w:r>
      <w:r>
        <w:noBreakHyphen/>
      </w:r>
      <w:r w:rsidRPr="77045F06" w:rsidR="182A91B1">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Centred Practice in Nursing and Health Care: Theory and Practice</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2nd edn. Chichester: Wiley</w:t>
      </w:r>
      <w:r>
        <w:noBreakHyphen/>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Blackwell.</w:t>
      </w:r>
    </w:p>
    <w:p xmlns:wp14="http://schemas.microsoft.com/office/word/2010/wordml" w:rsidP="77045F06" wp14:paraId="419B63F2" wp14:textId="2740A98B">
      <w:pPr>
        <w:spacing w:before="0" w:beforeAutospacing="off" w:after="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NICE (2015). </w:t>
      </w:r>
      <w:r w:rsidRPr="77045F06" w:rsidR="182A91B1">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Overview | challenging behaviour and learning disabilities: Prevention and interventions for people with learning disabilities whose behaviour challenges | guidance | NICE</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Nice.org.uk. Available at: </w:t>
      </w:r>
      <w:hyperlink r:id="R8f0696be92984be0">
        <w:r w:rsidRPr="77045F06" w:rsidR="182A91B1">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https://www.nice.org.uk/guidance/ng11</w:t>
        </w:r>
      </w:hyperlink>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9 October. 2026).</w:t>
      </w:r>
    </w:p>
    <w:p xmlns:wp14="http://schemas.microsoft.com/office/word/2010/wordml" w:rsidP="77045F06" wp14:paraId="11378DE2" wp14:textId="3198BA30">
      <w:pPr>
        <w:spacing w:before="240" w:beforeAutospacing="off" w:after="240" w:afterAutospacing="off" w:line="360" w:lineRule="auto"/>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UK Government (2025). </w:t>
      </w:r>
      <w:r w:rsidRPr="77045F06" w:rsidR="182A91B1">
        <w:rPr>
          <w:rFonts w:ascii="Arial" w:hAnsi="Arial" w:eastAsia="Arial" w:cs="Arial"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Data protection act</w:t>
      </w:r>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[online] Gov.uk. Available at: </w:t>
      </w:r>
      <w:hyperlink r:id="R3ea7368ce905480a">
        <w:r w:rsidRPr="77045F06" w:rsidR="182A91B1">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https://www.gov.uk/data-protection</w:t>
        </w:r>
      </w:hyperlink>
      <w:r w:rsidRPr="77045F06" w:rsidR="182A91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9 October. 2026).</w:t>
      </w:r>
    </w:p>
    <w:p xmlns:wp14="http://schemas.microsoft.com/office/word/2010/wordml" w:rsidP="77045F06" wp14:paraId="0C73EEB3" wp14:textId="62D6BC0F">
      <w:pPr>
        <w:spacing w:before="240" w:beforeAutospacing="off" w:after="240" w:afterAutospacing="off"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77045F06" wp14:paraId="4BBABF64" wp14:textId="3A632375">
      <w:pP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p14:paraId="5E5787A5" wp14:textId="12239F07"/>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6CBBB8"/>
    <w:rsid w:val="0113FDD3"/>
    <w:rsid w:val="0703768A"/>
    <w:rsid w:val="0A5BFA6F"/>
    <w:rsid w:val="0E74D89E"/>
    <w:rsid w:val="11948514"/>
    <w:rsid w:val="182A91B1"/>
    <w:rsid w:val="19A5BA58"/>
    <w:rsid w:val="2C4B4716"/>
    <w:rsid w:val="2F114B88"/>
    <w:rsid w:val="3A188CCF"/>
    <w:rsid w:val="3AECC88B"/>
    <w:rsid w:val="3F81FB2F"/>
    <w:rsid w:val="4204B9B3"/>
    <w:rsid w:val="4A607224"/>
    <w:rsid w:val="4D564565"/>
    <w:rsid w:val="4DE8057C"/>
    <w:rsid w:val="53CEF523"/>
    <w:rsid w:val="581DC3C5"/>
    <w:rsid w:val="58873026"/>
    <w:rsid w:val="5E256211"/>
    <w:rsid w:val="646CBBB8"/>
    <w:rsid w:val="655188EE"/>
    <w:rsid w:val="6F35499A"/>
    <w:rsid w:val="77045F06"/>
    <w:rsid w:val="7D7C1D6B"/>
    <w:rsid w:val="7FBA87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F9CC9"/>
  <w15:chartTrackingRefBased/>
  <w15:docId w15:val="{A66CDCF3-C7D1-4B35-AF45-284D54647D7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77045F0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455861390" /><Relationship Type="http://schemas.openxmlformats.org/officeDocument/2006/relationships/hyperlink" Target="https://www.legislation.gov.uk/ukpga/2005/9/pdfs/ukpga_20050009_en.pdf" TargetMode="External" Id="R1a7b9982d64446ac" /><Relationship Type="http://schemas.openxmlformats.org/officeDocument/2006/relationships/hyperlink" Target="https://www.england.nhs.uk/personalisedcare/comprehensive-model/case-studies/robyns-story/" TargetMode="External" Id="Reca48d0bb47d458c" /><Relationship Type="http://schemas.openxmlformats.org/officeDocument/2006/relationships/hyperlink" Target="https://www.legislation.gov.uk/ukpga/2018/12/contents" TargetMode="External" Id="R22d8de2b090b47da" /><Relationship Type="http://schemas.openxmlformats.org/officeDocument/2006/relationships/hyperlink" Target="https://www.legislation.gov.uk/ukpga/2010/15/contents" TargetMode="External" Id="Rbc730e965ce442f9" /><Relationship Type="http://schemas.openxmlformats.org/officeDocument/2006/relationships/hyperlink" Target="https://www.legislation.gov.uk/ukpga/2022/31/contents" TargetMode="External" Id="Rb1d44a984a874b63" /><Relationship Type="http://schemas.openxmlformats.org/officeDocument/2006/relationships/hyperlink" Target="https://www.legislation.gov.uk/uksi/2014/2936/contents" TargetMode="External" Id="R89e70ff26dc44602" /><Relationship Type="http://schemas.openxmlformats.org/officeDocument/2006/relationships/hyperlink" Target="https://www.nice.org.uk/guidance/ng11" TargetMode="External" Id="R8f0696be92984be0" /><Relationship Type="http://schemas.openxmlformats.org/officeDocument/2006/relationships/hyperlink" Target="https://www.gov.uk/data-protection" TargetMode="External" Id="R3ea7368ce905480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Nina Mya (2328173)</dc:creator>
  <keywords/>
  <dc:description/>
  <lastModifiedBy>Nina Mya (2328173)</lastModifiedBy>
  <revision>2</revision>
  <dcterms:created xsi:type="dcterms:W3CDTF">2026-10-14T21:31:16.0279058Z</dcterms:created>
  <dcterms:modified xsi:type="dcterms:W3CDTF">2026-10-14T21:43:48.0911176Z</dcterms:modified>
</coreProperties>
</file>