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settings.xml" ContentType="application/vnd.openxmlformats-officedocument.wordprocessingml.setting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pStyle w:val="16"/>
        <w:rPr>
          <w:lang w:val="en-GB"/>
        </w:rPr>
      </w:pPr>
      <w:bookmarkStart w:id="0" w:name="_m68088hlhou8"/>
      <w:bookmarkEnd w:id="0"/>
    </w:p>
    <w:p>
      <w:pPr>
        <w:pStyle w:val="16"/>
        <w:rPr>
          <w:lang w:val="en-GB"/>
        </w:rPr>
      </w:pPr>
      <w:bookmarkStart w:id="1" w:name="_bpz8sh5kwz4s"/>
      <w:bookmarkEnd w:id="1"/>
      <w:r>
        <w:rPr>
          <w:lang w:val="en-GB"/>
        </w:rPr>
        <w:drawing>
          <wp:inline distT="114300" distB="114300" distL="114300" distR="114300">
            <wp:extent cx="2000250" cy="904875"/>
            <wp:effectExtent l="0" t="0" r="0" b="0"/>
            <wp:docPr id="1" name="图片 1"/>
            <wp:cNvGraphicFramePr>
              <a:graphicFrameLocks noChangeAspect="0"/>
            </wp:cNvGraphicFramePr>
            <a:graphic>
              <a:graphicData uri="http://schemas.openxmlformats.org/drawingml/2006/picture">
                <pic:pic>
                  <pic:nvPicPr>
                    <pic:cNvPr id="3" name="图片 3"/>
                    <pic:cNvPicPr/>
                  </pic:nvPicPr>
                  <pic:blipFill>
                    <a:blip r:embed="rId2"/>
                    <a:stretch>
                      <a:fillRect/>
                    </a:stretch>
                  </pic:blipFill>
                  <pic:spPr>
                    <a:xfrm rot="0">
                      <a:off x="0" y="0"/>
                      <a:ext cx="2000250" cy="904875"/>
                    </a:xfrm>
                    <a:prstGeom prst="rect"/>
                    <a:noFill/>
                    <a:ln w="12700" cmpd="sng" cap="flat">
                      <a:solidFill>
                        <a:srgbClr val="000000"/>
                      </a:solidFill>
                      <a:prstDash val="solid"/>
                      <a:round/>
                    </a:ln>
                  </pic:spPr>
                </pic:pic>
              </a:graphicData>
            </a:graphic>
          </wp:inline>
        </w:drawing>
      </w:r>
      <w:bookmarkStart w:id="2" w:name="_GoBack"/>
      <w:bookmarkEnd w:id="2"/>
    </w:p>
    <w:p>
      <w:pPr>
        <w:pStyle w:val="15"/>
        <w:rPr>
          <w:lang w:val="en-GB"/>
        </w:rPr>
      </w:pPr>
    </w:p>
    <w:p>
      <w:pPr>
        <w:pStyle w:val="15"/>
        <w:rPr>
          <w:lang w:val="en-GB"/>
        </w:rPr>
      </w:pPr>
    </w:p>
    <w:p>
      <w:pPr>
        <w:pStyle w:val="16"/>
        <w:rPr>
          <w:sz w:val="30"/>
          <w:szCs w:val="30"/>
          <w:lang w:val="en-GB"/>
        </w:rPr>
      </w:pPr>
      <w:bookmarkStart w:id="3" w:name="_hfk2gsl8dav7"/>
      <w:bookmarkEnd w:id="3"/>
      <w:r>
        <w:rPr>
          <w:sz w:val="30"/>
          <w:szCs w:val="30"/>
          <w:lang w:val="en-GB"/>
        </w:rPr>
        <w:t>PROGRAMME: MASTER OF BUSINESS ADMINISTRATION</w:t>
      </w:r>
    </w:p>
    <w:p>
      <w:pPr>
        <w:pStyle w:val="16"/>
        <w:rPr>
          <w:sz w:val="30"/>
          <w:szCs w:val="30"/>
          <w:lang w:val="en-GB"/>
        </w:rPr>
      </w:pPr>
      <w:bookmarkStart w:id="4" w:name="_5i7puc9tv3ig"/>
      <w:bookmarkEnd w:id="4"/>
      <w:r>
        <w:rPr>
          <w:sz w:val="30"/>
          <w:szCs w:val="30"/>
          <w:lang w:val="en-GB"/>
        </w:rPr>
        <w:t>MODULE: HUMAN CAPITAL MANAGEMENT</w:t>
      </w:r>
    </w:p>
    <w:p>
      <w:pPr>
        <w:pStyle w:val="16"/>
        <w:rPr>
          <w:sz w:val="30"/>
          <w:szCs w:val="30"/>
          <w:lang w:val="en-GB"/>
        </w:rPr>
      </w:pPr>
      <w:bookmarkStart w:id="5" w:name="_rd7ab7lm2smh"/>
      <w:bookmarkEnd w:id="5"/>
      <w:r>
        <w:rPr>
          <w:sz w:val="30"/>
          <w:szCs w:val="30"/>
          <w:lang w:val="en-GB"/>
        </w:rPr>
        <w:t>MODULE CODE: LCMB7023</w:t>
      </w:r>
      <w:bookmarkStart w:id="6" w:name="_rcaz7w3mssae"/>
      <w:bookmarkStart w:id="7" w:name="_7n7f0fbnn28a"/>
      <w:bookmarkEnd w:id="6"/>
      <w:bookmarkEnd w:id="7"/>
    </w:p>
    <w:p>
      <w:pPr>
        <w:pStyle w:val="16"/>
        <w:rPr>
          <w:i/>
          <w:iCs/>
          <w:sz w:val="30"/>
          <w:szCs w:val="30"/>
          <w:lang w:val="en-GB"/>
        </w:rPr>
      </w:pPr>
      <w:bookmarkStart w:id="8" w:name="_qj6uyuqivhqo"/>
      <w:bookmarkEnd w:id="8"/>
      <w:r>
        <w:rPr>
          <w:i/>
          <w:iCs/>
          <w:sz w:val="30"/>
          <w:szCs w:val="30"/>
          <w:lang w:val="en-GB"/>
        </w:rPr>
        <w:t>TOPIC: DESIGNING A HUMAN CAPITAL ARCHITECTURE FOR STRATEGIC RENEWAL</w:t>
      </w:r>
    </w:p>
    <w:p>
      <w:pPr>
        <w:pStyle w:val="15"/>
        <w:jc w:val="center"/>
        <w:rPr>
          <w:b/>
          <w:bCs/>
          <w:sz w:val="30"/>
          <w:szCs w:val="30"/>
        </w:rPr>
      </w:pPr>
    </w:p>
    <w:p>
      <w:pPr>
        <w:pStyle w:val="15"/>
        <w:jc w:val="center"/>
        <w:rPr>
          <w:b/>
          <w:bCs/>
          <w:sz w:val="32"/>
          <w:szCs w:val="32"/>
        </w:rPr>
      </w:pPr>
      <w:r>
        <w:rPr>
          <w:b/>
          <w:bCs/>
          <w:sz w:val="32"/>
          <w:szCs w:val="32"/>
        </w:rPr>
        <w:t>Student Name : Yash Thakor</w:t>
      </w:r>
    </w:p>
    <w:p>
      <w:pPr>
        <w:pStyle w:val="15"/>
        <w:jc w:val="center"/>
        <w:rPr>
          <w:b/>
          <w:bCs/>
          <w:sz w:val="32"/>
          <w:szCs w:val="32"/>
        </w:rPr>
      </w:pPr>
      <w:r>
        <w:rPr>
          <w:b/>
          <w:bCs/>
          <w:sz w:val="32"/>
          <w:szCs w:val="32"/>
        </w:rPr>
        <w:t>Student ID : 2436840</w:t>
      </w:r>
    </w:p>
    <w:p>
      <w:pPr>
        <w:pStyle w:val="15"/>
        <w:jc w:val="center"/>
        <w:rPr>
          <w:b/>
          <w:bCs/>
          <w:sz w:val="32"/>
          <w:szCs w:val="32"/>
        </w:rPr>
      </w:pPr>
      <w:r>
        <w:rPr>
          <w:b/>
          <w:bCs/>
          <w:sz w:val="32"/>
          <w:szCs w:val="32"/>
        </w:rPr>
        <w:t>Lecturer : Dr. Sharukh Irfan</w:t>
      </w:r>
    </w:p>
    <w:p>
      <w:pPr>
        <w:pStyle w:val="15"/>
        <w:rPr>
          <w:lang w:val="en-GB"/>
        </w:rPr>
      </w:pPr>
      <w:r>
        <w:rPr>
          <w:lang w:val="en-GB"/>
        </w:rPr>
        <w:br w:type="page"/>
      </w:r>
    </w:p>
    <w:p>
      <w:pPr>
        <w:pStyle w:val="15"/>
        <w:jc w:val="center"/>
        <w:rPr>
          <w:b/>
          <w:bCs/>
          <w:lang w:val="en-GB"/>
        </w:rPr>
      </w:pPr>
      <w:r>
        <w:rPr>
          <w:b/>
          <w:bCs/>
          <w:lang w:val="en-GB"/>
        </w:rPr>
        <w:t xml:space="preserve">Executive Summary </w:t>
      </w:r>
    </w:p>
    <w:p>
      <w:pPr>
        <w:rPr>
          <w:lang w:val="en-GB"/>
        </w:rPr>
      </w:pPr>
      <w:r>
        <w:rPr>
          <w:lang w:val="en-GB"/>
        </w:rPr>
        <w:t xml:space="preserve">Helios is required to focus on developing a strategic shift from traditional onboarding towards modernisation and digitalisation. Identity Construction Theory suggests to </w:t>
      </w:r>
      <w:r>
        <w:t>handle</w:t>
      </w:r>
      <w:r>
        <w:rPr>
          <w:lang w:val="en-GB"/>
        </w:rPr>
        <w:t xml:space="preserve"> new employees by creating the chance to act as passive recipients of organisational information and also fixed role expectations. The psychological contract fulfilment often impacts employee engagement in various work units. Establishment of the strategic socialisation framework, Helios needs a strong mechanism that can motivate to utilise all the organisational resources as well as improve the business performance in an effective manner.</w:t>
      </w:r>
    </w:p>
    <w:p>
      <w:pPr>
        <w:pStyle w:val="15"/>
        <w:rPr>
          <w:lang w:val="en-GB"/>
        </w:rPr>
      </w:pPr>
      <w:r>
        <w:rPr>
          <w:lang w:val="en-GB"/>
        </w:rPr>
        <w:t xml:space="preserve">The proposed job design includes intrinsic motivation through transparency in job roles, responsibilities and required skills based on the skills, knowledge and capacities of the employees. The implementation of the theoretical aspects of the job characteristic model, job crafting framework and skills-based architecture will benefit the proposed job design for HUM in terms of driving employee engagement with mental or psychological satisfaction. </w:t>
      </w:r>
    </w:p>
    <w:p>
      <w:pPr>
        <w:rPr>
          <w:lang w:val="en-GB"/>
        </w:rPr>
      </w:pPr>
      <w:r>
        <w:rPr>
          <w:lang w:val="en-GB"/>
        </w:rPr>
        <w:br w:type="page"/>
      </w:r>
    </w:p>
    <w:p>
      <w:pPr>
        <w:pStyle w:val="19"/>
        <w:spacing w:line="360" w:lineRule="auto"/>
        <w:jc w:val="center"/>
        <w:rPr>
          <w:rFonts w:ascii="Times New Roman" w:cs="Times New Roman" w:hAnsi="Times New Roman"/>
          <w:color w:val="000000"/>
          <w:sz w:val="24"/>
          <w:szCs w:val="24"/>
        </w:rPr>
      </w:pPr>
      <w:r>
        <w:rPr>
          <w:rFonts w:ascii="Times New Roman" w:cs="Times New Roman" w:hAnsi="Times New Roman"/>
          <w:color w:val="000000"/>
          <w:sz w:val="24"/>
          <w:szCs w:val="24"/>
        </w:rPr>
        <w:t>Table of Contents</w:t>
      </w:r>
    </w:p>
    <w:p>
      <w:pPr>
        <w:pStyle w:val="20"/>
        <w:tabs>
          <w:tab w:val="right" w:leader="dot" w:pos="9350"/>
        </w:tabs>
        <w:rPr>
          <w:rFonts w:ascii="Cambria" w:eastAsia="宋体" w:cs="Arial" w:hAnsi="Cambria"/>
          <w:sz w:val="22"/>
          <w:szCs w:val="22"/>
          <w:lang w:val="en-IN" w:eastAsia="en-IN"/>
        </w:rPr>
      </w:pPr>
      <w:r>
        <w:rPr>
          <w:color w:val="000000"/>
        </w:rPr>
        <w:fldChar w:fldCharType="begin"/>
      </w:r>
      <w:r>
        <w:rPr>
          <w:color w:val="000000"/>
        </w:rPr>
        <w:instrText xml:space="preserve"> TOC \o "1-3" \h \z \u </w:instrText>
      </w:r>
      <w:r>
        <w:rPr>
          <w:color w:val="000000"/>
        </w:rPr>
        <w:fldChar w:fldCharType="separate"/>
      </w:r>
      <w:r>
        <w:fldChar w:fldCharType="begin"/>
      </w:r>
      <w:r>
        <w:instrText>Hyperlink \l "_Toc234074610"</w:instrText>
      </w:r>
      <w:r>
        <w:fldChar w:fldCharType="separate"/>
      </w:r>
      <w:r>
        <w:rPr>
          <w:lang w:val="en-GB"/>
        </w:rPr>
        <w:t>TASK A: Socialisation, Identity &amp; Business Activism</w:t>
      </w:r>
      <w:r>
        <w:tab/>
      </w:r>
      <w:r>
        <w:fldChar w:fldCharType="begin"/>
      </w:r>
      <w:r>
        <w:instrText xml:space="preserve"> PAGEREF _Toc234074610 \h </w:instrText>
      </w:r>
      <w:r>
        <w:fldChar w:fldCharType="separate"/>
      </w:r>
      <w:r>
        <w:t>4</w:t>
      </w:r>
      <w:r>
        <w:fldChar w:fldCharType="end"/>
      </w:r>
      <w:r>
        <w:fldChar w:fldCharType="end"/>
      </w:r>
    </w:p>
    <w:p>
      <w:pPr>
        <w:pStyle w:val="21"/>
        <w:tabs>
          <w:tab w:val="right" w:leader="dot" w:pos="9350"/>
        </w:tabs>
        <w:rPr>
          <w:rFonts w:ascii="Cambria" w:eastAsia="宋体" w:cs="Arial" w:hAnsi="Cambria"/>
          <w:sz w:val="22"/>
          <w:szCs w:val="22"/>
          <w:lang w:val="en-IN" w:eastAsia="en-IN"/>
        </w:rPr>
      </w:pPr>
      <w:r>
        <w:fldChar w:fldCharType="begin"/>
      </w:r>
      <w:r>
        <w:instrText>Hyperlink \l "_Toc234074611"</w:instrText>
      </w:r>
      <w:r>
        <w:fldChar w:fldCharType="separate"/>
      </w:r>
      <w:r>
        <w:rPr>
          <w:lang w:val="en-GB"/>
        </w:rPr>
        <w:t>1. Traditional Onboarding Vs Strategic Organisational Socialism</w:t>
      </w:r>
      <w:r>
        <w:tab/>
      </w:r>
      <w:r>
        <w:fldChar w:fldCharType="begin"/>
      </w:r>
      <w:r>
        <w:instrText xml:space="preserve"> PAGEREF _Toc234074611 \h </w:instrText>
      </w:r>
      <w:r>
        <w:fldChar w:fldCharType="separate"/>
      </w:r>
      <w:r>
        <w:t>4</w:t>
      </w:r>
      <w:r>
        <w:fldChar w:fldCharType="end"/>
      </w:r>
      <w:r>
        <w:fldChar w:fldCharType="end"/>
      </w:r>
    </w:p>
    <w:p>
      <w:pPr>
        <w:pStyle w:val="21"/>
        <w:tabs>
          <w:tab w:val="right" w:leader="dot" w:pos="9350"/>
        </w:tabs>
        <w:rPr>
          <w:rFonts w:ascii="Cambria" w:eastAsia="宋体" w:cs="Arial" w:hAnsi="Cambria"/>
          <w:sz w:val="22"/>
          <w:szCs w:val="22"/>
          <w:lang w:val="en-IN" w:eastAsia="en-IN"/>
        </w:rPr>
      </w:pPr>
      <w:r>
        <w:fldChar w:fldCharType="begin"/>
      </w:r>
      <w:r>
        <w:instrText>Hyperlink \l "_Toc234074612"</w:instrText>
      </w:r>
      <w:r>
        <w:fldChar w:fldCharType="separate"/>
      </w:r>
      <w:r>
        <w:rPr>
          <w:lang w:val="en-GB"/>
        </w:rPr>
        <w:t>2. A structured socialisation framework for Helios</w:t>
      </w:r>
      <w:r>
        <w:tab/>
      </w:r>
      <w:r>
        <w:fldChar w:fldCharType="begin"/>
      </w:r>
      <w:r>
        <w:instrText xml:space="preserve"> PAGEREF _Toc234074612 \h </w:instrText>
      </w:r>
      <w:r>
        <w:fldChar w:fldCharType="separate"/>
      </w:r>
      <w:r>
        <w:t>6</w:t>
      </w:r>
      <w:r>
        <w:fldChar w:fldCharType="end"/>
      </w:r>
      <w:r>
        <w:fldChar w:fldCharType="end"/>
      </w:r>
    </w:p>
    <w:p>
      <w:pPr>
        <w:pStyle w:val="21"/>
        <w:tabs>
          <w:tab w:val="right" w:leader="dot" w:pos="9350"/>
        </w:tabs>
        <w:rPr>
          <w:rFonts w:ascii="Cambria" w:eastAsia="宋体" w:cs="Arial" w:hAnsi="Cambria"/>
          <w:sz w:val="22"/>
          <w:szCs w:val="22"/>
          <w:lang w:val="en-IN" w:eastAsia="en-IN"/>
        </w:rPr>
      </w:pPr>
      <w:r>
        <w:fldChar w:fldCharType="begin"/>
      </w:r>
      <w:r>
        <w:instrText>Hyperlink \l "_Toc234074613"</w:instrText>
      </w:r>
      <w:r>
        <w:fldChar w:fldCharType="separate"/>
      </w:r>
      <w:r>
        <w:rPr>
          <w:lang w:val="en-GB"/>
        </w:rPr>
        <w:t>3. Propose a Mechanism for Cultivation</w:t>
      </w:r>
      <w:r>
        <w:tab/>
      </w:r>
      <w:r>
        <w:fldChar w:fldCharType="begin"/>
      </w:r>
      <w:r>
        <w:instrText xml:space="preserve"> PAGEREF _Toc234074613 \h </w:instrText>
      </w:r>
      <w:r>
        <w:fldChar w:fldCharType="separate"/>
      </w:r>
      <w:r>
        <w:t>7</w:t>
      </w:r>
      <w:r>
        <w:fldChar w:fldCharType="end"/>
      </w:r>
      <w:r>
        <w:fldChar w:fldCharType="end"/>
      </w:r>
    </w:p>
    <w:p>
      <w:pPr>
        <w:pStyle w:val="20"/>
        <w:tabs>
          <w:tab w:val="right" w:leader="dot" w:pos="9350"/>
        </w:tabs>
        <w:rPr>
          <w:rFonts w:ascii="Cambria" w:eastAsia="宋体" w:cs="Arial" w:hAnsi="Cambria"/>
          <w:sz w:val="22"/>
          <w:szCs w:val="22"/>
          <w:lang w:val="en-IN" w:eastAsia="en-IN"/>
        </w:rPr>
      </w:pPr>
      <w:r>
        <w:fldChar w:fldCharType="begin"/>
      </w:r>
      <w:r>
        <w:instrText>Hyperlink \l "_Toc234074614"</w:instrText>
      </w:r>
      <w:r>
        <w:fldChar w:fldCharType="separate"/>
      </w:r>
      <w:r>
        <w:rPr>
          <w:lang w:val="en-GB"/>
        </w:rPr>
        <w:t>TASK B: Job Design</w:t>
      </w:r>
      <w:r>
        <w:tab/>
      </w:r>
      <w:r>
        <w:fldChar w:fldCharType="begin"/>
      </w:r>
      <w:r>
        <w:instrText xml:space="preserve"> PAGEREF _Toc234074614 \h </w:instrText>
      </w:r>
      <w:r>
        <w:fldChar w:fldCharType="separate"/>
      </w:r>
      <w:r>
        <w:t>8</w:t>
      </w:r>
      <w:r>
        <w:fldChar w:fldCharType="end"/>
      </w:r>
      <w:r>
        <w:fldChar w:fldCharType="end"/>
      </w:r>
    </w:p>
    <w:p>
      <w:pPr>
        <w:pStyle w:val="21"/>
        <w:tabs>
          <w:tab w:val="right" w:leader="dot" w:pos="9350"/>
        </w:tabs>
        <w:rPr>
          <w:rFonts w:ascii="Cambria" w:eastAsia="宋体" w:cs="Arial" w:hAnsi="Cambria"/>
          <w:sz w:val="22"/>
          <w:szCs w:val="22"/>
          <w:lang w:val="en-IN" w:eastAsia="en-IN"/>
        </w:rPr>
      </w:pPr>
      <w:r>
        <w:fldChar w:fldCharType="begin"/>
      </w:r>
      <w:r>
        <w:instrText>Hyperlink \l "_Toc234074615"</w:instrText>
      </w:r>
      <w:r>
        <w:fldChar w:fldCharType="separate"/>
      </w:r>
      <w:r>
        <w:rPr>
          <w:lang w:val="en-GB"/>
        </w:rPr>
        <w:t>1. Proposal of an innovative job design strategy using the Job Characteristics Model, Job crafting theory, and Skills-based architecture</w:t>
      </w:r>
      <w:r>
        <w:tab/>
      </w:r>
      <w:r>
        <w:fldChar w:fldCharType="begin"/>
      </w:r>
      <w:r>
        <w:instrText xml:space="preserve"> PAGEREF _Toc234074615 \h </w:instrText>
      </w:r>
      <w:r>
        <w:fldChar w:fldCharType="separate"/>
      </w:r>
      <w:r>
        <w:t>8</w:t>
      </w:r>
      <w:r>
        <w:fldChar w:fldCharType="end"/>
      </w:r>
      <w:r>
        <w:fldChar w:fldCharType="end"/>
      </w:r>
    </w:p>
    <w:p>
      <w:pPr>
        <w:pStyle w:val="21"/>
        <w:tabs>
          <w:tab w:val="right" w:leader="dot" w:pos="9350"/>
        </w:tabs>
        <w:rPr>
          <w:rFonts w:ascii="Cambria" w:eastAsia="宋体" w:cs="Arial" w:hAnsi="Cambria"/>
          <w:sz w:val="22"/>
          <w:szCs w:val="22"/>
          <w:lang w:val="en-IN" w:eastAsia="en-IN"/>
        </w:rPr>
      </w:pPr>
      <w:r>
        <w:fldChar w:fldCharType="begin"/>
      </w:r>
      <w:r>
        <w:instrText>Hyperlink \l "_Toc234074616"</w:instrText>
      </w:r>
      <w:r>
        <w:fldChar w:fldCharType="separate"/>
      </w:r>
      <w:r>
        <w:rPr>
          <w:lang w:val="en-GB"/>
        </w:rPr>
        <w:t>2. Explanation on the relation of proposed design with intrinsic motivation and support innovation</w:t>
      </w:r>
      <w:r>
        <w:tab/>
      </w:r>
      <w:r>
        <w:fldChar w:fldCharType="begin"/>
      </w:r>
      <w:r>
        <w:instrText xml:space="preserve"> PAGEREF _Toc234074616 \h </w:instrText>
      </w:r>
      <w:r>
        <w:fldChar w:fldCharType="separate"/>
      </w:r>
      <w:r>
        <w:t>11</w:t>
      </w:r>
      <w:r>
        <w:fldChar w:fldCharType="end"/>
      </w:r>
      <w:r>
        <w:fldChar w:fldCharType="end"/>
      </w:r>
    </w:p>
    <w:p>
      <w:pPr>
        <w:pStyle w:val="20"/>
        <w:tabs>
          <w:tab w:val="right" w:leader="dot" w:pos="9350"/>
        </w:tabs>
        <w:rPr>
          <w:rFonts w:ascii="Cambria" w:eastAsia="宋体" w:cs="Arial" w:hAnsi="Cambria"/>
          <w:sz w:val="22"/>
          <w:szCs w:val="22"/>
          <w:lang w:val="en-IN" w:eastAsia="en-IN"/>
        </w:rPr>
      </w:pPr>
      <w:r>
        <w:fldChar w:fldCharType="begin"/>
      </w:r>
      <w:r>
        <w:instrText>Hyperlink \l "_Toc234074617"</w:instrText>
      </w:r>
      <w:r>
        <w:fldChar w:fldCharType="separate"/>
      </w:r>
      <w:r>
        <w:rPr>
          <w:lang w:val="en-GB"/>
        </w:rPr>
        <w:t>‌TASK C: Reflective report</w:t>
      </w:r>
      <w:r>
        <w:tab/>
      </w:r>
      <w:r>
        <w:fldChar w:fldCharType="begin"/>
      </w:r>
      <w:r>
        <w:instrText xml:space="preserve"> PAGEREF _Toc234074617 \h </w:instrText>
      </w:r>
      <w:r>
        <w:fldChar w:fldCharType="separate"/>
      </w:r>
      <w:r>
        <w:t>12</w:t>
      </w:r>
      <w:r>
        <w:fldChar w:fldCharType="end"/>
      </w:r>
      <w:r>
        <w:fldChar w:fldCharType="end"/>
      </w:r>
    </w:p>
    <w:p>
      <w:pPr>
        <w:pStyle w:val="21"/>
        <w:tabs>
          <w:tab w:val="right" w:leader="dot" w:pos="9350"/>
        </w:tabs>
        <w:rPr>
          <w:rFonts w:ascii="Cambria" w:eastAsia="宋体" w:cs="Arial" w:hAnsi="Cambria"/>
          <w:sz w:val="22"/>
          <w:szCs w:val="22"/>
          <w:lang w:val="en-IN" w:eastAsia="en-IN"/>
        </w:rPr>
      </w:pPr>
      <w:r>
        <w:fldChar w:fldCharType="begin"/>
      </w:r>
      <w:r>
        <w:instrText>Hyperlink \l "_Toc234074618"</w:instrText>
      </w:r>
      <w:r>
        <w:fldChar w:fldCharType="separate"/>
      </w:r>
      <w:r>
        <w:rPr>
          <w:lang w:val="en-GB"/>
        </w:rPr>
        <w:t>1. Discuss how you will use AI as a decision-support tool without eroding critical human judgment.</w:t>
      </w:r>
      <w:r>
        <w:tab/>
      </w:r>
      <w:r>
        <w:fldChar w:fldCharType="begin"/>
      </w:r>
      <w:r>
        <w:instrText xml:space="preserve"> PAGEREF _Toc234074618 \h </w:instrText>
      </w:r>
      <w:r>
        <w:fldChar w:fldCharType="separate"/>
      </w:r>
      <w:r>
        <w:t>12</w:t>
      </w:r>
      <w:r>
        <w:fldChar w:fldCharType="end"/>
      </w:r>
      <w:r>
        <w:fldChar w:fldCharType="end"/>
      </w:r>
    </w:p>
    <w:p>
      <w:pPr>
        <w:pStyle w:val="21"/>
        <w:tabs>
          <w:tab w:val="right" w:leader="dot" w:pos="9350"/>
        </w:tabs>
        <w:rPr>
          <w:rFonts w:ascii="Cambria" w:eastAsia="宋体" w:cs="Arial" w:hAnsi="Cambria"/>
          <w:sz w:val="22"/>
          <w:szCs w:val="22"/>
          <w:lang w:val="en-IN" w:eastAsia="en-IN"/>
        </w:rPr>
      </w:pPr>
      <w:r>
        <w:fldChar w:fldCharType="begin"/>
      </w:r>
      <w:r>
        <w:instrText>Hyperlink \l "_Toc234074619"</w:instrText>
      </w:r>
      <w:r>
        <w:fldChar w:fldCharType="separate"/>
      </w:r>
      <w:r>
        <w:rPr>
          <w:lang w:val="en-GB"/>
        </w:rPr>
        <w:t>2. Outlining a personal capability development plan to enhance future employability</w:t>
      </w:r>
      <w:r>
        <w:tab/>
      </w:r>
      <w:r>
        <w:fldChar w:fldCharType="begin"/>
      </w:r>
      <w:r>
        <w:instrText xml:space="preserve"> PAGEREF _Toc234074619 \h </w:instrText>
      </w:r>
      <w:r>
        <w:fldChar w:fldCharType="separate"/>
      </w:r>
      <w:r>
        <w:t>12</w:t>
      </w:r>
      <w:r>
        <w:fldChar w:fldCharType="end"/>
      </w:r>
      <w:r>
        <w:fldChar w:fldCharType="end"/>
      </w:r>
    </w:p>
    <w:p>
      <w:pPr>
        <w:pStyle w:val="20"/>
        <w:tabs>
          <w:tab w:val="right" w:leader="dot" w:pos="9350"/>
        </w:tabs>
        <w:rPr>
          <w:rFonts w:ascii="Cambria" w:eastAsia="宋体" w:cs="Arial" w:hAnsi="Cambria"/>
          <w:sz w:val="22"/>
          <w:szCs w:val="22"/>
          <w:lang w:val="en-IN" w:eastAsia="en-IN"/>
        </w:rPr>
      </w:pPr>
      <w:r>
        <w:fldChar w:fldCharType="begin"/>
      </w:r>
      <w:r>
        <w:instrText>Hyperlink \l "_Toc234074620"</w:instrText>
      </w:r>
      <w:r>
        <w:fldChar w:fldCharType="separate"/>
      </w:r>
      <w:r>
        <w:rPr>
          <w:lang w:val="en-GB"/>
        </w:rPr>
        <w:t>References</w:t>
      </w:r>
      <w:r>
        <w:tab/>
      </w:r>
      <w:r>
        <w:fldChar w:fldCharType="begin"/>
      </w:r>
      <w:r>
        <w:instrText xml:space="preserve"> PAGEREF _Toc234074620 \h </w:instrText>
      </w:r>
      <w:r>
        <w:fldChar w:fldCharType="separate"/>
      </w:r>
      <w:r>
        <w:t>14</w:t>
      </w:r>
      <w:r>
        <w:fldChar w:fldCharType="end"/>
      </w:r>
      <w:r>
        <w:fldChar w:fldCharType="end"/>
      </w:r>
    </w:p>
    <w:p>
      <w:r>
        <w:rPr>
          <w:color w:val="000000"/>
        </w:rPr>
        <w:fldChar w:fldCharType="end"/>
      </w:r>
    </w:p>
    <w:p>
      <w:pPr>
        <w:pStyle w:val="15"/>
        <w:rPr>
          <w:lang w:val="en-GB"/>
        </w:rPr>
      </w:pPr>
      <w:r>
        <w:rPr>
          <w:lang w:val="en-GB"/>
        </w:rPr>
        <w:br w:type="page"/>
      </w:r>
    </w:p>
    <w:p>
      <w:pPr>
        <w:pStyle w:val="1"/>
        <w:rPr>
          <w:lang w:val="en-GB"/>
        </w:rPr>
      </w:pPr>
      <w:bookmarkStart w:id="9" w:name="_mz1k5ktu1vro"/>
      <w:bookmarkStart w:id="10" w:name="_Toc234074610"/>
      <w:bookmarkEnd w:id="9"/>
      <w:r>
        <w:rPr>
          <w:lang w:val="en-GB"/>
        </w:rPr>
        <w:t>TASK A: Socialisation, Identity &amp; Business Activism</w:t>
      </w:r>
      <w:bookmarkEnd w:id="10"/>
      <w:r>
        <w:rPr>
          <w:lang w:val="en-GB"/>
        </w:rPr>
        <w:t xml:space="preserve"> </w:t>
      </w:r>
    </w:p>
    <w:p>
      <w:pPr>
        <w:pStyle w:val="2"/>
        <w:rPr>
          <w:lang w:val="en-GB"/>
        </w:rPr>
      </w:pPr>
      <w:bookmarkStart w:id="11" w:name="_Toc234074611"/>
      <w:r>
        <w:rPr>
          <w:lang w:val="en-GB"/>
        </w:rPr>
        <w:t>1. Traditional Onboarding Vs Strategic Organisational Socialism</w:t>
      </w:r>
      <w:bookmarkEnd w:id="11"/>
      <w:r>
        <w:rPr>
          <w:lang w:val="en-GB"/>
        </w:rPr>
        <w:t xml:space="preserve"> </w:t>
      </w:r>
    </w:p>
    <w:p>
      <w:pPr>
        <w:rPr>
          <w:lang w:val="en-GB"/>
        </w:rPr>
      </w:pPr>
      <w:r>
        <w:rPr>
          <w:lang w:val="en-GB"/>
        </w:rPr>
        <w:t xml:space="preserve">It has been recognised that Helios Urban Mobility is experiencing major organisational constraints after five years of rapid expansion that are related to an eight-month ramp-up period and weak organisational socialisation. As per the views of Godinho </w:t>
      </w:r>
      <w:r>
        <w:rPr>
          <w:i/>
          <w:iCs/>
          <w:lang w:val="en-GB"/>
        </w:rPr>
        <w:t xml:space="preserve">et al. </w:t>
      </w:r>
      <w:r>
        <w:rPr>
          <w:lang w:val="en-GB"/>
        </w:rPr>
        <w:t xml:space="preserve">(2023), organisational socialisation defines the process of familiarising new employees with the organisational values, norms, job roles, culture and behaviours. Addressing the current organisational challenges regarding the organisational socialisation scenario, Helios is required to focus on developing a strategic shift from traditional onboarding towards modernisation and digitalisation. Somu and Ali (2025) have highlighted the limitations of traditional onboarding regarding complex paperwork and system access, as well as deeper psychological and behavioural processes. On the contrary, this case company is suggested to shift to modern onboarding and strategic socialisation by focusing on building commitment as well as exposure to culture, purpose, and relationships. Sani </w:t>
      </w:r>
      <w:r>
        <w:rPr>
          <w:i/>
          <w:iCs/>
          <w:lang w:val="en-GB"/>
        </w:rPr>
        <w:t xml:space="preserve">et al. </w:t>
      </w:r>
      <w:r>
        <w:rPr>
          <w:lang w:val="en-GB"/>
        </w:rPr>
        <w:t>(2023) have reflected the strategic socialisation in the employee onboarding process for building a positive and trusted relationship. Evaluation of the suggested approaches and the existing ones at Helios Urban Mobility is conducted through Identity Construction and Psychological Contract Theory.</w:t>
      </w:r>
    </w:p>
    <w:p>
      <w:pPr>
        <w:rPr>
          <w:b/>
          <w:bCs/>
          <w:i/>
          <w:iCs/>
          <w:lang w:val="en-GB"/>
        </w:rPr>
      </w:pPr>
      <w:r>
        <w:rPr>
          <w:b/>
          <w:bCs/>
          <w:i/>
          <w:iCs/>
          <w:lang w:val="en-GB"/>
        </w:rPr>
        <w:t>Identity Construction</w:t>
      </w:r>
    </w:p>
    <w:p>
      <w:pPr>
        <w:rPr>
          <w:lang w:val="en-GB"/>
        </w:rPr>
      </w:pPr>
      <w:r>
        <w:rPr>
          <w:lang w:val="en-GB"/>
        </w:rPr>
        <w:t xml:space="preserve">The theoretical aspect of identity construction defines how an individual builds, shapes, and manages their identity via social interaction, experiences, as well as navigating cultures (Hammond </w:t>
      </w:r>
      <w:r>
        <w:rPr>
          <w:i/>
          <w:iCs/>
          <w:lang w:val="en-GB"/>
        </w:rPr>
        <w:t>et al.</w:t>
      </w:r>
      <w:r>
        <w:rPr>
          <w:lang w:val="en-GB"/>
        </w:rPr>
        <w:t xml:space="preserve"> 2025). This theory has also established the viewpoint that new employees can actively interpret organisational aspects to build a professional self-concept despite simply fulfilling the job roles. In the case of traditional onboarding, Helios new employees get the chance to act as passive recipients of organisational information and also fixed role expectations. The suggested points of view regarding strategic organisational socialism, with the support of Identity Construction, have evaluated that the construction of the self-concepts by the new employees should be meaningful and interactive. Helios can provide opportunities for conducting interaction, participating in training and development, and sharing the experiences. Strategic organisational socialism is critically valuable, as new hires get the chance to develop a better self-concept. A better understanding of the job roles, effective communication and guidance can make the strategic organisation socialism valuable to  Helios. Therefore, adapting this aspect can result in fostering better identity development than traditional onboarding at Helios.</w:t>
      </w:r>
    </w:p>
    <w:p>
      <w:pPr>
        <w:rPr>
          <w:b/>
          <w:bCs/>
          <w:i/>
          <w:iCs/>
          <w:lang w:val="en-GB"/>
        </w:rPr>
      </w:pPr>
      <w:r>
        <w:rPr>
          <w:b/>
          <w:bCs/>
          <w:i/>
          <w:iCs/>
          <w:lang w:val="en-GB"/>
        </w:rPr>
        <w:t>Psychological Contract Theory</w:t>
      </w:r>
    </w:p>
    <w:p>
      <w:pPr>
        <w:jc w:val="center"/>
        <w:rPr>
          <w:b/>
          <w:bCs/>
          <w:lang w:val="en-GB"/>
        </w:rPr>
      </w:pPr>
      <w:r>
        <w:rPr>
          <w:b/>
          <w:bCs/>
          <w:lang w:val="en-GB"/>
        </w:rPr>
        <w:drawing>
          <wp:inline distT="114300" distB="114300" distL="114300" distR="114300">
            <wp:extent cx="5943600" cy="4191000"/>
            <wp:effectExtent l="0" t="0" r="0" b="0"/>
            <wp:docPr id="4" name="图片 4"/>
            <wp:cNvGraphicFramePr>
              <a:graphicFrameLocks noChangeAspect="0"/>
            </wp:cNvGraphicFramePr>
            <a:graphic>
              <a:graphicData uri="http://schemas.openxmlformats.org/drawingml/2006/picture">
                <pic:pic>
                  <pic:nvPicPr>
                    <pic:cNvPr id="6" name="图片 6"/>
                    <pic:cNvPicPr/>
                  </pic:nvPicPr>
                  <pic:blipFill>
                    <a:blip r:embed="rId3"/>
                    <a:stretch>
                      <a:fillRect/>
                    </a:stretch>
                  </pic:blipFill>
                  <pic:spPr>
                    <a:xfrm rot="0">
                      <a:off x="0" y="0"/>
                      <a:ext cx="5943600" cy="4191000"/>
                    </a:xfrm>
                    <a:prstGeom prst="rect"/>
                    <a:noFill/>
                    <a:ln w="12700" cmpd="sng" cap="flat">
                      <a:solidFill>
                        <a:srgbClr val="000000"/>
                      </a:solidFill>
                      <a:prstDash val="solid"/>
                      <a:round/>
                    </a:ln>
                  </pic:spPr>
                </pic:pic>
              </a:graphicData>
            </a:graphic>
          </wp:inline>
        </w:drawing>
      </w:r>
    </w:p>
    <w:p>
      <w:pPr>
        <w:jc w:val="center"/>
        <w:rPr>
          <w:b/>
          <w:bCs/>
          <w:lang w:val="en-GB"/>
        </w:rPr>
      </w:pPr>
      <w:r>
        <w:rPr>
          <w:b/>
          <w:bCs/>
          <w:lang w:val="en-GB"/>
        </w:rPr>
        <w:t>Figure 1: Psychological Contract Theory</w:t>
      </w:r>
    </w:p>
    <w:p>
      <w:pPr>
        <w:jc w:val="center"/>
        <w:rPr>
          <w:lang w:val="en-GB"/>
        </w:rPr>
      </w:pPr>
      <w:r>
        <w:rPr>
          <w:lang w:val="en-GB"/>
        </w:rPr>
        <w:t xml:space="preserve">(Source: Inspired by Topa </w:t>
      </w:r>
      <w:r>
        <w:rPr>
          <w:i/>
          <w:iCs/>
          <w:lang w:val="en-GB"/>
        </w:rPr>
        <w:t>et al</w:t>
      </w:r>
      <w:r>
        <w:rPr>
          <w:lang w:val="en-GB"/>
        </w:rPr>
        <w:t>. 2022)</w:t>
      </w:r>
    </w:p>
    <w:p>
      <w:pPr>
        <w:rPr>
          <w:lang w:val="en-GB"/>
        </w:rPr>
      </w:pPr>
      <w:r>
        <w:rPr>
          <w:lang w:val="en-GB"/>
        </w:rPr>
        <w:t xml:space="preserve">The above figure has highlighted the main concept of Psychological Contract Theory, which explains the unwritten negotiation, expectations, obligations, as well as beliefs between employees and management in shaping workplace relationships (Topa </w:t>
      </w:r>
      <w:r>
        <w:rPr>
          <w:i/>
          <w:iCs/>
          <w:lang w:val="en-GB"/>
        </w:rPr>
        <w:t>et al</w:t>
      </w:r>
      <w:r>
        <w:rPr>
          <w:lang w:val="en-GB"/>
        </w:rPr>
        <w:t xml:space="preserve">. 2022). It has been recognised that psychological ownership balances onboarding quality and commitment for developing a successful team. On the other hand, the psychological contract fulfilment often impacts employee engagement in various work units (Gong and Wang, 2022). At Helios, the traditional onboarding compliance overlooks the side of employee relationships, focusing more on flexibility, security, and career development. On the other hand, strategic organisational socialisation supports this company to manage the unwritten expectations through continuous communication (Pianese </w:t>
      </w:r>
      <w:r>
        <w:rPr>
          <w:i/>
          <w:iCs/>
          <w:lang w:val="en-GB"/>
        </w:rPr>
        <w:t>et al</w:t>
      </w:r>
      <w:r>
        <w:rPr>
          <w:lang w:val="en-GB"/>
        </w:rPr>
        <w:t>. 2023). Contributing to the psychological facts, Helios can deal with realistic role clarification, mentoring, as well as relationship-building. Thus, following the strategic organisational socialisation, Helios can connect to newly hired employees in an effective manner and make them aware of the organisational culture, set the expectations, as well as leading to a stronger psychological contract.</w:t>
      </w:r>
    </w:p>
    <w:p>
      <w:pPr>
        <w:pStyle w:val="2"/>
        <w:rPr>
          <w:lang w:val="en-GB"/>
        </w:rPr>
      </w:pPr>
      <w:bookmarkStart w:id="12" w:name="_Toc234074612"/>
      <w:r>
        <w:rPr>
          <w:lang w:val="en-GB"/>
        </w:rPr>
        <w:t>2. A structured socialisation framework for Helios</w:t>
      </w:r>
      <w:bookmarkEnd w:id="12"/>
      <w:r>
        <w:rPr>
          <w:lang w:val="en-GB"/>
        </w:rPr>
        <w:t xml:space="preserve"> </w:t>
      </w:r>
    </w:p>
    <w:tbl>
      <w:tblPr>
        <w:jc w:val="left"/>
        <w:tblInd w:w="-480" w:type="dxa"/>
        <w:tblW w:w="10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108" w:type="dxa"/>
          <w:bottom w:w="0" w:type="dxa"/>
          <w:right w:w="108" w:type="dxa"/>
        </w:tblCellMar>
      </w:tblPr>
      <w:tblGrid>
        <w:gridCol w:w="1755"/>
        <w:gridCol w:w="1500"/>
        <w:gridCol w:w="4050"/>
        <w:gridCol w:w="2895"/>
      </w:tblGrid>
      <w:tr>
        <w:tc>
          <w:tcPr>
            <w:tcW w:w="1755" w:type="dxa"/>
            <w:tcMar>
              <w:top w:w="100" w:type="dxa"/>
              <w:left w:w="100" w:type="dxa"/>
              <w:bottom w:w="100" w:type="dxa"/>
              <w:right w:w="100" w:type="dxa"/>
            </w:tcMar>
          </w:tcPr>
          <w:p>
            <w:pPr>
              <w:widowControl w:val="0"/>
              <w:rPr>
                <w:b/>
                <w:bCs/>
                <w:lang w:val="en-GB"/>
              </w:rPr>
            </w:pPr>
            <w:r>
              <w:rPr>
                <w:b/>
                <w:bCs/>
                <w:lang w:val="en-GB"/>
              </w:rPr>
              <w:t>Phases</w:t>
            </w:r>
          </w:p>
        </w:tc>
        <w:tc>
          <w:tcPr>
            <w:tcW w:w="1500" w:type="dxa"/>
            <w:tcMar>
              <w:top w:w="100" w:type="dxa"/>
              <w:left w:w="100" w:type="dxa"/>
              <w:bottom w:w="100" w:type="dxa"/>
              <w:right w:w="100" w:type="dxa"/>
            </w:tcMar>
          </w:tcPr>
          <w:p>
            <w:pPr>
              <w:widowControl w:val="0"/>
              <w:rPr>
                <w:b/>
                <w:bCs/>
                <w:lang w:val="en-GB"/>
              </w:rPr>
            </w:pPr>
            <w:r>
              <w:rPr>
                <w:b/>
                <w:bCs/>
                <w:lang w:val="en-GB"/>
              </w:rPr>
              <w:t>Duration</w:t>
            </w:r>
          </w:p>
        </w:tc>
        <w:tc>
          <w:tcPr>
            <w:tcW w:w="4050" w:type="dxa"/>
            <w:tcMar>
              <w:top w:w="100" w:type="dxa"/>
              <w:left w:w="100" w:type="dxa"/>
              <w:bottom w:w="100" w:type="dxa"/>
              <w:right w:w="100" w:type="dxa"/>
            </w:tcMar>
          </w:tcPr>
          <w:p>
            <w:pPr>
              <w:widowControl w:val="0"/>
              <w:rPr>
                <w:b/>
                <w:bCs/>
                <w:lang w:val="en-GB"/>
              </w:rPr>
            </w:pPr>
            <w:r>
              <w:rPr>
                <w:b/>
                <w:bCs/>
                <w:lang w:val="en-GB"/>
              </w:rPr>
              <w:t>Core activities</w:t>
            </w:r>
          </w:p>
        </w:tc>
        <w:tc>
          <w:tcPr>
            <w:tcW w:w="2895" w:type="dxa"/>
            <w:tcMar>
              <w:top w:w="100" w:type="dxa"/>
              <w:left w:w="100" w:type="dxa"/>
              <w:bottom w:w="100" w:type="dxa"/>
              <w:right w:w="100" w:type="dxa"/>
            </w:tcMar>
          </w:tcPr>
          <w:p>
            <w:pPr>
              <w:widowControl w:val="0"/>
              <w:rPr>
                <w:b/>
                <w:bCs/>
                <w:lang w:val="en-GB"/>
              </w:rPr>
            </w:pPr>
            <w:r>
              <w:rPr>
                <w:b/>
                <w:bCs/>
                <w:lang w:val="en-GB"/>
              </w:rPr>
              <w:t>Theoretical anchor</w:t>
            </w:r>
          </w:p>
        </w:tc>
      </w:tr>
      <w:tr>
        <w:tc>
          <w:tcPr>
            <w:tcW w:w="1755" w:type="dxa"/>
            <w:tcMar>
              <w:top w:w="100" w:type="dxa"/>
              <w:left w:w="100" w:type="dxa"/>
              <w:bottom w:w="100" w:type="dxa"/>
              <w:right w:w="100" w:type="dxa"/>
            </w:tcMar>
          </w:tcPr>
          <w:p>
            <w:pPr>
              <w:widowControl w:val="0"/>
              <w:rPr>
                <w:lang w:val="en-GB"/>
              </w:rPr>
            </w:pPr>
            <w:r>
              <w:rPr>
                <w:lang w:val="en-GB"/>
              </w:rPr>
              <w:t>1st phase</w:t>
            </w:r>
          </w:p>
          <w:p>
            <w:pPr>
              <w:widowControl w:val="0"/>
              <w:rPr>
                <w:lang w:val="en-GB"/>
              </w:rPr>
            </w:pPr>
            <w:r>
              <w:rPr>
                <w:lang w:val="en-GB"/>
              </w:rPr>
              <w:t>(pre-boarding)</w:t>
            </w:r>
          </w:p>
        </w:tc>
        <w:tc>
          <w:tcPr>
            <w:tcW w:w="1500" w:type="dxa"/>
            <w:tcMar>
              <w:top w:w="100" w:type="dxa"/>
              <w:left w:w="100" w:type="dxa"/>
              <w:bottom w:w="100" w:type="dxa"/>
              <w:right w:w="100" w:type="dxa"/>
            </w:tcMar>
          </w:tcPr>
          <w:p>
            <w:pPr>
              <w:widowControl w:val="0"/>
              <w:rPr>
                <w:lang w:val="en-GB"/>
              </w:rPr>
            </w:pPr>
            <w:r>
              <w:rPr>
                <w:lang w:val="en-GB"/>
              </w:rPr>
              <w:t>1 day</w:t>
            </w:r>
          </w:p>
        </w:tc>
        <w:tc>
          <w:tcPr>
            <w:tcW w:w="4050" w:type="dxa"/>
            <w:tcMar>
              <w:top w:w="100" w:type="dxa"/>
              <w:left w:w="100" w:type="dxa"/>
              <w:bottom w:w="100" w:type="dxa"/>
              <w:right w:w="100" w:type="dxa"/>
            </w:tcMar>
          </w:tcPr>
          <w:p>
            <w:pPr>
              <w:widowControl w:val="0"/>
              <w:numPr>
                <w:ilvl w:val="0"/>
                <w:numId w:val="1"/>
              </w:numPr>
              <w:rPr>
                <w:lang w:val="en-GB"/>
              </w:rPr>
            </w:pPr>
            <w:r>
              <w:rPr>
                <w:lang w:val="en-GB"/>
              </w:rPr>
              <w:t>Digital welcome portal</w:t>
            </w:r>
          </w:p>
          <w:p>
            <w:pPr>
              <w:widowControl w:val="0"/>
              <w:numPr>
                <w:ilvl w:val="0"/>
                <w:numId w:val="1"/>
              </w:numPr>
              <w:rPr>
                <w:lang w:val="en-GB"/>
              </w:rPr>
            </w:pPr>
            <w:r>
              <w:rPr>
                <w:lang w:val="en-GB"/>
              </w:rPr>
              <w:t>Sharing of role-purpose</w:t>
            </w:r>
          </w:p>
          <w:p>
            <w:pPr>
              <w:widowControl w:val="0"/>
              <w:numPr>
                <w:ilvl w:val="0"/>
                <w:numId w:val="1"/>
              </w:numPr>
              <w:rPr>
                <w:lang w:val="en-GB"/>
              </w:rPr>
            </w:pPr>
            <w:r>
              <w:rPr>
                <w:lang w:val="en-GB"/>
              </w:rPr>
              <w:t>Work culture video</w:t>
            </w:r>
          </w:p>
          <w:p>
            <w:pPr>
              <w:widowControl w:val="0"/>
              <w:numPr>
                <w:ilvl w:val="0"/>
                <w:numId w:val="1"/>
              </w:numPr>
              <w:rPr>
                <w:lang w:val="en-GB"/>
              </w:rPr>
            </w:pPr>
            <w:r>
              <w:rPr>
                <w:lang w:val="en-GB"/>
              </w:rPr>
              <w:t>Mission storytelling</w:t>
            </w:r>
          </w:p>
        </w:tc>
        <w:tc>
          <w:tcPr>
            <w:tcW w:w="2895" w:type="dxa"/>
            <w:tcMar>
              <w:top w:w="100" w:type="dxa"/>
              <w:left w:w="100" w:type="dxa"/>
              <w:bottom w:w="100" w:type="dxa"/>
              <w:right w:w="100" w:type="dxa"/>
            </w:tcMar>
          </w:tcPr>
          <w:p>
            <w:pPr>
              <w:widowControl w:val="0"/>
              <w:rPr>
                <w:lang w:val="en-GB"/>
              </w:rPr>
            </w:pPr>
            <w:r>
              <w:rPr>
                <w:lang w:val="en-GB"/>
              </w:rPr>
              <w:t>Psychological contract formation</w:t>
            </w:r>
          </w:p>
        </w:tc>
      </w:tr>
      <w:tr>
        <w:tc>
          <w:tcPr>
            <w:tcW w:w="1755" w:type="dxa"/>
            <w:tcMar>
              <w:top w:w="100" w:type="dxa"/>
              <w:left w:w="100" w:type="dxa"/>
              <w:bottom w:w="100" w:type="dxa"/>
              <w:right w:w="100" w:type="dxa"/>
            </w:tcMar>
          </w:tcPr>
          <w:p>
            <w:pPr>
              <w:widowControl w:val="0"/>
              <w:rPr>
                <w:lang w:val="en-GB"/>
              </w:rPr>
            </w:pPr>
            <w:r>
              <w:rPr>
                <w:lang w:val="en-GB"/>
              </w:rPr>
              <w:t>2nd phase</w:t>
            </w:r>
          </w:p>
        </w:tc>
        <w:tc>
          <w:tcPr>
            <w:tcW w:w="1500" w:type="dxa"/>
            <w:tcMar>
              <w:top w:w="100" w:type="dxa"/>
              <w:left w:w="100" w:type="dxa"/>
              <w:bottom w:w="100" w:type="dxa"/>
              <w:right w:w="100" w:type="dxa"/>
            </w:tcMar>
          </w:tcPr>
          <w:p>
            <w:pPr>
              <w:widowControl w:val="0"/>
              <w:rPr>
                <w:lang w:val="en-GB"/>
              </w:rPr>
            </w:pPr>
            <w:r>
              <w:rPr>
                <w:lang w:val="en-GB"/>
              </w:rPr>
              <w:t>1 to 90 days</w:t>
            </w:r>
          </w:p>
        </w:tc>
        <w:tc>
          <w:tcPr>
            <w:tcW w:w="4050" w:type="dxa"/>
            <w:tcMar>
              <w:top w:w="100" w:type="dxa"/>
              <w:left w:w="100" w:type="dxa"/>
              <w:bottom w:w="100" w:type="dxa"/>
              <w:right w:w="100" w:type="dxa"/>
            </w:tcMar>
          </w:tcPr>
          <w:p>
            <w:pPr>
              <w:widowControl w:val="0"/>
              <w:numPr>
                <w:ilvl w:val="0"/>
                <w:numId w:val="2"/>
              </w:numPr>
              <w:rPr>
                <w:lang w:val="en-GB"/>
              </w:rPr>
            </w:pPr>
            <w:r>
              <w:rPr>
                <w:lang w:val="en-GB"/>
              </w:rPr>
              <w:t>Structured team pairing</w:t>
            </w:r>
          </w:p>
          <w:p>
            <w:pPr>
              <w:widowControl w:val="0"/>
              <w:numPr>
                <w:ilvl w:val="0"/>
                <w:numId w:val="2"/>
              </w:numPr>
              <w:rPr>
                <w:lang w:val="en-GB"/>
              </w:rPr>
            </w:pPr>
            <w:r>
              <w:rPr>
                <w:lang w:val="en-GB"/>
              </w:rPr>
              <w:t xml:space="preserve">Cross-site rotation </w:t>
            </w:r>
          </w:p>
          <w:p>
            <w:pPr>
              <w:widowControl w:val="0"/>
              <w:numPr>
                <w:ilvl w:val="0"/>
                <w:numId w:val="2"/>
              </w:numPr>
              <w:rPr>
                <w:lang w:val="en-GB"/>
              </w:rPr>
            </w:pPr>
            <w:r>
              <w:rPr>
                <w:lang w:val="en-GB"/>
              </w:rPr>
              <w:t>Check-ins at each 30-minute</w:t>
            </w:r>
          </w:p>
          <w:p>
            <w:pPr>
              <w:widowControl w:val="0"/>
              <w:numPr>
                <w:ilvl w:val="0"/>
                <w:numId w:val="2"/>
              </w:numPr>
              <w:rPr>
                <w:lang w:val="en-GB"/>
              </w:rPr>
            </w:pPr>
            <w:r>
              <w:rPr>
                <w:lang w:val="en-GB"/>
              </w:rPr>
              <w:t>day interval</w:t>
            </w:r>
          </w:p>
        </w:tc>
        <w:tc>
          <w:tcPr>
            <w:tcW w:w="2895" w:type="dxa"/>
            <w:tcMar>
              <w:top w:w="100" w:type="dxa"/>
              <w:left w:w="100" w:type="dxa"/>
              <w:bottom w:w="100" w:type="dxa"/>
              <w:right w:w="100" w:type="dxa"/>
            </w:tcMar>
          </w:tcPr>
          <w:p>
            <w:pPr>
              <w:widowControl w:val="0"/>
              <w:rPr>
                <w:lang w:val="en-GB"/>
              </w:rPr>
            </w:pPr>
            <w:r>
              <w:rPr>
                <w:lang w:val="en-GB"/>
              </w:rPr>
              <w:t>Organisational socialisation dimension</w:t>
            </w:r>
          </w:p>
        </w:tc>
      </w:tr>
      <w:tr>
        <w:tc>
          <w:tcPr>
            <w:tcW w:w="1755" w:type="dxa"/>
            <w:tcMar>
              <w:top w:w="100" w:type="dxa"/>
              <w:left w:w="100" w:type="dxa"/>
              <w:bottom w:w="100" w:type="dxa"/>
              <w:right w:w="100" w:type="dxa"/>
            </w:tcMar>
          </w:tcPr>
          <w:p>
            <w:pPr>
              <w:widowControl w:val="0"/>
              <w:rPr>
                <w:lang w:val="en-GB"/>
              </w:rPr>
            </w:pPr>
            <w:r>
              <w:rPr>
                <w:lang w:val="en-GB"/>
              </w:rPr>
              <w:t>3rd phase</w:t>
            </w:r>
          </w:p>
        </w:tc>
        <w:tc>
          <w:tcPr>
            <w:tcW w:w="1500" w:type="dxa"/>
            <w:tcMar>
              <w:top w:w="100" w:type="dxa"/>
              <w:left w:w="100" w:type="dxa"/>
              <w:bottom w:w="100" w:type="dxa"/>
              <w:right w:w="100" w:type="dxa"/>
            </w:tcMar>
          </w:tcPr>
          <w:p>
            <w:pPr>
              <w:widowControl w:val="0"/>
              <w:rPr>
                <w:lang w:val="en-GB"/>
              </w:rPr>
            </w:pPr>
            <w:r>
              <w:rPr>
                <w:lang w:val="en-GB"/>
              </w:rPr>
              <w:t>Next 4 to 12 months</w:t>
            </w:r>
          </w:p>
        </w:tc>
        <w:tc>
          <w:tcPr>
            <w:tcW w:w="4050" w:type="dxa"/>
            <w:tcMar>
              <w:top w:w="100" w:type="dxa"/>
              <w:left w:w="100" w:type="dxa"/>
              <w:bottom w:w="100" w:type="dxa"/>
              <w:right w:w="100" w:type="dxa"/>
            </w:tcMar>
          </w:tcPr>
          <w:p>
            <w:pPr>
              <w:widowControl w:val="0"/>
              <w:numPr>
                <w:ilvl w:val="0"/>
                <w:numId w:val="3"/>
              </w:numPr>
              <w:rPr>
                <w:lang w:val="en-GB"/>
              </w:rPr>
            </w:pPr>
            <w:r>
              <w:rPr>
                <w:lang w:val="en-GB"/>
              </w:rPr>
              <w:t>Identity-shaping project</w:t>
            </w:r>
          </w:p>
          <w:p>
            <w:pPr>
              <w:widowControl w:val="0"/>
              <w:numPr>
                <w:ilvl w:val="0"/>
                <w:numId w:val="3"/>
              </w:numPr>
              <w:rPr>
                <w:lang w:val="en-GB"/>
              </w:rPr>
            </w:pPr>
            <w:r>
              <w:rPr>
                <w:lang w:val="en-GB"/>
              </w:rPr>
              <w:t>Formal Guidelines</w:t>
            </w:r>
          </w:p>
          <w:p>
            <w:pPr>
              <w:widowControl w:val="0"/>
              <w:numPr>
                <w:ilvl w:val="0"/>
                <w:numId w:val="3"/>
              </w:numPr>
              <w:rPr>
                <w:lang w:val="en-GB"/>
              </w:rPr>
            </w:pPr>
            <w:r>
              <w:rPr>
                <w:lang w:val="en-GB"/>
              </w:rPr>
              <w:t>Internal mobility taster</w:t>
            </w:r>
          </w:p>
          <w:p>
            <w:pPr>
              <w:widowControl w:val="0"/>
              <w:numPr>
                <w:ilvl w:val="0"/>
                <w:numId w:val="3"/>
              </w:numPr>
              <w:rPr>
                <w:lang w:val="en-GB"/>
              </w:rPr>
            </w:pPr>
            <w:r>
              <w:rPr>
                <w:lang w:val="en-GB"/>
              </w:rPr>
              <w:t xml:space="preserve">Ethics and sustainability sharing </w:t>
            </w:r>
          </w:p>
        </w:tc>
        <w:tc>
          <w:tcPr>
            <w:tcW w:w="2895" w:type="dxa"/>
            <w:tcMar>
              <w:top w:w="100" w:type="dxa"/>
              <w:left w:w="100" w:type="dxa"/>
              <w:bottom w:w="100" w:type="dxa"/>
              <w:right w:w="100" w:type="dxa"/>
            </w:tcMar>
          </w:tcPr>
          <w:p>
            <w:pPr>
              <w:widowControl w:val="0"/>
              <w:rPr>
                <w:lang w:val="en-GB"/>
              </w:rPr>
            </w:pPr>
            <w:r>
              <w:rPr>
                <w:lang w:val="en-GB"/>
              </w:rPr>
              <w:t>Identity construction theory</w:t>
            </w:r>
          </w:p>
        </w:tc>
      </w:tr>
    </w:tbl>
    <w:p>
      <w:pPr>
        <w:jc w:val="center"/>
        <w:rPr>
          <w:lang w:val="en-GB"/>
        </w:rPr>
      </w:pPr>
      <w:r>
        <w:rPr>
          <w:b/>
          <w:bCs/>
          <w:lang w:val="en-GB"/>
        </w:rPr>
        <w:t>Table 1: Strategic socialisation framework for Helios</w:t>
      </w:r>
    </w:p>
    <w:p>
      <w:pPr>
        <w:jc w:val="center"/>
        <w:rPr>
          <w:lang w:val="en-GB"/>
        </w:rPr>
      </w:pPr>
      <w:r>
        <w:rPr>
          <w:lang w:val="en-GB"/>
        </w:rPr>
        <w:t>(Source: Self-developed)</w:t>
      </w:r>
    </w:p>
    <w:p>
      <w:pPr>
        <w:rPr>
          <w:lang w:val="en-GB"/>
        </w:rPr>
      </w:pPr>
      <w:r>
        <w:rPr>
          <w:lang w:val="en-GB"/>
        </w:rPr>
        <w:t xml:space="preserve">The above table has highlighted the strategic socialisation framework for Helios for improving the onboarding process and addressing the current organisational challenges. This strategic socialisation framework for Helios includes the psychological aspects and behavioural facts. At the forest stage, a positive relation between employees and employers can be established through tasks such as a digital welcome portal, sharing of role-purpose, work culture video and mission storytelling. The 2nd phase of this framework includes tasks such as Structured team pairing, cross-site rotation, and check-ins at each 30-minute day interval within a maximum of 3 months. The new hires can get to know the current workplace at this stage. With the support of Identity construction theory, the strategic socialisation framework for Helios will include tasks such as an identity-shaping project, providing formal guidelines, process with internal mobility taster and ethics and sustainability sharing. Ibrahim </w:t>
      </w:r>
      <w:r>
        <w:rPr>
          <w:i/>
          <w:iCs/>
          <w:lang w:val="en-GB"/>
        </w:rPr>
        <w:t xml:space="preserve">et al. </w:t>
      </w:r>
      <w:r>
        <w:rPr>
          <w:lang w:val="en-GB"/>
        </w:rPr>
        <w:t>(2022) have stated the importance of the onboarding process to lower employee burnout in future and ensure the productivity level. Therefore, Helios can address the organisational challenges by following the strategic socialisation framework.</w:t>
      </w:r>
    </w:p>
    <w:p>
      <w:pPr>
        <w:pStyle w:val="2"/>
        <w:rPr>
          <w:lang w:val="en-GB"/>
        </w:rPr>
      </w:pPr>
      <w:bookmarkStart w:id="13" w:name="_Toc234074613"/>
      <w:r>
        <w:rPr>
          <w:lang w:val="en-GB"/>
        </w:rPr>
        <w:t>3. Propose a Mechanism for Cultivation</w:t>
      </w:r>
      <w:bookmarkEnd w:id="13"/>
      <w:r>
        <w:rPr>
          <w:lang w:val="en-GB"/>
        </w:rPr>
        <w:t xml:space="preserve"> </w:t>
      </w:r>
    </w:p>
    <w:p>
      <w:pPr>
        <w:rPr>
          <w:lang w:val="en-GB"/>
        </w:rPr>
      </w:pPr>
      <w:r>
        <w:rPr>
          <w:lang w:val="en-GB"/>
        </w:rPr>
        <w:t xml:space="preserve">Establishment of the strategic socialisation framework, Helios needs a strong mechanism that can motivate to utilise all the organisational resources as well as improve the business performance in an effective manner. There are three discussions regarding the case company for adopting the new onboarding process. </w:t>
      </w:r>
    </w:p>
    <w:p>
      <w:pPr>
        <w:rPr>
          <w:b/>
          <w:bCs/>
          <w:i/>
          <w:iCs/>
          <w:lang w:val="en-GB"/>
        </w:rPr>
      </w:pPr>
      <w:r>
        <w:rPr>
          <w:b/>
          <w:bCs/>
          <w:i/>
          <w:iCs/>
          <w:lang w:val="en-GB"/>
        </w:rPr>
        <w:t>Ethical professionalism</w:t>
      </w:r>
    </w:p>
    <w:p>
      <w:pPr>
        <w:rPr>
          <w:lang w:val="en-GB"/>
        </w:rPr>
      </w:pPr>
      <w:r>
        <w:rPr>
          <w:lang w:val="en-GB"/>
        </w:rPr>
        <w:t xml:space="preserve">It has been recognised that ethical professionalism refers to the integration of moral principles established in the workplace as a major competence.  As per the views of Sarma </w:t>
      </w:r>
      <w:r>
        <w:rPr>
          <w:i/>
          <w:iCs/>
          <w:lang w:val="en-GB"/>
        </w:rPr>
        <w:t xml:space="preserve">et al. </w:t>
      </w:r>
      <w:r>
        <w:rPr>
          <w:lang w:val="en-GB"/>
        </w:rPr>
        <w:t>(2024), ethical professionalism in the corporate environment is required for holding high standards of integrity, accountability, as well as respect. Therefore, the executive team of Helios is required to show respect to new employees' cuisine, combining culture and belief for a strong moral compass and long-term trust.</w:t>
      </w:r>
    </w:p>
    <w:p>
      <w:pPr>
        <w:rPr>
          <w:b/>
          <w:bCs/>
          <w:i/>
          <w:iCs/>
          <w:lang w:val="en-GB"/>
        </w:rPr>
      </w:pPr>
      <w:r>
        <w:rPr>
          <w:b/>
          <w:bCs/>
          <w:i/>
          <w:iCs/>
          <w:lang w:val="en-GB"/>
        </w:rPr>
        <w:t>Business activist mindset</w:t>
      </w:r>
    </w:p>
    <w:p>
      <w:pPr>
        <w:rPr>
          <w:lang w:val="en-GB"/>
        </w:rPr>
      </w:pPr>
      <w:r>
        <w:rPr>
          <w:lang w:val="en-GB"/>
        </w:rPr>
        <w:t xml:space="preserve">The business activist mindset commonly combines the aggressive and value-driving approach to address the social and environmental issues (Medine </w:t>
      </w:r>
      <w:r>
        <w:rPr>
          <w:i/>
          <w:iCs/>
          <w:lang w:val="en-GB"/>
        </w:rPr>
        <w:t xml:space="preserve">et al. </w:t>
      </w:r>
      <w:r>
        <w:rPr>
          <w:lang w:val="en-GB"/>
        </w:rPr>
        <w:t>2025). Applying this aspect during employee onboarding, Helios' new hires can view obstacles as opportunities as well as proactively optimise operations or champion ethical causes.</w:t>
      </w:r>
    </w:p>
    <w:p>
      <w:pPr>
        <w:rPr>
          <w:b/>
          <w:bCs/>
          <w:i/>
          <w:iCs/>
          <w:lang w:val="en-GB"/>
        </w:rPr>
      </w:pPr>
      <w:r>
        <w:rPr>
          <w:b/>
          <w:bCs/>
          <w:i/>
          <w:iCs/>
          <w:lang w:val="en-GB"/>
        </w:rPr>
        <w:t>Organisational professionalism</w:t>
      </w:r>
    </w:p>
    <w:p>
      <w:pPr>
        <w:rPr>
          <w:lang w:val="en-GB"/>
        </w:rPr>
      </w:pPr>
      <w:r>
        <w:rPr>
          <w:lang w:val="en-GB"/>
        </w:rPr>
        <w:t xml:space="preserve">This dimension can suggest that Helios values new hires and their personal needs. Effective employee engagement can be established when the business executives use organisational professionalism. Thus, the organisation can be improved in the operating market by following this dimension. </w:t>
      </w:r>
    </w:p>
    <w:p>
      <w:pPr>
        <w:pStyle w:val="1"/>
        <w:rPr>
          <w:lang w:val="en-GB"/>
        </w:rPr>
      </w:pPr>
      <w:bookmarkStart w:id="14" w:name="_Toc234074614"/>
      <w:r>
        <w:rPr>
          <w:lang w:val="en-GB"/>
        </w:rPr>
        <w:t>TASK B: Job Design</w:t>
      </w:r>
      <w:bookmarkEnd w:id="14"/>
    </w:p>
    <w:p>
      <w:pPr>
        <w:pStyle w:val="2"/>
        <w:rPr>
          <w:lang w:val="en-GB"/>
        </w:rPr>
      </w:pPr>
      <w:bookmarkStart w:id="15" w:name="_h09akru071al"/>
      <w:bookmarkStart w:id="16" w:name="_Toc234074615"/>
      <w:bookmarkEnd w:id="15"/>
      <w:r>
        <w:rPr>
          <w:lang w:val="en-GB"/>
        </w:rPr>
        <w:t>1. Proposal of an innovative job design strategy using the Job Characteristics Model, Job crafting theory, and Skills-based architecture</w:t>
      </w:r>
      <w:bookmarkEnd w:id="16"/>
      <w:r>
        <w:rPr>
          <w:lang w:val="en-GB"/>
        </w:rPr>
        <w:t xml:space="preserve"> </w:t>
      </w:r>
    </w:p>
    <w:p>
      <w:pPr>
        <w:pStyle w:val="15"/>
        <w:rPr>
          <w:b/>
          <w:bCs/>
          <w:i/>
          <w:iCs/>
          <w:lang w:val="en-GB"/>
        </w:rPr>
      </w:pPr>
      <w:r>
        <w:rPr>
          <w:b/>
          <w:bCs/>
          <w:i/>
          <w:iCs/>
          <w:lang w:val="en-GB"/>
        </w:rPr>
        <w:t>Job Characteristics Model</w:t>
      </w:r>
    </w:p>
    <w:p>
      <w:pPr>
        <w:pStyle w:val="15"/>
        <w:rPr>
          <w:lang w:val="en-GB"/>
        </w:rPr>
      </w:pPr>
      <w:r>
        <w:rPr>
          <w:lang w:val="en-GB"/>
        </w:rPr>
        <w:t xml:space="preserve">According to the current challenging situation of Helios Urban Mobility (HUM), the company is failing to engage the required talented employees to execute the technical advancement within the operational practices. During this stage, the consideration of the theoretical aspects of the Job Characteristics Model can benefit the company in addressing the issues effectively. As per the views of Muñoz </w:t>
      </w:r>
      <w:r>
        <w:rPr>
          <w:i/>
          <w:iCs/>
          <w:lang w:val="en-GB"/>
        </w:rPr>
        <w:t xml:space="preserve">et al. </w:t>
      </w:r>
      <w:r>
        <w:rPr>
          <w:lang w:val="en-GB"/>
        </w:rPr>
        <w:t xml:space="preserve">(2024), the job characteristic model is a theoretical aspect for designing the working process within organisations to develop a suitable job design through key characteristics. The core characteristics of the job characteristic model are </w:t>
      </w:r>
      <w:r>
        <w:rPr>
          <w:b/>
          <w:bCs/>
          <w:i/>
          <w:iCs/>
          <w:lang w:val="en-GB"/>
        </w:rPr>
        <w:t xml:space="preserve">skill variety, task identity, task significance, task autonomy </w:t>
      </w:r>
      <w:r>
        <w:rPr>
          <w:lang w:val="en-GB"/>
        </w:rPr>
        <w:t xml:space="preserve">and </w:t>
      </w:r>
      <w:r>
        <w:rPr>
          <w:b/>
          <w:bCs/>
          <w:i/>
          <w:iCs/>
          <w:lang w:val="en-GB"/>
        </w:rPr>
        <w:t>job feedback</w:t>
      </w:r>
      <w:r>
        <w:rPr>
          <w:lang w:val="en-GB"/>
        </w:rPr>
        <w:t xml:space="preserve">. This implies that considering these key characteristics of job design with transparency can help employees understand their roles and responsibilities to contribute their best with mental or psychological satisfaction. </w:t>
      </w:r>
    </w:p>
    <w:p>
      <w:pPr>
        <w:pStyle w:val="15"/>
        <w:rPr>
          <w:lang w:val="en-GB"/>
        </w:rPr>
      </w:pPr>
      <w:r>
        <w:rPr>
          <w:lang w:val="en-GB"/>
        </w:rPr>
        <w:t xml:space="preserve">The implementation of the job characteristic model is effective in enhancing job design for HUM in terms of handling its AI-enabled electric mobility systems and smart infrastructure analytics. As per the demonstration by Judge </w:t>
      </w:r>
      <w:r>
        <w:rPr>
          <w:i/>
          <w:iCs/>
          <w:lang w:val="en-GB"/>
        </w:rPr>
        <w:t xml:space="preserve">et al. </w:t>
      </w:r>
      <w:r>
        <w:rPr>
          <w:lang w:val="en-GB"/>
        </w:rPr>
        <w:t xml:space="preserve">(2023), the job characteristic model has underlined that the </w:t>
      </w:r>
      <w:r>
        <w:rPr>
          <w:b/>
          <w:bCs/>
          <w:i/>
          <w:iCs/>
          <w:lang w:val="en-GB"/>
        </w:rPr>
        <w:t xml:space="preserve">intrinsic nature of work </w:t>
      </w:r>
      <w:r>
        <w:rPr>
          <w:lang w:val="en-GB"/>
        </w:rPr>
        <w:t xml:space="preserve">is an influential factor in terms of employee satisfaction. This theoretical knowledge implies that the development of the intrinsic nature of work can help organisations in developing employee satisfaction, which is strongly required in the case study of Helios Urban Mobility. Implementing these characteristics-related aspects within the hiring process can help the case study company in increasing employee satisfaction, which stimulates employee engagement as well. Moreover, prioritising employee satisfaction with consideration of the key characteristics of the model is beneficial to address the employee engagement reduction-related challenges. </w:t>
      </w:r>
    </w:p>
    <w:p>
      <w:pPr>
        <w:pStyle w:val="15"/>
        <w:jc w:val="center"/>
        <w:rPr>
          <w:lang w:val="en-GB"/>
        </w:rPr>
      </w:pPr>
      <w:r>
        <w:rPr>
          <w:lang w:val="en-GB"/>
        </w:rPr>
        <w:pict>
          <v:group type="#_x0000_t75" id="对象 7" o:spid="_x0000_s7" editas="canvas" coordorigin="1799,2424" coordsize="8640,5040" style="width:432.0pt;&#10;height:252.0pt;">
            <v:shape id="_x0000_s8" type="#_x0000_t75" style="position:absolute;left:1799;top:2424;width:8640;height:5040" filled="f" stroked="f" strokeweight="1.0pt">
              <v:stroke color="#000000"/>
            </v:shape>
            <v:shape type="#_x0000_t95" id="空心弧 9" o:spid="_x0000_s9" style="position:absolute;&#10;left:4045;&#10;top:3047;&#10;width:4147;&#10;height:4147;" fillcolor="#9FE5FF" stroked="f" strokeweight="1.0pt">
              <v:stroke color="#000000"/>
            </v:shape>
            <v:shape type="#_x0000_t95" id="空心弧 10" o:spid="_x0000_s10" style="position:absolute;&#10;left:4045;&#10;top:3047;&#10;width:4147;&#10;height:4147;" fillcolor="#9BC4FF" stroked="f" strokeweight="1.0pt">
              <v:stroke color="#000000"/>
            </v:shape>
            <v:shape type="#_x0000_t95" id="空心弧 11" o:spid="_x0000_s11" style="position:absolute;&#10;left:4045;&#10;top:3047;&#10;width:4147;&#10;height:4147;" fillcolor="#A5AEF9" stroked="f" strokeweight="1.0pt">
              <v:stroke color="#000000"/>
            </v:shape>
            <v:shape type="#_x0000_t95" id="空心弧 12" o:spid="_x0000_s12" style="position:absolute;&#10;left:4045;&#10;top:3047;&#10;width:4147;&#10;height:4147;" fillcolor="#B2ACF1" stroked="f" strokeweight="1.0pt">
              <v:stroke color="#000000"/>
            </v:shape>
            <v:shape type="#_x0000_t95" id="空心弧 13" o:spid="_x0000_s13" style="position:absolute;&#10;left:4045;&#10;top:3047;&#10;width:4147;&#10;height:4147;" fillcolor="#C8B3E9" stroked="f" strokeweight="1.0pt">
              <v:stroke color="#000000"/>
            </v:shape>
            <v:oval type="#_x0000_t3" id="椭圆 14" o:spid="_x0000_s14" style="position:absolute;&#10;left:5164;&#10;top:4165;&#10;width:1910;&#10;height:1910;" fillcolor="#D9FDA6" stroked="f" strokeweight="1.0pt">
              <v:stroke color="#000000"/>
            </v:oval>
            <v:rect type="#_x0000_t1" id="矩形 15" o:spid="_x0000_s15" style="position:absolute;&#10;left:5444;&#10;top:4445;&#10;width:1350;&#10;height:1350;&#10;mso-wrap-style:square;" filled="f" stroked="f" strokeweight="1.0pt">
              <v:textbox id="850" inset="0.353mm,0.353mm,0.353mm,0.353mm" o:insetmode="custom" style="layout-flow:horizontal;&#10;v-text-anchor:middle;">
                <w:txbxContent>
                  <w:p>
                    <w:pPr>
                      <w:jc w:val="center"/>
                    </w:pPr>
                    <w:r>
                      <w:rPr>
                        <w:rFonts w:ascii="Times New Roman" w:hAnsi="Times New Roman"/>
                        <w:b/>
                        <w:kern w:val="24"/>
                        <w:sz w:val="20"/>
                        <w:szCs w:val="20"/>
                        <w:u w:val="none"/>
                      </w:rPr>
                      <w:t xml:space="preserve">The Job Characteristic Model </w:t>
                    </w:r>
                  </w:p>
                </w:txbxContent>
              </v:textbox>
              <v:stroke color="#000000"/>
            </v:rect>
            <v:oval type="#_x0000_t3" id="椭圆 16" o:spid="_x0000_s16" style="position:absolute;&#10;left:5451;&#10;top:2426;&#10;width:1336;&#10;height:1336;" fillcolor="#C8B3E9" stroked="f" strokeweight="1.0pt">
              <v:stroke color="#000000"/>
            </v:oval>
            <v:rect type="#_x0000_t1" id="矩形 17" o:spid="_x0000_s17" style="position:absolute;&#10;left:5647;&#10;top:2622;&#10;width:945;&#10;height:944;&#10;mso-wrap-style:square;" filled="f" stroked="f" strokeweight="1.0pt">
              <v:textbox id="851" inset="0.317mm,0.317mm,0.317mm,0.317mm" o:insetmode="custom" style="layout-flow:horizontal;&#10;v-text-anchor:middle;">
                <w:txbxContent>
                  <w:p>
                    <w:pPr>
                      <w:jc w:val="center"/>
                    </w:pPr>
                    <w:r>
                      <w:rPr>
                        <w:rFonts w:ascii="Times New Roman" w:hAnsi="Times New Roman"/>
                        <w:b/>
                        <w:i/>
                        <w:kern w:val="24"/>
                        <w:sz w:val="18"/>
                        <w:szCs w:val="18"/>
                        <w:u w:val="none"/>
                      </w:rPr>
                      <w:t>Skill variety</w:t>
                    </w:r>
                  </w:p>
                </w:txbxContent>
              </v:textbox>
              <v:stroke color="#000000"/>
            </v:rect>
            <v:oval type="#_x0000_t3" id="椭圆 18" o:spid="_x0000_s18" style="position:absolute;&#10;left:7378;&#10;top:3826;&#10;width:1336;&#10;height:1336;" fillcolor="#B2ACF1" stroked="f" strokeweight="1.0pt">
              <v:stroke color="#000000"/>
            </v:oval>
            <v:rect type="#_x0000_t1" id="矩形 19" o:spid="_x0000_s19" style="position:absolute;&#10;left:7573;&#10;top:4022;&#10;width:944;&#10;height:944;&#10;mso-wrap-style:square;" filled="f" stroked="f" strokeweight="1.0pt">
              <v:textbox id="852" inset="0.317mm,0.317mm,0.317mm,0.317mm" o:insetmode="custom" style="layout-flow:horizontal;&#10;v-text-anchor:middle;">
                <w:txbxContent>
                  <w:p>
                    <w:pPr>
                      <w:jc w:val="center"/>
                    </w:pPr>
                    <w:r>
                      <w:rPr>
                        <w:rFonts w:ascii="Times New Roman" w:hAnsi="Times New Roman"/>
                        <w:b/>
                        <w:i/>
                        <w:kern w:val="24"/>
                        <w:sz w:val="18"/>
                        <w:szCs w:val="18"/>
                        <w:u w:val="none"/>
                      </w:rPr>
                      <w:t>Task identity</w:t>
                    </w:r>
                  </w:p>
                </w:txbxContent>
              </v:textbox>
              <v:stroke color="#000000"/>
            </v:rect>
            <v:oval type="#_x0000_t3" id="椭圆 20" o:spid="_x0000_s20" style="position:absolute;&#10;left:6641;&#10;top:6091;&#10;width:1336;&#10;height:1336;" fillcolor="#A5AEF9" stroked="f" strokeweight="1.0pt">
              <v:stroke color="#000000"/>
            </v:oval>
            <v:rect type="#_x0000_t1" id="矩形 21" o:spid="_x0000_s21" style="position:absolute;&#10;left:6837;&#10;top:6287;&#10;width:945;&#10;height:944;&#10;mso-wrap-style:square;" filled="f" stroked="f" strokeweight="1.0pt">
              <v:textbox id="853" inset="0.317mm,0.317mm,0.317mm,0.317mm" o:insetmode="custom" style="layout-flow:horizontal;&#10;v-text-anchor:middle;">
                <w:txbxContent>
                  <w:p>
                    <w:pPr>
                      <w:jc w:val="center"/>
                    </w:pPr>
                    <w:r>
                      <w:rPr>
                        <w:rFonts w:ascii="Times New Roman" w:hAnsi="Times New Roman"/>
                        <w:b/>
                        <w:i/>
                        <w:kern w:val="24"/>
                        <w:sz w:val="18"/>
                        <w:szCs w:val="18"/>
                        <w:u w:val="none"/>
                      </w:rPr>
                      <w:t>Task significance</w:t>
                    </w:r>
                  </w:p>
                </w:txbxContent>
              </v:textbox>
              <v:stroke color="#000000"/>
            </v:rect>
            <v:oval type="#_x0000_t3" id="椭圆 22" o:spid="_x0000_s22" style="position:absolute;&#10;left:4260;&#10;top:6091;&#10;width:1337;&#10;height:1336;" fillcolor="#9BC4FF" stroked="f" strokeweight="1.0pt">
              <v:stroke color="#000000"/>
            </v:oval>
            <v:rect type="#_x0000_t1" id="矩形 23" o:spid="_x0000_s23" style="position:absolute;&#10;left:4456;&#10;top:6287;&#10;width:944;&#10;height:944;&#10;mso-wrap-style:square;" filled="f" stroked="f" strokeweight="1.0pt">
              <v:textbox id="854" inset="0.317mm,0.317mm,0.317mm,0.317mm" o:insetmode="custom" style="layout-flow:horizontal;&#10;v-text-anchor:middle;">
                <w:txbxContent>
                  <w:p>
                    <w:pPr>
                      <w:jc w:val="center"/>
                    </w:pPr>
                    <w:r>
                      <w:rPr>
                        <w:rFonts w:ascii="Times New Roman" w:hAnsi="Times New Roman"/>
                        <w:b/>
                        <w:i/>
                        <w:kern w:val="24"/>
                        <w:sz w:val="18"/>
                        <w:szCs w:val="18"/>
                        <w:u w:val="none"/>
                      </w:rPr>
                      <w:t>Task autonomy</w:t>
                    </w:r>
                  </w:p>
                </w:txbxContent>
              </v:textbox>
              <v:stroke color="#000000"/>
            </v:rect>
            <v:oval type="#_x0000_t3" id="椭圆 24" o:spid="_x0000_s24" style="position:absolute;&#10;left:3524;&#10;top:3826;&#10;width:1336;&#10;height:1336;" fillcolor="#9FE5FF" stroked="f" strokeweight="1.0pt">
              <v:stroke color="#000000"/>
            </v:oval>
            <v:rect type="#_x0000_t1" id="矩形 25" o:spid="_x0000_s25" style="position:absolute;&#10;left:3720;&#10;top:4022;&#10;width:945;&#10;height:944;&#10;mso-wrap-style:square;" filled="f" stroked="f" strokeweight="1.0pt">
              <v:textbox id="855" inset="0.317mm,0.317mm,0.317mm,0.317mm" o:insetmode="custom" style="layout-flow:horizontal;&#10;v-text-anchor:middle;">
                <w:txbxContent>
                  <w:p>
                    <w:pPr>
                      <w:jc w:val="center"/>
                    </w:pPr>
                    <w:r>
                      <w:rPr>
                        <w:rFonts w:ascii="Times New Roman" w:hAnsi="Times New Roman"/>
                        <w:b/>
                        <w:i/>
                        <w:kern w:val="24"/>
                        <w:sz w:val="18"/>
                        <w:szCs w:val="18"/>
                        <w:u w:val="none"/>
                      </w:rPr>
                      <w:t>Job feedback</w:t>
                    </w:r>
                  </w:p>
                </w:txbxContent>
              </v:textbox>
              <v:stroke color="#000000"/>
            </v:rect>
            <w10:anchorLock/>
          </v:group>
        </w:pict>
      </w:r>
    </w:p>
    <w:p>
      <w:pPr>
        <w:pStyle w:val="15"/>
        <w:jc w:val="center"/>
        <w:rPr>
          <w:b/>
          <w:bCs/>
          <w:lang w:val="en-GB"/>
        </w:rPr>
      </w:pPr>
      <w:r>
        <w:rPr>
          <w:b/>
          <w:bCs/>
          <w:lang w:val="en-GB"/>
        </w:rPr>
        <w:t xml:space="preserve">Figure 2: The Job Characteristic Model </w:t>
      </w:r>
    </w:p>
    <w:p>
      <w:pPr>
        <w:pStyle w:val="15"/>
        <w:jc w:val="center"/>
        <w:rPr>
          <w:lang w:val="en-GB"/>
        </w:rPr>
      </w:pPr>
      <w:r>
        <w:rPr>
          <w:lang w:val="en-GB"/>
        </w:rPr>
        <w:t>(Source: Developed by Learner)</w:t>
      </w:r>
    </w:p>
    <w:p>
      <w:pPr>
        <w:pStyle w:val="15"/>
        <w:rPr>
          <w:b/>
          <w:bCs/>
          <w:i/>
          <w:iCs/>
          <w:lang w:val="en-GB"/>
        </w:rPr>
      </w:pPr>
      <w:r>
        <w:rPr>
          <w:b/>
          <w:bCs/>
          <w:i/>
          <w:iCs/>
          <w:lang w:val="en-GB"/>
        </w:rPr>
        <w:t>Job crafting theory</w:t>
      </w:r>
    </w:p>
    <w:p>
      <w:pPr>
        <w:pStyle w:val="15"/>
        <w:rPr>
          <w:lang w:val="en-GB"/>
        </w:rPr>
      </w:pPr>
      <w:r>
        <w:rPr>
          <w:lang w:val="en-GB"/>
        </w:rPr>
        <w:t xml:space="preserve">Job crafting theory can be described as an organisational </w:t>
      </w:r>
      <w:r>
        <w:rPr>
          <w:b/>
          <w:bCs/>
          <w:i/>
          <w:iCs/>
          <w:lang w:val="en-GB"/>
        </w:rPr>
        <w:t xml:space="preserve">employee-driven approach </w:t>
      </w:r>
      <w:r>
        <w:rPr>
          <w:lang w:val="en-GB"/>
        </w:rPr>
        <w:t xml:space="preserve">in terms of developing a work or job design by </w:t>
      </w:r>
      <w:r>
        <w:rPr>
          <w:b/>
          <w:bCs/>
          <w:i/>
          <w:iCs/>
          <w:lang w:val="en-GB"/>
        </w:rPr>
        <w:t>customising task features, cognitive behaviour of individuals and relationships</w:t>
      </w:r>
      <w:r>
        <w:rPr>
          <w:lang w:val="en-GB"/>
        </w:rPr>
        <w:t xml:space="preserve">. As per the perspectives of Tims </w:t>
      </w:r>
      <w:r>
        <w:rPr>
          <w:i/>
          <w:iCs/>
          <w:lang w:val="en-GB"/>
        </w:rPr>
        <w:t>et al.</w:t>
      </w:r>
      <w:r>
        <w:rPr>
          <w:lang w:val="en-GB"/>
        </w:rPr>
        <w:t xml:space="preserve"> (2022), job crafting is a proactive working behaviour, which is applicable in organisations to engage employees to </w:t>
      </w:r>
      <w:r>
        <w:rPr>
          <w:b/>
          <w:bCs/>
          <w:i/>
          <w:iCs/>
          <w:lang w:val="en-GB"/>
        </w:rPr>
        <w:t xml:space="preserve">adjust their job design </w:t>
      </w:r>
      <w:r>
        <w:rPr>
          <w:lang w:val="en-GB"/>
        </w:rPr>
        <w:t xml:space="preserve">based on their skills, needs and preferences. This implies that organisational behavioural aspects have to be developed to engage talented employees according to their skills, needs and preferences, which are needed in the case study of HUM. On the other hand, Costantini </w:t>
      </w:r>
      <w:r>
        <w:rPr>
          <w:i/>
          <w:iCs/>
          <w:lang w:val="en-GB"/>
        </w:rPr>
        <w:t xml:space="preserve">et al. </w:t>
      </w:r>
      <w:r>
        <w:rPr>
          <w:lang w:val="en-GB"/>
        </w:rPr>
        <w:t xml:space="preserve">(2022) demonstrated job crafting as an intentional and conscious change within one’s working approach by maintaining or improving </w:t>
      </w:r>
      <w:r>
        <w:rPr>
          <w:b/>
          <w:bCs/>
          <w:i/>
          <w:iCs/>
          <w:lang w:val="en-GB"/>
        </w:rPr>
        <w:t>job motivation</w:t>
      </w:r>
      <w:r>
        <w:rPr>
          <w:lang w:val="en-GB"/>
        </w:rPr>
        <w:t xml:space="preserve">. This implies that the job crafting theory suggests to organisations, such as HUM, to improve motivational aspects within the workplace by making required changes or adjustments in job designs. Thus, the implementation of the theoretical aspects of the job crafting theory can help HUM in designing a suitable job design that supports employee motivation with an improved working environment with a positive behavioural approach. </w:t>
      </w:r>
    </w:p>
    <w:p>
      <w:pPr>
        <w:pStyle w:val="15"/>
        <w:jc w:val="center"/>
        <w:rPr>
          <w:lang w:val="en-GB"/>
        </w:rPr>
      </w:pPr>
      <w:r>
        <w:rPr>
          <w:lang w:val="en-GB"/>
        </w:rPr>
        <w:pict>
          <v:group type="#_x0000_t75" id="对象 26" o:spid="_x0000_s26" editas="canvas" coordorigin="1799,3408" coordsize="8640,5040" style="width:432.0pt;&#10;height:252.0pt;">
            <v:shape id="_x0000_s27" type="#_x0000_t75" style="position:absolute;left:1799;top:3408;width:8640;height:5040" filled="f" stroked="f" strokeweight="1.0pt">
              <v:stroke color="#000000"/>
            </v:shape>
            <v:oval type="#_x0000_t3" id="椭圆 28" o:spid="_x0000_s28" style="position:absolute;&#10;left:5046;&#10;top:6302;&#10;width:2144;&#10;height:2144;" fillcolor="#D9FDA6" stroked="f" strokeweight="1.0pt">
              <v:stroke color="#000000"/>
            </v:oval>
            <v:rect type="#_x0000_t1" id="矩形 29" o:spid="_x0000_s29" style="position:absolute;&#10;left:5361;&#10;top:6616;&#10;width:1517;&#10;height:1516;&#10;mso-wrap-style:square;" filled="f" stroked="f" strokeweight="1.0pt">
              <v:textbox id="856" inset="0.282mm,0.282mm,0.282mm,0.282mm" o:insetmode="custom" style="layout-flow:horizontal;&#10;v-text-anchor:middle;">
                <w:txbxContent>
                  <w:p>
                    <w:pPr>
                      <w:jc w:val="center"/>
                    </w:pPr>
                    <w:r>
                      <w:rPr>
                        <w:rFonts w:ascii="Times New Roman" w:hAnsi="Times New Roman"/>
                        <w:b/>
                        <w:kern w:val="24"/>
                        <w:sz w:val="32"/>
                        <w:szCs w:val="32"/>
                        <w:u w:val="none"/>
                        <w14:textFill>
                          <w14:solidFill>
                            <w14:srgbClr w14:val="000000"/>
                          </w14:solidFill>
                        </w14:textFill>
                      </w:rPr>
                      <w:t xml:space="preserve">Job Crafting Theory </w:t>
                    </w:r>
                  </w:p>
                </w:txbxContent>
              </v:textbox>
              <v:stroke color="#000000"/>
            </v:rect>
            <v:shape type="#_x0000_t66" id="左箭头 30" o:spid="_x0000_s30" style="position:absolute;&#10;left:2968;&#10;top:7069;&#10;width:1962;&#10;height:610;&#10;rotation:180.0;" fillcolor="#C8B3E9" stroked="f" strokeweight="1.0pt">
              <v:stroke color="#000000"/>
            </v:shape>
            <v:shape type="#_x0000_t2" id="圆角矩形 31" o:spid="_x0000_s31" style="position:absolute;&#10;left:1949;&#10;top:6559;&#10;width:2038;&#10;height:1629;" fillcolor="#C8B3E9" stroked="f" strokeweight="1.0pt">
              <v:stroke color="#000000"/>
            </v:shape>
            <v:rect type="#_x0000_t1" id="矩形 32" o:spid="_x0000_s32" style="position:absolute;&#10;left:1997;&#10;top:6607;&#10;width:1942;&#10;height:1534;&#10;mso-wrap-style:square;" filled="f" stroked="f" strokeweight="1.0pt">
              <v:textbox id="857" inset="0.635mm,0.635mm,0.635mm,0.635mm" o:insetmode="custom" style="layout-flow:horizontal;&#10;v-text-anchor:middle;">
                <w:txbxContent>
                  <w:p>
                    <w:pPr>
                      <w:jc w:val="center"/>
                    </w:pPr>
                    <w:r>
                      <w:rPr>
                        <w:rFonts w:ascii="Times New Roman" w:hAnsi="Times New Roman"/>
                        <w:b/>
                        <w:i/>
                        <w:kern w:val="24"/>
                        <w:sz w:val="24"/>
                        <w:szCs w:val="24"/>
                        <w:u w:val="none"/>
                        <w14:textFill>
                          <w14:solidFill>
                            <w14:srgbClr w14:val="000000"/>
                          </w14:solidFill>
                        </w14:textFill>
                      </w:rPr>
                      <w:t xml:space="preserve">Employee-driven approach </w:t>
                    </w:r>
                  </w:p>
                </w:txbxContent>
              </v:textbox>
              <v:stroke color="#000000"/>
            </v:rect>
            <v:shape type="#_x0000_t66" id="左箭头 33" o:spid="_x0000_s33" style="position:absolute;&#10;left:3604;&#10;top:5535;&#10;width:1962;&#10;height:610;&#10;rotation:225.0;" fillcolor="#B2ACF1" stroked="f" strokeweight="1.0pt">
              <v:stroke color="#000000"/>
            </v:shape>
            <v:shape type="#_x0000_t2" id="圆角矩形 34" o:spid="_x0000_s34" style="position:absolute;&#10;left:2872;&#10;top:4331;&#10;width:2037;&#10;height:1629;" fillcolor="#B2ACF1" stroked="f" strokeweight="1.0pt">
              <v:stroke color="#000000"/>
            </v:shape>
            <v:rect type="#_x0000_t1" id="矩形 35" o:spid="_x0000_s35" style="position:absolute;&#10;left:2920;&#10;top:4379;&#10;width:1943;&#10;height:1534;&#10;mso-wrap-style:square;" filled="f" stroked="f" strokeweight="1.0pt">
              <v:textbox id="858" inset="0.635mm,0.635mm,0.635mm,0.635mm" o:insetmode="custom" style="layout-flow:horizontal;&#10;v-text-anchor:middle;">
                <w:txbxContent>
                  <w:p>
                    <w:pPr>
                      <w:jc w:val="center"/>
                    </w:pPr>
                    <w:r>
                      <w:rPr>
                        <w:rFonts w:ascii="Times New Roman" w:hAnsi="Times New Roman"/>
                        <w:b/>
                        <w:i/>
                        <w:kern w:val="24"/>
                        <w:sz w:val="24"/>
                        <w:szCs w:val="24"/>
                        <w:u w:val="none"/>
                        <w14:textFill>
                          <w14:solidFill>
                            <w14:srgbClr w14:val="000000"/>
                          </w14:solidFill>
                        </w14:textFill>
                      </w:rPr>
                      <w:t>Customised task features</w:t>
                    </w:r>
                  </w:p>
                </w:txbxContent>
              </v:textbox>
              <v:stroke color="#000000"/>
            </v:rect>
            <v:shape type="#_x0000_t66" id="左箭头 36" o:spid="_x0000_s36" style="position:absolute;&#10;left:5138;&#10;top:4900;&#10;width:1962;&#10;height:610;&#10;rotation:270.0;" fillcolor="#A5AEF9" stroked="f" strokeweight="1.0pt">
              <v:stroke color="#000000"/>
            </v:shape>
            <v:shape type="#_x0000_t2" id="圆角矩形 37" o:spid="_x0000_s37" style="position:absolute;&#10;left:5100;&#10;top:3408;&#10;width:2037;&#10;height:1629;" fillcolor="#A5AEF9" stroked="f" strokeweight="1.0pt">
              <v:stroke color="#000000"/>
            </v:shape>
            <v:rect type="#_x0000_t1" id="矩形 38" o:spid="_x0000_s38" style="position:absolute;&#10;left:5148;&#10;top:3456;&#10;width:1942;&#10;height:1534;&#10;mso-wrap-style:square;" filled="f" stroked="f" strokeweight="1.0pt">
              <v:textbox id="859" inset="0.635mm,0.635mm,0.635mm,0.635mm" o:insetmode="custom" style="layout-flow:horizontal;&#10;v-text-anchor:middle;">
                <w:txbxContent>
                  <w:p>
                    <w:pPr>
                      <w:jc w:val="center"/>
                    </w:pPr>
                    <w:r>
                      <w:rPr>
                        <w:rFonts w:ascii="Times New Roman" w:hAnsi="Times New Roman"/>
                        <w:b/>
                        <w:i/>
                        <w:kern w:val="24"/>
                        <w:sz w:val="24"/>
                        <w:szCs w:val="24"/>
                        <w:u w:val="none"/>
                        <w14:textFill>
                          <w14:solidFill>
                            <w14:srgbClr w14:val="000000"/>
                          </w14:solidFill>
                        </w14:textFill>
                      </w:rPr>
                      <w:t>Customised cognitive behaviour of individuals</w:t>
                    </w:r>
                  </w:p>
                </w:txbxContent>
              </v:textbox>
              <v:stroke color="#000000"/>
            </v:rect>
            <v:shape type="#_x0000_t66" id="左箭头 39" o:spid="_x0000_s39" style="position:absolute;&#10;left:6671;&#10;top:5535;&#10;width:1962;&#10;height:610;&#10;rotation:315.0;" fillcolor="#9BC4FF" stroked="f" strokeweight="1.0pt">
              <v:stroke color="#000000"/>
            </v:shape>
            <v:shape type="#_x0000_t2" id="圆角矩形 40" o:spid="_x0000_s40" style="position:absolute;&#10;left:7328;&#10;top:4331;&#10;width:2038;&#10;height:1629;" fillcolor="#9BC4FF" stroked="f" strokeweight="1.0pt">
              <v:stroke color="#000000"/>
            </v:shape>
            <v:rect type="#_x0000_t1" id="矩形 41" o:spid="_x0000_s41" style="position:absolute;&#10;left:7376;&#10;top:4379;&#10;width:1942;&#10;height:1534;&#10;mso-wrap-style:square;" filled="f" stroked="f" strokeweight="1.0pt">
              <v:textbox id="860" inset="0.635mm,0.635mm,0.635mm,0.635mm" o:insetmode="custom" style="layout-flow:horizontal;&#10;v-text-anchor:middle;">
                <w:txbxContent>
                  <w:p>
                    <w:pPr>
                      <w:jc w:val="center"/>
                    </w:pPr>
                    <w:r>
                      <w:rPr>
                        <w:rFonts w:ascii="Times New Roman" w:hAnsi="Times New Roman"/>
                        <w:b/>
                        <w:i/>
                        <w:kern w:val="24"/>
                        <w:sz w:val="24"/>
                        <w:szCs w:val="24"/>
                        <w:u w:val="none"/>
                        <w14:textFill>
                          <w14:solidFill>
                            <w14:srgbClr w14:val="000000"/>
                          </w14:solidFill>
                        </w14:textFill>
                      </w:rPr>
                      <w:t xml:space="preserve">Customised relationships among individuals </w:t>
                    </w:r>
                  </w:p>
                </w:txbxContent>
              </v:textbox>
              <v:stroke color="#000000"/>
            </v:rect>
            <v:shape type="#_x0000_t66" id="左箭头 42" o:spid="_x0000_s42" style="position:absolute;&#10;left:7307;&#10;top:7069;&#10;width:1962;&#10;height:610;" fillcolor="#9FE5FF" stroked="f" strokeweight="1.0pt">
              <v:stroke color="#000000"/>
            </v:shape>
            <v:shape type="#_x0000_t2" id="圆角矩形 43" o:spid="_x0000_s43" style="position:absolute;&#10;left:8251;&#10;top:6559;&#10;width:2038;&#10;height:1629;" fillcolor="#9FE5FF" stroked="f" strokeweight="1.0pt">
              <v:stroke color="#000000"/>
            </v:shape>
            <v:rect type="#_x0000_t1" id="矩形 44" o:spid="_x0000_s44" style="position:absolute;&#10;left:8299;&#10;top:6607;&#10;width:1943;&#10;height:1534;&#10;mso-wrap-style:square;" filled="f" stroked="f" strokeweight="1.0pt">
              <v:textbox id="861" inset="0.635mm,0.635mm,0.635mm,0.635mm" o:insetmode="custom" style="layout-flow:horizontal;&#10;v-text-anchor:middle;">
                <w:txbxContent>
                  <w:p>
                    <w:pPr>
                      <w:jc w:val="center"/>
                    </w:pPr>
                    <w:r>
                      <w:rPr>
                        <w:rFonts w:ascii="Times New Roman" w:hAnsi="Times New Roman"/>
                        <w:b/>
                        <w:i/>
                        <w:kern w:val="24"/>
                        <w:sz w:val="24"/>
                        <w:szCs w:val="24"/>
                        <w14:textFill>
                          <w14:solidFill>
                            <w14:srgbClr w14:val="000000"/>
                          </w14:solidFill>
                        </w14:textFill>
                      </w:rPr>
                      <w:t xml:space="preserve">Job Motivation </w:t>
                    </w:r>
                  </w:p>
                </w:txbxContent>
              </v:textbox>
              <v:stroke color="#000000"/>
            </v:rect>
            <w10:anchorLock/>
          </v:group>
        </w:pict>
      </w:r>
    </w:p>
    <w:p>
      <w:pPr>
        <w:pStyle w:val="15"/>
        <w:jc w:val="center"/>
        <w:rPr>
          <w:b/>
          <w:bCs/>
          <w:lang w:val="en-GB"/>
        </w:rPr>
      </w:pPr>
      <w:r>
        <w:rPr>
          <w:b/>
          <w:bCs/>
          <w:lang w:val="en-GB"/>
        </w:rPr>
        <w:t xml:space="preserve">Figure 3: Key aspects of Job Crafting Theory </w:t>
      </w:r>
    </w:p>
    <w:p>
      <w:pPr>
        <w:pStyle w:val="15"/>
        <w:jc w:val="center"/>
        <w:rPr>
          <w:lang w:val="en-GB"/>
        </w:rPr>
      </w:pPr>
      <w:r>
        <w:rPr>
          <w:lang w:val="en-GB"/>
        </w:rPr>
        <w:t>(Source: Developed by learner)</w:t>
      </w:r>
    </w:p>
    <w:p>
      <w:pPr>
        <w:pStyle w:val="15"/>
        <w:rPr>
          <w:b/>
          <w:bCs/>
          <w:i/>
          <w:iCs/>
          <w:lang w:val="en-GB"/>
        </w:rPr>
      </w:pPr>
      <w:r>
        <w:rPr>
          <w:b/>
          <w:bCs/>
          <w:i/>
          <w:iCs/>
          <w:lang w:val="en-GB"/>
        </w:rPr>
        <w:t xml:space="preserve">Skills-based architecture </w:t>
      </w:r>
    </w:p>
    <w:p>
      <w:pPr>
        <w:pStyle w:val="15"/>
        <w:rPr>
          <w:lang w:val="en-GB"/>
        </w:rPr>
      </w:pPr>
      <w:r>
        <w:rPr>
          <w:lang w:val="en-GB"/>
        </w:rPr>
        <w:t xml:space="preserve">The theoretical aspect of skills-based architecture supports the alignment of skills of employees with their job designs to ensure their best contribution quality. According to the description by Oschinski and Nguyen (2022), a skills-based approach is effective in enhancing job design with support for an effective career planning process. This implies that the companies, such as HUM, should design job features by ensuring maximum transparency about the required skills, knowledge and competencies of employees. In addition to this, HUM can implement the theoretical aspect of skills-based architecture by prioritising employing capacities to complete their allocated roles and responsibilities to drive productivity. Apart from this, the proposed job design can include additional technical training for the new employees in HUM to ensure maximum efficiency in handling its AI-enabled electric mobility systems and smart infrastructure analytics. Moreover, the implementation of this dynamic workforce management framework within the workplace requires transparency in roles and responsibilities during the hiring process. </w:t>
      </w:r>
    </w:p>
    <w:p>
      <w:pPr>
        <w:pStyle w:val="2"/>
        <w:rPr>
          <w:lang w:val="en-GB"/>
        </w:rPr>
      </w:pPr>
      <w:bookmarkStart w:id="17" w:name="_wr51y17eca60"/>
      <w:bookmarkStart w:id="18" w:name="_Toc234074616"/>
      <w:bookmarkEnd w:id="17"/>
      <w:r>
        <w:rPr>
          <w:lang w:val="en-GB"/>
        </w:rPr>
        <w:t>2. Explanation on the relation of proposed design with intrinsic motivation and support innovation</w:t>
      </w:r>
      <w:bookmarkEnd w:id="18"/>
    </w:p>
    <w:p>
      <w:pPr>
        <w:pStyle w:val="15"/>
        <w:rPr>
          <w:b/>
          <w:bCs/>
          <w:i/>
          <w:iCs/>
          <w:lang w:val="en-GB"/>
        </w:rPr>
      </w:pPr>
      <w:r>
        <w:rPr>
          <w:b/>
          <w:bCs/>
          <w:i/>
          <w:iCs/>
          <w:lang w:val="en-GB"/>
        </w:rPr>
        <w:t>Intrinsic motivation</w:t>
      </w:r>
    </w:p>
    <w:p>
      <w:pPr>
        <w:pStyle w:val="15"/>
        <w:rPr>
          <w:lang w:val="en-GB"/>
        </w:rPr>
      </w:pPr>
      <w:r>
        <w:rPr>
          <w:lang w:val="en-GB"/>
        </w:rPr>
        <w:t xml:space="preserve">Intrinsic motivation refers to the internal motivation of employees within the workplace, such as mental satisfaction, personal fulfilment, and joy that inspire them to contribute their best performance. According to the discussion by Fishbach and Woolley (2022), intrinsic motivation can be described as a key to ensuring persistence in the workplace. The consideration of intrinsic motivation is possible through the proposed job design where employees’ workplace behaviour and relationships with colleagues can be developed with maximum transparency of job roles and responsibilities. Furthermore, it has been observed in the above theoretical description that the job characteristic model supports job satisfaction with identification of tasks and respective significance with skills variety. Hence, the proposed job design can help HUM in developing intrinsic motivation for its employees with maximum transparency, workplace flexibility, improved behavioural approach and job satisfaction. </w:t>
      </w:r>
    </w:p>
    <w:p>
      <w:pPr>
        <w:rPr>
          <w:b/>
          <w:bCs/>
          <w:lang w:val="en-GB"/>
        </w:rPr>
      </w:pPr>
      <w:r>
        <w:rPr>
          <w:b/>
          <w:bCs/>
          <w:lang w:val="en-GB"/>
        </w:rPr>
        <w:t xml:space="preserve">Support innovation </w:t>
      </w:r>
    </w:p>
    <w:p>
      <w:pPr>
        <w:rPr>
          <w:lang w:val="en-GB"/>
        </w:rPr>
      </w:pPr>
      <w:r>
        <w:rPr>
          <w:lang w:val="en-GB"/>
        </w:rPr>
        <w:t xml:space="preserve">The proposed job design has directly fostered an ecosystem of innovation in Helios Urban Mobility in terms of transforming rigid roles into a problem solving environment. The implication of the Job Characteristic model signifies that employees can gain creative freedom in terms of experimenting with AI-enabled electric mobility systems as well as pioneer novel solutions regarding smart infrastructure analytics. As per the opinion of Gull </w:t>
      </w:r>
      <w:r>
        <w:rPr>
          <w:i/>
          <w:iCs/>
          <w:lang w:val="en-GB"/>
        </w:rPr>
        <w:t xml:space="preserve">et al. </w:t>
      </w:r>
      <w:r>
        <w:rPr>
          <w:lang w:val="en-GB"/>
        </w:rPr>
        <w:t xml:space="preserve">(2022), Job Characteristics Model is considered to be an organizational psychology framework that proposes design of a job, which directly impacts employee motivation, satisfaction and performance. The application of such a model signifies that autonomy eliminates the fear of failure as well as encourages calculated risk-taking, signifying the bedrock of innovative thinking. However, the integration of Job Crafting theory can allow technical talent to reshape their task as well as collaborate across traditional boundaries. </w:t>
      </w:r>
    </w:p>
    <w:p>
      <w:pPr>
        <w:pStyle w:val="1"/>
        <w:rPr>
          <w:lang w:val="en-GB"/>
        </w:rPr>
      </w:pPr>
      <w:bookmarkStart w:id="19" w:name="_Toc234074617"/>
      <w:r>
        <w:rPr>
          <w:lang w:val="en-GB"/>
        </w:rPr>
        <w:t>‌TASK C: Reflective report</w:t>
      </w:r>
      <w:bookmarkEnd w:id="19"/>
      <w:r>
        <w:rPr>
          <w:lang w:val="en-GB"/>
        </w:rPr>
        <w:t xml:space="preserve"> </w:t>
      </w:r>
    </w:p>
    <w:p>
      <w:pPr>
        <w:pStyle w:val="2"/>
        <w:rPr>
          <w:lang w:val="en-GB"/>
        </w:rPr>
      </w:pPr>
      <w:bookmarkStart w:id="20" w:name="_Toc234074618"/>
      <w:r>
        <w:rPr>
          <w:lang w:val="en-GB"/>
        </w:rPr>
        <w:t>1. Discuss how you will use AI as a decision-support tool without eroding critical human judgment.</w:t>
      </w:r>
      <w:bookmarkEnd w:id="20"/>
    </w:p>
    <w:p>
      <w:pPr>
        <w:rPr>
          <w:lang w:val="en-GB"/>
        </w:rPr>
      </w:pPr>
      <w:r>
        <w:rPr>
          <w:lang w:val="en-GB"/>
        </w:rPr>
        <w:t xml:space="preserve">I have realised that AI serves as a powerful engine for predictive insights in managing complex organisational transformations, such as the transitioning Helios Urban Mobility from traditional onboarding to strategic socialisation. As per the opinion of Michael </w:t>
      </w:r>
      <w:r>
        <w:rPr>
          <w:i/>
          <w:iCs/>
          <w:lang w:val="en-GB"/>
        </w:rPr>
        <w:t xml:space="preserve">et al. </w:t>
      </w:r>
      <w:r>
        <w:rPr>
          <w:lang w:val="en-GB"/>
        </w:rPr>
        <w:t xml:space="preserve">(2024), leveraging analytical work in the initial stage can help in using AI as a decision-support tool without eroding human judgment. However, I have realised that the true efficiency of human capital architecture relies on balancing algorithm efficiency within human nuance. Ajegbile </w:t>
      </w:r>
      <w:r>
        <w:rPr>
          <w:i/>
          <w:iCs/>
          <w:lang w:val="en-GB"/>
        </w:rPr>
        <w:t xml:space="preserve">et al. </w:t>
      </w:r>
      <w:r>
        <w:rPr>
          <w:lang w:val="en-GB"/>
        </w:rPr>
        <w:t xml:space="preserve">(2024) have highlighted that the most effective systems treat algorithms as analytical tools and humans as strategic guides. Based on this aspect, I believe that positioning AI as an informational advisor rather than a primary decision-maker can help to use AI effectively as a decision-support tool without eroding critical judgment. </w:t>
      </w:r>
    </w:p>
    <w:p>
      <w:pPr>
        <w:rPr>
          <w:lang w:val="en-GB"/>
        </w:rPr>
      </w:pPr>
      <w:r>
        <w:rPr>
          <w:lang w:val="en-GB"/>
        </w:rPr>
        <w:t>I have realised that AI can process vast streams of employee touchpoints in terms of forecasting attrition trends among high-potential graduates or flag specific phases of Helios Urban Mobility. As per the analysis of Krishna and Sidharth (2023), AI can process vast streams of employee data in terms of predicting when workers might leave. Apart from this, I believe that AI lacks visibility into the unwritten relational dynamics defined by Psychological Contract Theory. According to KG and Joseph (2025), AI can simulate empathy, but it does not feel it. I believe that my approach will follow the Human-in-the-Loop framework. In essence, I will use AI in terms of handling automated skill-gap mapping within our skills-based architecture, high-volume text mining of engagement surveys as well as simulating the organisational impact of different job designs.</w:t>
      </w:r>
    </w:p>
    <w:p>
      <w:pPr>
        <w:pStyle w:val="2"/>
        <w:rPr>
          <w:lang w:val="en-GB"/>
        </w:rPr>
      </w:pPr>
      <w:bookmarkStart w:id="21" w:name="_Toc234074619"/>
      <w:r>
        <w:rPr>
          <w:lang w:val="en-GB"/>
        </w:rPr>
        <w:t>2. Outlining a personal capability development plan to enhance future employability</w:t>
      </w:r>
      <w:bookmarkEnd w:id="21"/>
      <w:r>
        <w:rPr>
          <w:lang w:val="en-GB"/>
        </w:rPr>
        <w:t xml:space="preserve"> </w:t>
      </w:r>
    </w:p>
    <w:tbl>
      <w:tblPr>
        <w:jc w:val="center"/>
        <w:tblW w:w="103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108" w:type="dxa"/>
          <w:bottom w:w="0" w:type="dxa"/>
          <w:right w:w="108" w:type="dxa"/>
        </w:tblCellMar>
      </w:tblPr>
      <w:tblGrid>
        <w:gridCol w:w="2250"/>
        <w:gridCol w:w="2085"/>
        <w:gridCol w:w="3045"/>
        <w:gridCol w:w="3015"/>
      </w:tblGrid>
      <w:tr>
        <w:tc>
          <w:tcPr>
            <w:tcW w:w="225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rPr>
                <w:b/>
                <w:bCs/>
                <w:i/>
                <w:iCs/>
                <w:lang w:val="en-GB"/>
              </w:rPr>
            </w:pPr>
            <w:r>
              <w:rPr>
                <w:b/>
                <w:bCs/>
                <w:i/>
                <w:iCs/>
                <w:lang w:val="en-GB"/>
              </w:rPr>
              <w:t xml:space="preserve">Objective </w:t>
            </w:r>
          </w:p>
        </w:tc>
        <w:tc>
          <w:tcPr>
            <w:tcW w:w="208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rPr>
                <w:b/>
                <w:bCs/>
                <w:i/>
                <w:iCs/>
                <w:lang w:val="en-GB"/>
              </w:rPr>
            </w:pPr>
            <w:r>
              <w:rPr>
                <w:b/>
                <w:bCs/>
                <w:i/>
                <w:iCs/>
                <w:lang w:val="en-GB"/>
              </w:rPr>
              <w:t xml:space="preserve">Capability area </w:t>
            </w:r>
          </w:p>
        </w:tc>
        <w:tc>
          <w:tcPr>
            <w:tcW w:w="304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rPr>
                <w:b/>
                <w:bCs/>
                <w:i/>
                <w:iCs/>
                <w:lang w:val="en-GB"/>
              </w:rPr>
            </w:pPr>
            <w:r>
              <w:rPr>
                <w:b/>
                <w:bCs/>
                <w:i/>
                <w:iCs/>
                <w:lang w:val="en-GB"/>
              </w:rPr>
              <w:t>Actionable strategy</w:t>
            </w:r>
          </w:p>
        </w:tc>
        <w:tc>
          <w:tcPr>
            <w:tcW w:w="301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rPr>
                <w:b/>
                <w:bCs/>
                <w:i/>
                <w:iCs/>
                <w:lang w:val="en-GB"/>
              </w:rPr>
            </w:pPr>
            <w:r>
              <w:rPr>
                <w:b/>
                <w:bCs/>
                <w:i/>
                <w:iCs/>
                <w:lang w:val="en-GB"/>
              </w:rPr>
              <w:t xml:space="preserve">Impact on employability </w:t>
            </w:r>
          </w:p>
        </w:tc>
      </w:tr>
      <w:tr>
        <w:tc>
          <w:tcPr>
            <w:tcW w:w="225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rPr>
                <w:lang w:val="en-GB"/>
              </w:rPr>
            </w:pPr>
            <w:r>
              <w:rPr>
                <w:lang w:val="en-GB"/>
              </w:rPr>
              <w:t>To adopt the transition from descriptive metrics to predictive analytics</w:t>
            </w:r>
          </w:p>
        </w:tc>
        <w:tc>
          <w:tcPr>
            <w:tcW w:w="208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rPr>
                <w:lang w:val="en-GB"/>
              </w:rPr>
            </w:pPr>
            <w:r>
              <w:rPr>
                <w:lang w:val="en-GB"/>
              </w:rPr>
              <w:t>Data Literacy and Analytics</w:t>
            </w:r>
          </w:p>
        </w:tc>
        <w:tc>
          <w:tcPr>
            <w:tcW w:w="304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rPr>
                <w:lang w:val="en-GB"/>
              </w:rPr>
            </w:pPr>
            <w:r>
              <w:rPr>
                <w:lang w:val="en-GB"/>
              </w:rPr>
              <w:t>Need to complete a certified program in People Analytics</w:t>
            </w:r>
          </w:p>
        </w:tc>
        <w:tc>
          <w:tcPr>
            <w:tcW w:w="301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rPr>
                <w:lang w:val="en-GB"/>
              </w:rPr>
            </w:pPr>
            <w:r>
              <w:rPr>
                <w:lang w:val="en-GB"/>
              </w:rPr>
              <w:t>Gain the ability to present data-validated business cases directly to C-suite stakeholders</w:t>
            </w:r>
          </w:p>
        </w:tc>
      </w:tr>
      <w:tr>
        <w:tc>
          <w:tcPr>
            <w:tcW w:w="225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rPr>
                <w:lang w:val="en-GB"/>
              </w:rPr>
            </w:pPr>
            <w:r>
              <w:rPr>
                <w:lang w:val="en-GB"/>
              </w:rPr>
              <w:t>To master the deployment of generative AI and ML tools</w:t>
            </w:r>
          </w:p>
        </w:tc>
        <w:tc>
          <w:tcPr>
            <w:tcW w:w="208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rPr>
                <w:lang w:val="en-GB"/>
              </w:rPr>
            </w:pPr>
            <w:r>
              <w:rPr>
                <w:lang w:val="en-GB"/>
              </w:rPr>
              <w:t>AI Augmentation in HR</w:t>
            </w:r>
          </w:p>
        </w:tc>
        <w:tc>
          <w:tcPr>
            <w:tcW w:w="304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rPr>
                <w:lang w:val="en-GB"/>
              </w:rPr>
            </w:pPr>
            <w:r>
              <w:rPr>
                <w:lang w:val="en-GB"/>
              </w:rPr>
              <w:t>Need to complete advanced courses on AI prompt engineering for ethical workforce modelling.</w:t>
            </w:r>
          </w:p>
        </w:tc>
        <w:tc>
          <w:tcPr>
            <w:tcW w:w="301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rPr>
                <w:lang w:val="en-GB"/>
              </w:rPr>
            </w:pPr>
            <w:r>
              <w:rPr>
                <w:lang w:val="en-GB"/>
              </w:rPr>
              <w:t>Gain capabilities for designing automated, highly personalised onboarding journeys that actively shorten time-to-productivity.</w:t>
            </w:r>
          </w:p>
        </w:tc>
      </w:tr>
      <w:tr>
        <w:tc>
          <w:tcPr>
            <w:tcW w:w="225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rPr>
                <w:lang w:val="en-GB"/>
              </w:rPr>
            </w:pPr>
            <w:r>
              <w:rPr>
                <w:lang w:val="en-GB"/>
              </w:rPr>
              <w:t>To manage talent ecosystems across distinct regulatory</w:t>
            </w:r>
          </w:p>
        </w:tc>
        <w:tc>
          <w:tcPr>
            <w:tcW w:w="208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rPr>
                <w:lang w:val="en-GB"/>
              </w:rPr>
            </w:pPr>
            <w:r>
              <w:rPr>
                <w:lang w:val="en-GB"/>
              </w:rPr>
              <w:t xml:space="preserve">Cultural awareness and global mobility </w:t>
            </w:r>
          </w:p>
        </w:tc>
        <w:tc>
          <w:tcPr>
            <w:tcW w:w="304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rPr>
                <w:lang w:val="en-GB"/>
              </w:rPr>
            </w:pPr>
            <w:r>
              <w:rPr>
                <w:lang w:val="en-GB"/>
              </w:rPr>
              <w:t>Need to seek active mentorship from global mobility specialists</w:t>
            </w:r>
          </w:p>
        </w:tc>
        <w:tc>
          <w:tcPr>
            <w:tcW w:w="301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rPr>
                <w:lang w:val="en-GB"/>
              </w:rPr>
            </w:pPr>
            <w:r>
              <w:rPr>
                <w:lang w:val="en-GB"/>
              </w:rPr>
              <w:t>Gain preparedness to design compliant</w:t>
            </w:r>
          </w:p>
        </w:tc>
      </w:tr>
      <w:tr>
        <w:tc>
          <w:tcPr>
            <w:tcW w:w="225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rPr>
                <w:lang w:val="en-GB"/>
              </w:rPr>
            </w:pPr>
            <w:r>
              <w:rPr>
                <w:lang w:val="en-GB"/>
              </w:rPr>
              <w:t>To shift from a functional executor to a trusted board-level advisor.</w:t>
            </w:r>
          </w:p>
        </w:tc>
        <w:tc>
          <w:tcPr>
            <w:tcW w:w="208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rPr>
                <w:lang w:val="en-GB"/>
              </w:rPr>
            </w:pPr>
            <w:r>
              <w:rPr>
                <w:lang w:val="en-GB"/>
              </w:rPr>
              <w:t>Strategic Influencing Skills</w:t>
            </w:r>
          </w:p>
        </w:tc>
        <w:tc>
          <w:tcPr>
            <w:tcW w:w="304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rPr>
                <w:lang w:val="en-GB"/>
              </w:rPr>
            </w:pPr>
            <w:r>
              <w:rPr>
                <w:lang w:val="en-GB"/>
              </w:rPr>
              <w:t>Need to engage in executive communication coaching</w:t>
            </w:r>
          </w:p>
        </w:tc>
        <w:tc>
          <w:tcPr>
            <w:tcW w:w="301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rPr>
                <w:lang w:val="en-GB"/>
              </w:rPr>
            </w:pPr>
            <w:r>
              <w:rPr>
                <w:lang w:val="en-GB"/>
              </w:rPr>
              <w:t>Gain the capacity to secure executive buy-in for systemic changes</w:t>
            </w:r>
          </w:p>
        </w:tc>
      </w:tr>
    </w:tbl>
    <w:p>
      <w:pPr>
        <w:jc w:val="center"/>
        <w:rPr>
          <w:b/>
          <w:bCs/>
          <w:lang w:val="en-GB"/>
        </w:rPr>
      </w:pPr>
      <w:r>
        <w:rPr>
          <w:b/>
          <w:bCs/>
          <w:lang w:val="en-GB"/>
        </w:rPr>
        <w:t>Table 2: Personal capability development plan</w:t>
      </w:r>
    </w:p>
    <w:p>
      <w:pPr>
        <w:jc w:val="center"/>
        <w:rPr>
          <w:lang w:val="en-GB"/>
        </w:rPr>
      </w:pPr>
      <w:r>
        <w:rPr>
          <w:lang w:val="en-GB"/>
        </w:rPr>
        <w:t>(Source: Self-developed)</w:t>
      </w:r>
    </w:p>
    <w:p>
      <w:pPr>
        <w:pStyle w:val="15"/>
        <w:rPr>
          <w:lang w:val="en-GB"/>
        </w:rPr>
      </w:pPr>
      <w:r>
        <w:rPr>
          <w:lang w:val="en-GB"/>
        </w:rPr>
        <w:t>I must develop capabilities at the intersection of data analytics, technological augmentation as well as cross-cultural leadership in terms of thriving as a strategic partner capable of steering agile organisations such as Helios Urban Mobility. Thus, the goal of developing the above plan can help in improving my employability skills in the coming time. Improving my employability skills can help me to diagnose organisational issues swiftly, while relying on core human values to design the actual remedies.</w:t>
      </w:r>
    </w:p>
    <w:p>
      <w:pPr>
        <w:pStyle w:val="15"/>
        <w:rPr>
          <w:lang w:val="en-GB"/>
        </w:rPr>
      </w:pPr>
      <w:r>
        <w:rPr>
          <w:lang w:val="en-GB"/>
        </w:rPr>
        <w:br w:type="page"/>
      </w:r>
    </w:p>
    <w:p>
      <w:pPr>
        <w:pStyle w:val="1"/>
        <w:rPr>
          <w:lang w:val="en-GB"/>
        </w:rPr>
      </w:pPr>
      <w:bookmarkStart w:id="22" w:name="_nf5ahet5fkkm"/>
      <w:bookmarkStart w:id="23" w:name="_Toc234074620"/>
      <w:bookmarkEnd w:id="22"/>
      <w:r>
        <w:rPr>
          <w:lang w:val="en-GB"/>
        </w:rPr>
        <w:t>References</w:t>
      </w:r>
      <w:bookmarkEnd w:id="23"/>
      <w:r>
        <w:rPr>
          <w:lang w:val="en-GB"/>
        </w:rPr>
        <w:t xml:space="preserve"> </w:t>
      </w:r>
    </w:p>
    <w:p>
      <w:pPr>
        <w:rPr>
          <w:color w:val="1155CC"/>
          <w:u w:val="single"/>
        </w:rPr>
      </w:pPr>
      <w:r>
        <w:t xml:space="preserve">Ajegbile, M.D., Olaboye, J.A., Maha, C.C. and Tamunobarafiri, G.J.W.J.B.P.H.S., (2024). ‘Integrating business analytics in healthcare: Enhancing patient outcomes through data-driven decision making’. </w:t>
      </w:r>
      <w:r>
        <w:rPr>
          <w:i/>
          <w:iCs/>
        </w:rPr>
        <w:t>World J Biol Pharm Health Sci</w:t>
      </w:r>
      <w:r>
        <w:t xml:space="preserve">, </w:t>
      </w:r>
      <w:r>
        <w:rPr>
          <w:i/>
          <w:iCs/>
        </w:rPr>
        <w:t>19</w:t>
      </w:r>
      <w:r>
        <w:t>(1), pp.243-250.</w:t>
      </w:r>
      <w:r>
        <w:fldChar w:fldCharType="begin"/>
      </w:r>
      <w:r>
        <w:instrText>HYPERLINK "https://doi.org/10.30574/wjbphs.2024.19.1.0436"</w:instrText>
      </w:r>
      <w:r>
        <w:fldChar w:fldCharType="separate"/>
      </w:r>
      <w:r>
        <w:t xml:space="preserve"> </w:t>
      </w:r>
      <w:r>
        <w:fldChar w:fldCharType="end"/>
      </w:r>
      <w:r>
        <w:rPr>
          <w:color w:val="1155CC"/>
          <w:u w:val="single"/>
        </w:rPr>
        <w:fldChar w:fldCharType="begin"/>
      </w:r>
      <w:r>
        <w:instrText>HYPERLINK "https://doi.org/10.30574/wjbphs.2024.19.1.0436"</w:instrText>
      </w:r>
      <w:r>
        <w:rPr>
          <w:color w:val="1155CC"/>
          <w:u w:val="single"/>
        </w:rPr>
        <w:fldChar w:fldCharType="separate"/>
      </w:r>
      <w:r>
        <w:rPr>
          <w:color w:val="1155CC"/>
          <w:u w:val="single"/>
        </w:rPr>
        <w:t>https://doi.org/10.30574/wjbphs.2024.19.1.0436</w:t>
      </w:r>
      <w:r>
        <w:rPr>
          <w:color w:val="1155CC"/>
          <w:u w:val="single"/>
        </w:rPr>
        <w:fldChar w:fldCharType="end"/>
      </w:r>
    </w:p>
    <w:p>
      <w:pPr>
        <w:pStyle w:val="15"/>
        <w:spacing w:before="200" w:after="200"/>
        <w:rPr>
          <w:lang w:val="en-GB"/>
        </w:rPr>
      </w:pPr>
      <w:r>
        <w:rPr>
          <w:color w:val="222222"/>
          <w:lang w:val="en-GB"/>
          <w:highlight w:val="white"/>
        </w:rPr>
        <w:t xml:space="preserve">Costantini, A., Demerouti, E., Ceschi, A. and Sartori, R., (2022). ‘Implementing job crafting behaviors: Exploring the effects of a job crafting intervention based on the theory of planned behavior’. </w:t>
      </w:r>
      <w:r>
        <w:rPr>
          <w:i/>
          <w:iCs/>
          <w:color w:val="222222"/>
          <w:lang w:val="en-GB"/>
          <w:highlight w:val="white"/>
        </w:rPr>
        <w:t>The Journal of Applied Behavioral Science</w:t>
      </w:r>
      <w:r>
        <w:rPr>
          <w:color w:val="222222"/>
          <w:lang w:val="en-GB"/>
          <w:highlight w:val="white"/>
        </w:rPr>
        <w:t xml:space="preserve">, </w:t>
      </w:r>
      <w:r>
        <w:rPr>
          <w:i/>
          <w:iCs/>
          <w:color w:val="222222"/>
          <w:lang w:val="en-GB"/>
          <w:highlight w:val="white"/>
        </w:rPr>
        <w:t>58</w:t>
      </w:r>
      <w:r>
        <w:rPr>
          <w:color w:val="222222"/>
          <w:lang w:val="en-GB"/>
          <w:highlight w:val="white"/>
        </w:rPr>
        <w:t>(3), pp.477-512.</w:t>
      </w:r>
      <w:r>
        <w:rPr>
          <w:lang w:val="en-GB"/>
        </w:rPr>
        <w:t xml:space="preserve"> Available at: </w:t>
      </w:r>
      <w:r>
        <w:rPr>
          <w:color w:val="1155CC"/>
          <w:u w:val="single"/>
          <w:lang w:val="en-GB"/>
        </w:rPr>
        <w:fldChar w:fldCharType="begin"/>
      </w:r>
      <w:r>
        <w:instrText>HYPERLINK "https://doi.org/10.1177/0021886320975913"</w:instrText>
      </w:r>
      <w:r>
        <w:rPr>
          <w:color w:val="1155CC"/>
          <w:u w:val="single"/>
          <w:lang w:val="en-GB"/>
        </w:rPr>
        <w:fldChar w:fldCharType="separate"/>
      </w:r>
      <w:r>
        <w:rPr>
          <w:color w:val="1155CC"/>
          <w:u w:val="single"/>
          <w:lang w:val="en-GB"/>
        </w:rPr>
        <w:t>https://doi.org/10.1177/0021886320975913</w:t>
      </w:r>
      <w:r>
        <w:rPr>
          <w:color w:val="1155CC"/>
          <w:u w:val="single"/>
          <w:lang w:val="en-GB"/>
        </w:rPr>
        <w:fldChar w:fldCharType="end"/>
      </w:r>
      <w:r>
        <w:rPr>
          <w:lang w:val="en-GB"/>
        </w:rPr>
        <w:t xml:space="preserve"> </w:t>
      </w:r>
    </w:p>
    <w:p>
      <w:pPr>
        <w:pStyle w:val="15"/>
        <w:spacing w:before="200" w:after="200"/>
        <w:rPr>
          <w:color w:val="1155CC"/>
          <w:u w:val="single"/>
          <w:lang w:val="en-GB"/>
        </w:rPr>
      </w:pPr>
      <w:r>
        <w:rPr>
          <w:color w:val="222222"/>
          <w:lang w:val="en-GB"/>
          <w:highlight w:val="white"/>
        </w:rPr>
        <w:t xml:space="preserve">Fishbach, A. and Woolley, K., (2022). ‘The structure of intrinsic motivation’. </w:t>
      </w:r>
      <w:r>
        <w:rPr>
          <w:i/>
          <w:iCs/>
          <w:color w:val="222222"/>
          <w:lang w:val="en-GB"/>
          <w:highlight w:val="white"/>
        </w:rPr>
        <w:t>Annual review of organizational psychology and organizational behavior</w:t>
      </w:r>
      <w:r>
        <w:rPr>
          <w:color w:val="222222"/>
          <w:lang w:val="en-GB"/>
          <w:highlight w:val="white"/>
        </w:rPr>
        <w:t xml:space="preserve">, </w:t>
      </w:r>
      <w:r>
        <w:rPr>
          <w:i/>
          <w:iCs/>
          <w:color w:val="222222"/>
          <w:lang w:val="en-GB"/>
          <w:highlight w:val="white"/>
        </w:rPr>
        <w:t>9</w:t>
      </w:r>
      <w:r>
        <w:rPr>
          <w:color w:val="222222"/>
          <w:lang w:val="en-GB"/>
          <w:highlight w:val="white"/>
        </w:rPr>
        <w:t>(1), pp.339-363.</w:t>
      </w:r>
      <w:r>
        <w:rPr>
          <w:lang w:val="en-GB"/>
        </w:rPr>
        <w:t xml:space="preserve"> Available at: </w:t>
      </w:r>
      <w:r>
        <w:rPr>
          <w:color w:val="1155CC"/>
          <w:u w:val="single"/>
          <w:lang w:val="en-GB"/>
        </w:rPr>
        <w:fldChar w:fldCharType="begin"/>
      </w:r>
      <w:r>
        <w:instrText>HYPERLINK "https://doi.org/10.1146/annurev-orgpsych-012420-091122"</w:instrText>
      </w:r>
      <w:r>
        <w:rPr>
          <w:color w:val="1155CC"/>
          <w:u w:val="single"/>
          <w:lang w:val="en-GB"/>
        </w:rPr>
        <w:fldChar w:fldCharType="separate"/>
      </w:r>
      <w:r>
        <w:rPr>
          <w:color w:val="1155CC"/>
          <w:u w:val="single"/>
          <w:lang w:val="en-GB"/>
        </w:rPr>
        <w:t>https://doi.org/10.1146/annurev-orgpsych-012420-091122</w:t>
      </w:r>
      <w:r>
        <w:rPr>
          <w:color w:val="1155CC"/>
          <w:u w:val="single"/>
          <w:lang w:val="en-GB"/>
        </w:rPr>
        <w:fldChar w:fldCharType="end"/>
      </w:r>
    </w:p>
    <w:p>
      <w:r>
        <w:rPr>
          <w:color w:val="222222"/>
          <w:highlight w:val="white"/>
        </w:rPr>
        <w:t xml:space="preserve">Godinho, T., Reis, I.P., Carvalho, R. and Martinho, F., (2023). ‘Onboarding handbook: An indispensable tool for onboarding processes’. </w:t>
      </w:r>
      <w:r>
        <w:rPr>
          <w:i/>
          <w:iCs/>
          <w:color w:val="222222"/>
          <w:highlight w:val="white"/>
        </w:rPr>
        <w:t>Administrative sciences</w:t>
      </w:r>
      <w:r>
        <w:rPr>
          <w:color w:val="222222"/>
          <w:highlight w:val="white"/>
        </w:rPr>
        <w:t xml:space="preserve">, </w:t>
      </w:r>
      <w:r>
        <w:rPr>
          <w:i/>
          <w:iCs/>
          <w:color w:val="222222"/>
          <w:highlight w:val="white"/>
        </w:rPr>
        <w:t>13</w:t>
      </w:r>
      <w:r>
        <w:rPr>
          <w:color w:val="222222"/>
          <w:highlight w:val="white"/>
        </w:rPr>
        <w:t>(3), p.79.</w:t>
      </w:r>
      <w:r>
        <w:t xml:space="preserve"> Available at: </w:t>
      </w:r>
      <w:r>
        <w:rPr>
          <w:color w:val="1155CC"/>
          <w:u w:val="single"/>
        </w:rPr>
        <w:fldChar w:fldCharType="begin"/>
      </w:r>
      <w:r>
        <w:instrText>HYPERLINK "https://doi.org/10.3390/admsci13030079"</w:instrText>
      </w:r>
      <w:r>
        <w:rPr>
          <w:color w:val="1155CC"/>
          <w:u w:val="single"/>
        </w:rPr>
        <w:fldChar w:fldCharType="separate"/>
      </w:r>
      <w:r>
        <w:rPr>
          <w:color w:val="1155CC"/>
          <w:u w:val="single"/>
        </w:rPr>
        <w:t>https://doi.org/10.3390/admsci13030079</w:t>
      </w:r>
      <w:r>
        <w:rPr>
          <w:color w:val="1155CC"/>
          <w:u w:val="single"/>
        </w:rPr>
        <w:fldChar w:fldCharType="end"/>
      </w:r>
    </w:p>
    <w:p>
      <w:r>
        <w:rPr>
          <w:color w:val="222222"/>
          <w:highlight w:val="white"/>
        </w:rPr>
        <w:t xml:space="preserve">Gong, T. and Wang, C.Y., (2022). ‘The effects of a psychological contract breach on customer-directed deviance’. </w:t>
      </w:r>
      <w:r>
        <w:rPr>
          <w:i/>
          <w:iCs/>
          <w:color w:val="222222"/>
          <w:highlight w:val="white"/>
        </w:rPr>
        <w:t>Journal of Business Research</w:t>
      </w:r>
      <w:r>
        <w:rPr>
          <w:color w:val="222222"/>
          <w:highlight w:val="white"/>
        </w:rPr>
        <w:t xml:space="preserve">, </w:t>
      </w:r>
      <w:r>
        <w:rPr>
          <w:i/>
          <w:iCs/>
          <w:color w:val="222222"/>
          <w:highlight w:val="white"/>
        </w:rPr>
        <w:t>138</w:t>
      </w:r>
      <w:r>
        <w:rPr>
          <w:color w:val="222222"/>
          <w:highlight w:val="white"/>
        </w:rPr>
        <w:t>, pp.374-386.</w:t>
      </w:r>
      <w:r>
        <w:t xml:space="preserve"> Available at: </w:t>
      </w:r>
      <w:r>
        <w:rPr>
          <w:color w:val="1155CC"/>
          <w:u w:val="single"/>
        </w:rPr>
        <w:fldChar w:fldCharType="begin"/>
      </w:r>
      <w:r>
        <w:instrText>HYPERLINK "https://www.researchgate.net/profile/Taeshik-Gong/publication/354643065_The_Effects_of_a_Psychological_Contract_Breach_on_Customer-Directed_Deviance/links/6143eed9f4a9f7651162dec8/The-Effects-of-a-Psychological-Contract-Breach-on-Customer-Directed-Deviance.pdf"</w:instrText>
      </w:r>
      <w:r>
        <w:rPr>
          <w:color w:val="1155CC"/>
          <w:u w:val="single"/>
        </w:rPr>
        <w:fldChar w:fldCharType="separate"/>
      </w:r>
      <w:r>
        <w:rPr>
          <w:color w:val="1155CC"/>
          <w:u w:val="single"/>
        </w:rPr>
        <w:t>https://www.researchgate.net/profile/Taeshik-Gong/publication/354643065_The_Effects_of_a_Psychological_Contract_Breach_on_Customer-Directed_Deviance/links/6143eed9f4a9f7651162dec8/The-Effects-of-a-Psychological-Contract-Breach-on-Customer-Directed-Deviance.pdf</w:t>
      </w:r>
      <w:r>
        <w:rPr>
          <w:color w:val="1155CC"/>
          <w:u w:val="single"/>
        </w:rPr>
        <w:fldChar w:fldCharType="end"/>
      </w:r>
    </w:p>
    <w:p>
      <w:pPr>
        <w:rPr>
          <w:color w:val="1155CC"/>
          <w:u w:val="single"/>
        </w:rPr>
      </w:pPr>
      <w:r>
        <w:t xml:space="preserve">Gull, M., Ahmed, A. and Hassan, S., (2022). ‘The Work Engagement and Job Characteristics: Systematic Review and Guidelines for Future Avenues’. </w:t>
      </w:r>
      <w:r>
        <w:rPr>
          <w:i/>
          <w:iCs/>
        </w:rPr>
        <w:t>Global Social Sciences Review</w:t>
      </w:r>
      <w:r>
        <w:t xml:space="preserve">, </w:t>
      </w:r>
      <w:r>
        <w:rPr>
          <w:i/>
          <w:iCs/>
        </w:rPr>
        <w:t>7</w:t>
      </w:r>
      <w:r>
        <w:t>(2), pp.387-402. Available at:</w:t>
      </w:r>
      <w:r>
        <w:fldChar w:fldCharType="begin"/>
      </w:r>
      <w:r>
        <w:instrText>HYPERLINK "https://doi.org/10.31703/gssr.2022(VII-II).38"</w:instrText>
      </w:r>
      <w:r>
        <w:fldChar w:fldCharType="separate"/>
      </w:r>
      <w:r>
        <w:t xml:space="preserve"> </w:t>
      </w:r>
      <w:r>
        <w:fldChar w:fldCharType="end"/>
      </w:r>
      <w:r>
        <w:rPr>
          <w:color w:val="1155CC"/>
          <w:u w:val="single"/>
        </w:rPr>
        <w:fldChar w:fldCharType="begin"/>
      </w:r>
      <w:r>
        <w:instrText>HYPERLINK "https://doi.org/10.31703/gssr.2022(VII-II).38"</w:instrText>
      </w:r>
      <w:r>
        <w:rPr>
          <w:color w:val="1155CC"/>
          <w:u w:val="single"/>
        </w:rPr>
        <w:fldChar w:fldCharType="separate"/>
      </w:r>
      <w:r>
        <w:rPr>
          <w:color w:val="1155CC"/>
          <w:u w:val="single"/>
        </w:rPr>
        <w:t>https://doi.org/10.31703/gssr.2022(VII-II).38</w:t>
      </w:r>
      <w:r>
        <w:rPr>
          <w:color w:val="1155CC"/>
          <w:u w:val="single"/>
        </w:rPr>
        <w:fldChar w:fldCharType="end"/>
      </w:r>
    </w:p>
    <w:p>
      <w:r>
        <w:rPr>
          <w:color w:val="222222"/>
          <w:highlight w:val="white"/>
        </w:rPr>
        <w:t xml:space="preserve">Hammond, M.M., Thrasher, G. and Lester, G.V., (2025). ‘’A systematic review of the leader identity research: A road map for the rigorous study and advancement of leader identity’. </w:t>
      </w:r>
      <w:r>
        <w:rPr>
          <w:i/>
          <w:iCs/>
          <w:color w:val="222222"/>
          <w:highlight w:val="white"/>
        </w:rPr>
        <w:t>Organizational Psychology Review</w:t>
      </w:r>
      <w:r>
        <w:rPr>
          <w:color w:val="222222"/>
          <w:highlight w:val="white"/>
        </w:rPr>
        <w:t xml:space="preserve">, </w:t>
      </w:r>
      <w:r>
        <w:rPr>
          <w:i/>
          <w:iCs/>
          <w:color w:val="222222"/>
          <w:highlight w:val="white"/>
        </w:rPr>
        <w:t>15</w:t>
      </w:r>
      <w:r>
        <w:rPr>
          <w:color w:val="222222"/>
          <w:highlight w:val="white"/>
        </w:rPr>
        <w:t>(3), pp.321-357.</w:t>
      </w:r>
      <w:r>
        <w:t xml:space="preserve"> Available at: </w:t>
      </w:r>
      <w:r>
        <w:rPr>
          <w:color w:val="1155CC"/>
          <w:u w:val="single"/>
        </w:rPr>
        <w:fldChar w:fldCharType="begin"/>
      </w:r>
      <w:r>
        <w:instrText>HYPERLINK "https://doi.org/10.1177/20413866251351752"</w:instrText>
      </w:r>
      <w:r>
        <w:rPr>
          <w:color w:val="1155CC"/>
          <w:u w:val="single"/>
        </w:rPr>
        <w:fldChar w:fldCharType="separate"/>
      </w:r>
      <w:r>
        <w:rPr>
          <w:color w:val="1155CC"/>
          <w:u w:val="single"/>
        </w:rPr>
        <w:t>https://doi.org/10.1177/20413866251351752</w:t>
      </w:r>
      <w:r>
        <w:rPr>
          <w:color w:val="1155CC"/>
          <w:u w:val="single"/>
        </w:rPr>
        <w:fldChar w:fldCharType="end"/>
      </w:r>
    </w:p>
    <w:p>
      <w:r>
        <w:rPr>
          <w:color w:val="222222"/>
          <w:highlight w:val="white"/>
        </w:rPr>
        <w:t xml:space="preserve">Ibrahim, U.S.G., Yusof, R.B. and Ibrahim, H.I.B., (2022). ‘The role of employee onboarding training program in mitigating deviant workplace behavior: Job satisfaction as a mediator’. </w:t>
      </w:r>
      <w:r>
        <w:rPr>
          <w:i/>
          <w:iCs/>
          <w:color w:val="222222"/>
          <w:highlight w:val="white"/>
        </w:rPr>
        <w:t>Global business and management research</w:t>
      </w:r>
      <w:r>
        <w:rPr>
          <w:color w:val="222222"/>
          <w:highlight w:val="white"/>
        </w:rPr>
        <w:t xml:space="preserve">, </w:t>
      </w:r>
      <w:r>
        <w:rPr>
          <w:i/>
          <w:iCs/>
          <w:color w:val="222222"/>
          <w:highlight w:val="white"/>
        </w:rPr>
        <w:t>14</w:t>
      </w:r>
      <w:r>
        <w:rPr>
          <w:color w:val="222222"/>
          <w:highlight w:val="white"/>
        </w:rPr>
        <w:t>(3s), pp.983-1007.</w:t>
      </w:r>
      <w:r>
        <w:t xml:space="preserve"> Available at: </w:t>
      </w:r>
      <w:r>
        <w:rPr>
          <w:color w:val="1155CC"/>
          <w:u w:val="single"/>
        </w:rPr>
        <w:fldChar w:fldCharType="begin"/>
      </w:r>
      <w:r>
        <w:instrText>HYPERLINK "https://www.gbmrjournal.com/pdf/v14n3s/V14N3s-68.pdf"</w:instrText>
      </w:r>
      <w:r>
        <w:rPr>
          <w:color w:val="1155CC"/>
          <w:u w:val="single"/>
        </w:rPr>
        <w:fldChar w:fldCharType="separate"/>
      </w:r>
      <w:r>
        <w:rPr>
          <w:color w:val="1155CC"/>
          <w:u w:val="single"/>
        </w:rPr>
        <w:t>https://www.gbmrjournal.com/pdf/v14n3s/V14N3s-68.pdf</w:t>
      </w:r>
      <w:r>
        <w:rPr>
          <w:color w:val="1155CC"/>
          <w:u w:val="single"/>
        </w:rPr>
        <w:fldChar w:fldCharType="end"/>
      </w:r>
    </w:p>
    <w:p>
      <w:pPr>
        <w:pStyle w:val="15"/>
        <w:spacing w:before="200" w:after="200"/>
        <w:rPr>
          <w:lang w:val="en-GB"/>
        </w:rPr>
      </w:pPr>
      <w:r>
        <w:rPr>
          <w:color w:val="222222"/>
          <w:lang w:val="en-GB"/>
          <w:highlight w:val="white"/>
        </w:rPr>
        <w:t xml:space="preserve">Judge, T.A., Klinger, R. and Li, M., (2023). ‘Promote job satisfaction through mental challenge’. </w:t>
      </w:r>
      <w:r>
        <w:rPr>
          <w:i/>
          <w:iCs/>
          <w:color w:val="222222"/>
          <w:lang w:val="en-GB"/>
          <w:highlight w:val="white"/>
        </w:rPr>
        <w:t>Principles of Organizational Behavior: The Handbook of Evidence‐Based Management 3rd Edition</w:t>
      </w:r>
      <w:r>
        <w:rPr>
          <w:color w:val="222222"/>
          <w:lang w:val="en-GB"/>
          <w:highlight w:val="white"/>
        </w:rPr>
        <w:t>, pp.161-178.</w:t>
      </w:r>
      <w:r>
        <w:rPr>
          <w:lang w:val="en-GB"/>
        </w:rPr>
        <w:t xml:space="preserve"> Available at: </w:t>
      </w:r>
      <w:r>
        <w:rPr>
          <w:color w:val="1155CC"/>
          <w:u w:val="single"/>
          <w:lang w:val="en-GB"/>
        </w:rPr>
        <w:fldChar w:fldCharType="begin"/>
      </w:r>
      <w:r>
        <w:instrText>HYPERLINK "https://www.academia.edu/download/46406951/Organizational_behavior.pdf#page=139"</w:instrText>
      </w:r>
      <w:r>
        <w:rPr>
          <w:color w:val="1155CC"/>
          <w:u w:val="single"/>
          <w:lang w:val="en-GB"/>
        </w:rPr>
        <w:fldChar w:fldCharType="separate"/>
      </w:r>
      <w:r>
        <w:rPr>
          <w:color w:val="1155CC"/>
          <w:u w:val="single"/>
          <w:lang w:val="en-GB"/>
        </w:rPr>
        <w:t>https://www.academia.edu/download/46406951/Organizational_behavior.pdf#page=139</w:t>
      </w:r>
      <w:r>
        <w:rPr>
          <w:color w:val="1155CC"/>
          <w:u w:val="single"/>
          <w:lang w:val="en-GB"/>
        </w:rPr>
        <w:fldChar w:fldCharType="end"/>
      </w:r>
      <w:r>
        <w:rPr>
          <w:lang w:val="en-GB"/>
        </w:rPr>
        <w:t xml:space="preserve"> </w:t>
      </w:r>
    </w:p>
    <w:p>
      <w:pPr>
        <w:rPr>
          <w:color w:val="1155CC"/>
          <w:u w:val="single"/>
        </w:rPr>
      </w:pPr>
      <w:r>
        <w:t xml:space="preserve">KG, A. and Joseph, J., (2025). ‘The compassion illusion: Can artificial empathy ever be emotionally authentic?’. </w:t>
      </w:r>
      <w:r>
        <w:rPr>
          <w:i/>
          <w:iCs/>
        </w:rPr>
        <w:t>Frontiers in Psychology</w:t>
      </w:r>
      <w:r>
        <w:t xml:space="preserve">, </w:t>
      </w:r>
      <w:r>
        <w:rPr>
          <w:i/>
          <w:iCs/>
        </w:rPr>
        <w:t>16</w:t>
      </w:r>
      <w:r>
        <w:t>, p.1723149.</w:t>
      </w:r>
      <w:r>
        <w:fldChar w:fldCharType="begin"/>
      </w:r>
      <w:r>
        <w:instrText>HYPERLINK "https://doi.org/10.3389/fpsyg.2025.1723149"</w:instrText>
      </w:r>
      <w:r>
        <w:fldChar w:fldCharType="separate"/>
      </w:r>
      <w:r>
        <w:t xml:space="preserve"> </w:t>
      </w:r>
      <w:r>
        <w:fldChar w:fldCharType="end"/>
      </w:r>
      <w:r>
        <w:rPr>
          <w:color w:val="1155CC"/>
          <w:u w:val="single"/>
        </w:rPr>
        <w:fldChar w:fldCharType="begin"/>
      </w:r>
      <w:r>
        <w:instrText>HYPERLINK "https://doi.org/10.3389/fpsyg.2025.1723149"</w:instrText>
      </w:r>
      <w:r>
        <w:rPr>
          <w:color w:val="1155CC"/>
          <w:u w:val="single"/>
        </w:rPr>
        <w:fldChar w:fldCharType="separate"/>
      </w:r>
      <w:r>
        <w:rPr>
          <w:color w:val="1155CC"/>
          <w:u w:val="single"/>
        </w:rPr>
        <w:t>https://doi.org/10.3389/fpsyg.2025.1723149</w:t>
      </w:r>
      <w:r>
        <w:rPr>
          <w:color w:val="1155CC"/>
          <w:u w:val="single"/>
        </w:rPr>
        <w:fldChar w:fldCharType="end"/>
      </w:r>
    </w:p>
    <w:p>
      <w:pPr>
        <w:rPr>
          <w:color w:val="1155CC"/>
          <w:u w:val="single"/>
        </w:rPr>
      </w:pPr>
      <w:r>
        <w:t xml:space="preserve">Krishna, S. and Sidharth, S., (2023). ‘AI-powered workforce analytics: maximizing business and employee success through predictive attrition modelling’. </w:t>
      </w:r>
      <w:r>
        <w:rPr>
          <w:i/>
          <w:iCs/>
        </w:rPr>
        <w:t>International Journal of Performability Engineering</w:t>
      </w:r>
      <w:r>
        <w:t xml:space="preserve">, </w:t>
      </w:r>
      <w:r>
        <w:rPr>
          <w:i/>
          <w:iCs/>
        </w:rPr>
        <w:t>19</w:t>
      </w:r>
      <w:r>
        <w:t>(3), p.203. Available at:</w:t>
      </w:r>
      <w:r>
        <w:fldChar w:fldCharType="begin"/>
      </w:r>
      <w:r>
        <w:instrText>HYPERLINK "https://doi.org/10.23940/ijpe.23.03.p6.203215"</w:instrText>
      </w:r>
      <w:r>
        <w:fldChar w:fldCharType="separate"/>
      </w:r>
      <w:r>
        <w:t xml:space="preserve"> </w:t>
      </w:r>
      <w:r>
        <w:fldChar w:fldCharType="end"/>
      </w:r>
      <w:r>
        <w:rPr>
          <w:color w:val="1155CC"/>
          <w:u w:val="single"/>
        </w:rPr>
        <w:fldChar w:fldCharType="begin"/>
      </w:r>
      <w:r>
        <w:instrText>HYPERLINK "https://doi.org/10.23940/ijpe.23.03.p6.203215"</w:instrText>
      </w:r>
      <w:r>
        <w:rPr>
          <w:color w:val="1155CC"/>
          <w:u w:val="single"/>
        </w:rPr>
        <w:fldChar w:fldCharType="separate"/>
      </w:r>
      <w:r>
        <w:rPr>
          <w:color w:val="1155CC"/>
          <w:u w:val="single"/>
        </w:rPr>
        <w:t>https://doi.org/10.23940/ijpe.23.03.p6.203215</w:t>
      </w:r>
      <w:r>
        <w:rPr>
          <w:color w:val="1155CC"/>
          <w:u w:val="single"/>
        </w:rPr>
        <w:fldChar w:fldCharType="end"/>
      </w:r>
    </w:p>
    <w:p>
      <w:pPr>
        <w:rPr>
          <w:b/>
          <w:bCs/>
        </w:rPr>
      </w:pPr>
      <w:r>
        <w:rPr>
          <w:color w:val="222222"/>
          <w:highlight w:val="white"/>
        </w:rPr>
        <w:t xml:space="preserve">Medine, A., Bahaw, P., Minto-Coy, I. and Knife, K., (2025). ‘A theory of change framework for Caribbean resilience and sustainability through social entrepreneurship’. </w:t>
      </w:r>
      <w:r>
        <w:rPr>
          <w:i/>
          <w:iCs/>
          <w:color w:val="222222"/>
          <w:highlight w:val="white"/>
        </w:rPr>
        <w:t>Latin American Business and Sustainability Review</w:t>
      </w:r>
      <w:r>
        <w:rPr>
          <w:color w:val="222222"/>
          <w:highlight w:val="white"/>
        </w:rPr>
        <w:t xml:space="preserve">, </w:t>
      </w:r>
      <w:r>
        <w:rPr>
          <w:i/>
          <w:iCs/>
          <w:color w:val="222222"/>
          <w:highlight w:val="white"/>
        </w:rPr>
        <w:t>2</w:t>
      </w:r>
      <w:r>
        <w:rPr>
          <w:color w:val="222222"/>
          <w:highlight w:val="white"/>
        </w:rPr>
        <w:t>(2), pp.1-17.</w:t>
      </w:r>
      <w:r>
        <w:t xml:space="preserve"> Available at: </w:t>
      </w:r>
      <w:r>
        <w:rPr>
          <w:color w:val="1155CC"/>
          <w:u w:val="single"/>
        </w:rPr>
        <w:fldChar w:fldCharType="begin"/>
      </w:r>
      <w:r>
        <w:instrText>HYPERLINK "https://labsreview.org/index.php/albus/article/download/29/20"</w:instrText>
      </w:r>
      <w:r>
        <w:rPr>
          <w:color w:val="1155CC"/>
          <w:u w:val="single"/>
        </w:rPr>
        <w:fldChar w:fldCharType="separate"/>
      </w:r>
      <w:r>
        <w:rPr>
          <w:color w:val="1155CC"/>
          <w:u w:val="single"/>
        </w:rPr>
        <w:t>https://labsreview.org/index.php/albus/article/download/29/20</w:t>
      </w:r>
      <w:r>
        <w:rPr>
          <w:color w:val="1155CC"/>
          <w:u w:val="single"/>
        </w:rPr>
        <w:fldChar w:fldCharType="end"/>
      </w:r>
    </w:p>
    <w:p>
      <w:pPr>
        <w:rPr>
          <w:color w:val="1155CC"/>
          <w:u w:val="single"/>
        </w:rPr>
      </w:pPr>
      <w:r>
        <w:t xml:space="preserve">Michael, C.I., Ipede, O.J., Adejumo, A.D., Adenekan, I.O., Adebayo, D., Ojo, A.S. and Ayodele, P.A., (2024). ‘Data-driven decision making in IT: Leveraging AI and data science for business intelligence’. </w:t>
      </w:r>
      <w:r>
        <w:rPr>
          <w:i/>
          <w:iCs/>
        </w:rPr>
        <w:t>World Journal of Advanced Research and Reviews</w:t>
      </w:r>
      <w:r>
        <w:t xml:space="preserve">, </w:t>
      </w:r>
      <w:r>
        <w:rPr>
          <w:i/>
          <w:iCs/>
        </w:rPr>
        <w:t>23</w:t>
      </w:r>
      <w:r>
        <w:t>(01), pp.432-439. Available at:</w:t>
      </w:r>
      <w:r>
        <w:fldChar w:fldCharType="begin"/>
      </w:r>
      <w:r>
        <w:instrText>HYPERLINK "https://doi.org/10.30574/wjarr.2024.23.1.2010"</w:instrText>
      </w:r>
      <w:r>
        <w:fldChar w:fldCharType="separate"/>
      </w:r>
      <w:r>
        <w:t xml:space="preserve"> </w:t>
      </w:r>
      <w:r>
        <w:fldChar w:fldCharType="end"/>
      </w:r>
      <w:r>
        <w:rPr>
          <w:color w:val="1155CC"/>
          <w:u w:val="single"/>
        </w:rPr>
        <w:fldChar w:fldCharType="begin"/>
      </w:r>
      <w:r>
        <w:instrText>HYPERLINK "https://doi.org/10.30574/wjarr.2024.23.1.2010"</w:instrText>
      </w:r>
      <w:r>
        <w:rPr>
          <w:color w:val="1155CC"/>
          <w:u w:val="single"/>
        </w:rPr>
        <w:fldChar w:fldCharType="separate"/>
      </w:r>
      <w:r>
        <w:rPr>
          <w:color w:val="1155CC"/>
          <w:u w:val="single"/>
        </w:rPr>
        <w:t>https://doi.org/10.30574/wjarr.2024.23.1.2010</w:t>
      </w:r>
      <w:r>
        <w:rPr>
          <w:color w:val="1155CC"/>
          <w:u w:val="single"/>
        </w:rPr>
        <w:fldChar w:fldCharType="end"/>
      </w:r>
    </w:p>
    <w:p>
      <w:pPr>
        <w:pStyle w:val="15"/>
        <w:spacing w:before="200" w:after="200"/>
        <w:rPr>
          <w:lang w:val="en-GB"/>
        </w:rPr>
      </w:pPr>
      <w:r>
        <w:rPr>
          <w:color w:val="222222"/>
          <w:lang w:val="en-GB"/>
          <w:highlight w:val="white"/>
        </w:rPr>
        <w:t>Muñoz, M., Peat, D.M. and Perrmann-Graham, J., (2024). ‘</w:t>
      </w:r>
      <w:r>
        <w:rPr>
          <w:i/>
          <w:iCs/>
          <w:color w:val="222222"/>
          <w:lang w:val="en-GB"/>
          <w:highlight w:val="white"/>
        </w:rPr>
        <w:t>Linda Harmon and Veritas Oversite Corp: A Job Characteristics Case’</w:t>
      </w:r>
      <w:r>
        <w:rPr>
          <w:color w:val="222222"/>
          <w:lang w:val="en-GB"/>
          <w:highlight w:val="white"/>
        </w:rPr>
        <w:t>. NeilsonJournals Publishing.</w:t>
      </w:r>
      <w:r>
        <w:rPr>
          <w:lang w:val="en-GB"/>
        </w:rPr>
        <w:t xml:space="preserve"> Available at: </w:t>
      </w:r>
      <w:r>
        <w:rPr>
          <w:color w:val="1155CC"/>
          <w:u w:val="single"/>
          <w:lang w:val="en-GB"/>
        </w:rPr>
        <w:fldChar w:fldCharType="begin"/>
      </w:r>
      <w:r>
        <w:instrText>HYPERLINK "https://www.neilsonjournals.com/JOBE/JOBEpromos/JobDesign15p.pdf"</w:instrText>
      </w:r>
      <w:r>
        <w:rPr>
          <w:color w:val="1155CC"/>
          <w:u w:val="single"/>
          <w:lang w:val="en-GB"/>
        </w:rPr>
        <w:fldChar w:fldCharType="separate"/>
      </w:r>
      <w:r>
        <w:rPr>
          <w:color w:val="1155CC"/>
          <w:u w:val="single"/>
          <w:lang w:val="en-GB"/>
        </w:rPr>
        <w:t>https://www.neilsonjournals.com/JOBE/JOBEpromos/JobDesign15p.pdf</w:t>
      </w:r>
      <w:r>
        <w:rPr>
          <w:color w:val="1155CC"/>
          <w:u w:val="single"/>
          <w:lang w:val="en-GB"/>
        </w:rPr>
        <w:fldChar w:fldCharType="end"/>
      </w:r>
      <w:r>
        <w:rPr>
          <w:lang w:val="en-GB"/>
        </w:rPr>
        <w:t xml:space="preserve"> </w:t>
      </w:r>
    </w:p>
    <w:p>
      <w:pPr>
        <w:pStyle w:val="15"/>
        <w:spacing w:before="200" w:after="200"/>
        <w:rPr>
          <w:lang w:val="en-GB"/>
        </w:rPr>
      </w:pPr>
      <w:r>
        <w:rPr>
          <w:color w:val="222222"/>
          <w:lang w:val="en-GB"/>
          <w:highlight w:val="white"/>
        </w:rPr>
        <w:t>Oschinski, M. and Nguyen, T., (2022). ‘</w:t>
      </w:r>
      <w:r>
        <w:rPr>
          <w:i/>
          <w:iCs/>
          <w:color w:val="222222"/>
          <w:lang w:val="en-GB"/>
          <w:highlight w:val="white"/>
        </w:rPr>
        <w:t>Finding the right job: a skills-based approach to career planning’</w:t>
      </w:r>
      <w:r>
        <w:rPr>
          <w:color w:val="222222"/>
          <w:lang w:val="en-GB"/>
          <w:highlight w:val="white"/>
        </w:rPr>
        <w:t>. Institute for Research on Public Policy.</w:t>
      </w:r>
      <w:r>
        <w:rPr>
          <w:lang w:val="en-GB"/>
        </w:rPr>
        <w:t xml:space="preserve"> Available at: </w:t>
      </w:r>
      <w:r>
        <w:rPr>
          <w:color w:val="1155CC"/>
          <w:u w:val="single"/>
          <w:lang w:val="en-GB"/>
        </w:rPr>
        <w:fldChar w:fldCharType="begin"/>
      </w:r>
      <w:r>
        <w:instrText>HYPERLINK "https://irpp.org/wp-content/uploads/2022/02/Finding-the-Right-Job-A-Skills-Based-Approach-to-Career-Planning.pdf"</w:instrText>
      </w:r>
      <w:r>
        <w:rPr>
          <w:color w:val="1155CC"/>
          <w:u w:val="single"/>
          <w:lang w:val="en-GB"/>
        </w:rPr>
        <w:fldChar w:fldCharType="separate"/>
      </w:r>
      <w:r>
        <w:rPr>
          <w:color w:val="1155CC"/>
          <w:u w:val="single"/>
          <w:lang w:val="en-GB"/>
        </w:rPr>
        <w:t>https://irpp.org/wp-content/uploads/2022/02/Finding-the-Right-Job-A-Skills-Based-Approach-to-Career-Planning.pdf</w:t>
      </w:r>
      <w:r>
        <w:rPr>
          <w:color w:val="1155CC"/>
          <w:u w:val="single"/>
          <w:lang w:val="en-GB"/>
        </w:rPr>
        <w:fldChar w:fldCharType="end"/>
      </w:r>
      <w:r>
        <w:rPr>
          <w:lang w:val="en-GB"/>
        </w:rPr>
        <w:t xml:space="preserve"> </w:t>
      </w:r>
    </w:p>
    <w:p>
      <w:r>
        <w:rPr>
          <w:color w:val="222222"/>
          <w:highlight w:val="white"/>
        </w:rPr>
        <w:t xml:space="preserve">Pianese, T., Errichiello, L. and da Cunha, J.V., (2023). ‘Organizational control in the context of remote working: A synthesis of empirical findings and a research agenda’. </w:t>
      </w:r>
      <w:r>
        <w:rPr>
          <w:i/>
          <w:iCs/>
          <w:color w:val="222222"/>
          <w:highlight w:val="white"/>
        </w:rPr>
        <w:t>European Management Review</w:t>
      </w:r>
      <w:r>
        <w:rPr>
          <w:color w:val="222222"/>
          <w:highlight w:val="white"/>
        </w:rPr>
        <w:t xml:space="preserve">, </w:t>
      </w:r>
      <w:r>
        <w:rPr>
          <w:i/>
          <w:iCs/>
          <w:color w:val="222222"/>
          <w:highlight w:val="white"/>
        </w:rPr>
        <w:t>20</w:t>
      </w:r>
      <w:r>
        <w:rPr>
          <w:color w:val="222222"/>
          <w:highlight w:val="white"/>
        </w:rPr>
        <w:t>(2), pp.326-345.</w:t>
      </w:r>
      <w:r>
        <w:t xml:space="preserve"> Available at: </w:t>
      </w:r>
      <w:r>
        <w:rPr>
          <w:color w:val="1155CC"/>
          <w:u w:val="single"/>
        </w:rPr>
        <w:fldChar w:fldCharType="begin"/>
      </w:r>
      <w:r>
        <w:instrText>HYPERLINK "https://onlinelibrary.wiley.com/doi/pdf/10.1111%2Femre.12515"</w:instrText>
      </w:r>
      <w:r>
        <w:rPr>
          <w:color w:val="1155CC"/>
          <w:u w:val="single"/>
        </w:rPr>
        <w:fldChar w:fldCharType="separate"/>
      </w:r>
      <w:r>
        <w:rPr>
          <w:color w:val="1155CC"/>
          <w:u w:val="single"/>
        </w:rPr>
        <w:t>https://onlinelibrary.wiley.com/doi/pdf/10.1111%2Femre.12515</w:t>
      </w:r>
      <w:r>
        <w:rPr>
          <w:color w:val="1155CC"/>
          <w:u w:val="single"/>
        </w:rPr>
        <w:fldChar w:fldCharType="end"/>
      </w:r>
    </w:p>
    <w:p>
      <w:r>
        <w:rPr>
          <w:color w:val="222222"/>
          <w:highlight w:val="white"/>
        </w:rPr>
        <w:t xml:space="preserve">Sani, K.F., Adisa, T.A., Adekoya, O.D. and Oruh, E.S., (2023). ‘Digital onboarding and employee outcomes: empirical evidence from the UK’. </w:t>
      </w:r>
      <w:r>
        <w:rPr>
          <w:i/>
          <w:iCs/>
          <w:color w:val="222222"/>
          <w:highlight w:val="white"/>
        </w:rPr>
        <w:t>Management decision</w:t>
      </w:r>
      <w:r>
        <w:rPr>
          <w:color w:val="222222"/>
          <w:highlight w:val="white"/>
        </w:rPr>
        <w:t xml:space="preserve">, </w:t>
      </w:r>
      <w:r>
        <w:rPr>
          <w:i/>
          <w:iCs/>
          <w:color w:val="222222"/>
          <w:highlight w:val="white"/>
        </w:rPr>
        <w:t>61</w:t>
      </w:r>
      <w:r>
        <w:rPr>
          <w:color w:val="222222"/>
          <w:highlight w:val="white"/>
        </w:rPr>
        <w:t>(3), pp.637-654.</w:t>
      </w:r>
      <w:r>
        <w:t xml:space="preserve"> Available at:</w:t>
      </w:r>
      <w:r>
        <w:rPr>
          <w:color w:val="1155CC"/>
          <w:u w:val="single"/>
        </w:rPr>
        <w:fldChar w:fldCharType="begin"/>
      </w:r>
      <w:r>
        <w:instrText>HYPERLINK "https://shura.shu.ac.uk/30719/1/PDF_Proof %286%29.PDF"</w:instrText>
      </w:r>
      <w:r>
        <w:rPr>
          <w:color w:val="1155CC"/>
          <w:u w:val="single"/>
        </w:rPr>
        <w:fldChar w:fldCharType="separate"/>
      </w:r>
      <w:r>
        <w:rPr>
          <w:color w:val="1155CC"/>
          <w:u w:val="single"/>
        </w:rPr>
        <w:t>https://shura.shu.ac.uk/30719/1/PDF_Proof%20%286%29.PDF</w:t>
      </w:r>
      <w:r>
        <w:rPr>
          <w:color w:val="1155CC"/>
          <w:u w:val="single"/>
        </w:rPr>
        <w:fldChar w:fldCharType="end"/>
      </w:r>
    </w:p>
    <w:p>
      <w:r>
        <w:rPr>
          <w:color w:val="222222"/>
          <w:highlight w:val="white"/>
        </w:rPr>
        <w:t xml:space="preserve">Sarma, G.D., Choudhury, S., Bharadwaj, P. and Sarma, M., (2024). ‘Navigating corporate governance and ethics: the cornerstones of sustainable business practices’. </w:t>
      </w:r>
      <w:r>
        <w:rPr>
          <w:i/>
          <w:iCs/>
          <w:color w:val="222222"/>
          <w:highlight w:val="white"/>
        </w:rPr>
        <w:t>Educational Administration: Theory and Practice</w:t>
      </w:r>
      <w:r>
        <w:rPr>
          <w:color w:val="222222"/>
          <w:highlight w:val="white"/>
        </w:rPr>
        <w:t xml:space="preserve">, </w:t>
      </w:r>
      <w:r>
        <w:rPr>
          <w:i/>
          <w:iCs/>
          <w:color w:val="222222"/>
          <w:highlight w:val="white"/>
        </w:rPr>
        <w:t>30</w:t>
      </w:r>
      <w:r>
        <w:rPr>
          <w:color w:val="222222"/>
          <w:highlight w:val="white"/>
        </w:rPr>
        <w:t>(5), pp.5442-5454.</w:t>
      </w:r>
      <w:r>
        <w:t xml:space="preserve"> Available at: </w:t>
      </w:r>
      <w:r>
        <w:rPr>
          <w:color w:val="1155CC"/>
          <w:u w:val="single"/>
        </w:rPr>
        <w:fldChar w:fldCharType="begin"/>
      </w:r>
      <w:r>
        <w:instrText>HYPERLINK "https://www.academia.edu/download/117670426/2511.pdf"</w:instrText>
      </w:r>
      <w:r>
        <w:rPr>
          <w:color w:val="1155CC"/>
          <w:u w:val="single"/>
        </w:rPr>
        <w:fldChar w:fldCharType="separate"/>
      </w:r>
      <w:r>
        <w:rPr>
          <w:color w:val="1155CC"/>
          <w:u w:val="single"/>
        </w:rPr>
        <w:t>https://www.academia.edu/download/117670426/2511.pdf</w:t>
      </w:r>
      <w:r>
        <w:rPr>
          <w:color w:val="1155CC"/>
          <w:u w:val="single"/>
        </w:rPr>
        <w:fldChar w:fldCharType="end"/>
      </w:r>
    </w:p>
    <w:p>
      <w:r>
        <w:rPr>
          <w:color w:val="222222"/>
          <w:highlight w:val="white"/>
        </w:rPr>
        <w:t xml:space="preserve">Somu, S. and Ali, N.A., (2025). ‘Remote onboarding and beyond: Fostering organizational citizenship behavior through psychological channels’. </w:t>
      </w:r>
      <w:r>
        <w:rPr>
          <w:i/>
          <w:iCs/>
          <w:color w:val="222222"/>
          <w:highlight w:val="white"/>
        </w:rPr>
        <w:t>Journal of Economics and Management</w:t>
      </w:r>
      <w:r>
        <w:rPr>
          <w:color w:val="222222"/>
          <w:highlight w:val="white"/>
        </w:rPr>
        <w:t xml:space="preserve">, </w:t>
      </w:r>
      <w:r>
        <w:rPr>
          <w:i/>
          <w:iCs/>
          <w:color w:val="222222"/>
          <w:highlight w:val="white"/>
        </w:rPr>
        <w:t>47</w:t>
      </w:r>
      <w:r>
        <w:rPr>
          <w:color w:val="222222"/>
          <w:highlight w:val="white"/>
        </w:rPr>
        <w:t>, pp.413-448.</w:t>
      </w:r>
      <w:r>
        <w:t xml:space="preserve"> Available at:</w:t>
      </w:r>
      <w:r>
        <w:rPr>
          <w:color w:val="1155CC"/>
          <w:u w:val="single"/>
        </w:rPr>
        <w:fldChar w:fldCharType="begin"/>
      </w:r>
      <w:r>
        <w:instrText>HYPERLINK "https://reference-global.com/download/article/10.22367/jem.2025.47.16.pdf"</w:instrText>
      </w:r>
      <w:r>
        <w:rPr>
          <w:color w:val="1155CC"/>
          <w:u w:val="single"/>
        </w:rPr>
        <w:fldChar w:fldCharType="separate"/>
      </w:r>
      <w:r>
        <w:rPr>
          <w:color w:val="1155CC"/>
          <w:u w:val="single"/>
        </w:rPr>
        <w:t>https://reference-global.com/download/article/10.22367/jem.2025.47.16.pdf</w:t>
      </w:r>
      <w:r>
        <w:rPr>
          <w:color w:val="1155CC"/>
          <w:u w:val="single"/>
        </w:rPr>
        <w:fldChar w:fldCharType="end"/>
      </w:r>
    </w:p>
    <w:p>
      <w:pPr>
        <w:pStyle w:val="15"/>
        <w:spacing w:before="200" w:after="200"/>
        <w:rPr>
          <w:lang w:val="en-GB"/>
        </w:rPr>
      </w:pPr>
      <w:r>
        <w:rPr>
          <w:color w:val="222222"/>
          <w:lang w:val="en-GB"/>
          <w:highlight w:val="white"/>
        </w:rPr>
        <w:t xml:space="preserve">Tims, M., Twemlow, M. and Fong, C.Y.M., (2022). ‘A state-of-the-art overview of job-crafting research: current trends and future research directions’. </w:t>
      </w:r>
      <w:r>
        <w:rPr>
          <w:i/>
          <w:iCs/>
          <w:color w:val="222222"/>
          <w:lang w:val="en-GB"/>
          <w:highlight w:val="white"/>
        </w:rPr>
        <w:t>Career Development International</w:t>
      </w:r>
      <w:r>
        <w:rPr>
          <w:color w:val="222222"/>
          <w:lang w:val="en-GB"/>
          <w:highlight w:val="white"/>
        </w:rPr>
        <w:t xml:space="preserve">, </w:t>
      </w:r>
      <w:r>
        <w:rPr>
          <w:i/>
          <w:iCs/>
          <w:color w:val="222222"/>
          <w:lang w:val="en-GB"/>
          <w:highlight w:val="white"/>
        </w:rPr>
        <w:t>27</w:t>
      </w:r>
      <w:r>
        <w:rPr>
          <w:color w:val="222222"/>
          <w:lang w:val="en-GB"/>
          <w:highlight w:val="white"/>
        </w:rPr>
        <w:t>(1), pp.54-78.</w:t>
      </w:r>
      <w:r>
        <w:rPr>
          <w:lang w:val="en-GB"/>
        </w:rPr>
        <w:t xml:space="preserve"> Available at: </w:t>
      </w:r>
      <w:r>
        <w:rPr>
          <w:color w:val="1155CC"/>
          <w:u w:val="single"/>
          <w:lang w:val="en-GB"/>
        </w:rPr>
        <w:fldChar w:fldCharType="begin"/>
      </w:r>
      <w:r>
        <w:instrText>HYPERLINK "http://dx.doi.org/10.1108/CDI-08-2021-0216"</w:instrText>
      </w:r>
      <w:r>
        <w:rPr>
          <w:color w:val="1155CC"/>
          <w:u w:val="single"/>
          <w:lang w:val="en-GB"/>
        </w:rPr>
        <w:fldChar w:fldCharType="separate"/>
      </w:r>
      <w:r>
        <w:rPr>
          <w:color w:val="1155CC"/>
          <w:u w:val="single"/>
          <w:lang w:val="en-GB"/>
        </w:rPr>
        <w:t>http://dx.doi.org/10.1108/CDI-08-2021-0216</w:t>
      </w:r>
      <w:r>
        <w:rPr>
          <w:color w:val="1155CC"/>
          <w:u w:val="single"/>
          <w:lang w:val="en-GB"/>
        </w:rPr>
        <w:fldChar w:fldCharType="end"/>
      </w:r>
      <w:r>
        <w:rPr>
          <w:lang w:val="en-GB"/>
        </w:rPr>
        <w:t xml:space="preserve"> </w:t>
      </w:r>
    </w:p>
    <w:p>
      <w:r>
        <w:rPr>
          <w:color w:val="222222"/>
          <w:highlight w:val="white"/>
        </w:rPr>
        <w:t xml:space="preserve">Topa, G., Aranda-Carmena, M. and De-Maria, B., (2022). ‘Psychological contract breach and outcomes: a systematic review of reviews’. </w:t>
      </w:r>
      <w:r>
        <w:rPr>
          <w:i/>
          <w:iCs/>
          <w:color w:val="222222"/>
          <w:highlight w:val="white"/>
        </w:rPr>
        <w:t>International journal of environmental research and public health</w:t>
      </w:r>
      <w:r>
        <w:rPr>
          <w:color w:val="222222"/>
          <w:highlight w:val="white"/>
        </w:rPr>
        <w:t xml:space="preserve">, </w:t>
      </w:r>
      <w:r>
        <w:rPr>
          <w:i/>
          <w:iCs/>
          <w:color w:val="222222"/>
          <w:highlight w:val="white"/>
        </w:rPr>
        <w:t>19</w:t>
      </w:r>
      <w:r>
        <w:rPr>
          <w:color w:val="222222"/>
          <w:highlight w:val="white"/>
        </w:rPr>
        <w:t>(23), p.15527.</w:t>
      </w:r>
      <w:r>
        <w:t xml:space="preserve"> Available at: </w:t>
      </w:r>
      <w:r>
        <w:rPr>
          <w:color w:val="1155CC"/>
          <w:u w:val="single"/>
        </w:rPr>
        <w:fldChar w:fldCharType="begin"/>
      </w:r>
      <w:r>
        <w:instrText>HYPERLINK "https://doi.org/10.3390/ijerph192315527"</w:instrText>
      </w:r>
      <w:r>
        <w:rPr>
          <w:color w:val="1155CC"/>
          <w:u w:val="single"/>
        </w:rPr>
        <w:fldChar w:fldCharType="separate"/>
      </w:r>
      <w:r>
        <w:rPr>
          <w:color w:val="1155CC"/>
          <w:u w:val="single"/>
        </w:rPr>
        <w:t>https://doi.org/10.3390/ijerph192315527</w:t>
      </w:r>
      <w:r>
        <w:rPr>
          <w:color w:val="1155CC"/>
          <w:u w:val="single"/>
        </w:rPr>
        <w:fldChar w:fldCharType="end"/>
      </w:r>
    </w:p>
    <w:p>
      <w:pPr>
        <w:pStyle w:val="15"/>
        <w:spacing w:before="200" w:after="200"/>
      </w:pPr>
    </w:p>
    <w:p>
      <w:pPr>
        <w:pStyle w:val="15"/>
        <w:rPr>
          <w:lang w:val="en-GB"/>
        </w:rPr>
      </w:pPr>
    </w:p>
    <w:sectPr>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docGrid w:linePitch="326"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宋体">
    <w:panose1 w:val="00000000000000000000"/>
    <w:charset w:val="0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w:abstractNum w:abstractNumId="0">
    <w:nsid w:val="0C8C1246"/>
    <w:multiLevelType w:val="multilevel"/>
    <w:tmpl w:val="5F34B5F4"/>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1">
    <w:nsid w:val="6A0F1261"/>
    <w:multiLevelType w:val="multilevel"/>
    <w:tmpl w:val="94DADA7E"/>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2">
    <w:nsid w:val="66063AAB"/>
    <w:multiLevelType w:val="multilevel"/>
    <w:tmpl w:val="C0AACA98"/>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num w:numId="1">
    <w:abstractNumId w:val="0"/>
  </w:num>
  <w:num w:numId="2">
    <w:abstractNumId w:val="1"/>
  </w:num>
  <w:num w:numId="3">
    <w:abstractNumId w:val="2"/>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2"/>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2"/>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line="360" w:lineRule="auto"/>
      <w:jc w:val="both"/>
    </w:pPr>
    <w:rPr>
      <w:rFonts w:ascii="Times New Roman" w:eastAsia="Times New Roman" w:cs="Times New Roman" w:hAnsi="Times New Roman"/>
      <w:sz w:val="24"/>
      <w:szCs w:val="24"/>
      <w:lang w:val="en-US" w:eastAsia="en-US" w:bidi="ar-SA"/>
    </w:rPr>
  </w:style>
  <w:style w:type="paragraph" w:styleId="1">
    <w:name w:val="heading 1"/>
    <w:basedOn w:val="15"/>
    <w:next w:val="15"/>
    <w:pPr>
      <w:keepNext/>
      <w:keepLines/>
      <w:spacing w:before="200"/>
      <w:outlineLvl w:val="0"/>
    </w:pPr>
    <w:rPr>
      <w:b/>
      <w:bCs/>
    </w:rPr>
  </w:style>
  <w:style w:type="paragraph" w:styleId="2">
    <w:name w:val="heading 2"/>
    <w:basedOn w:val="15"/>
    <w:next w:val="15"/>
    <w:pPr>
      <w:keepNext/>
      <w:keepLines/>
      <w:spacing w:before="200"/>
      <w:outlineLvl w:val="1"/>
    </w:pPr>
    <w:rPr>
      <w:b/>
      <w:bCs/>
    </w:rPr>
  </w:style>
  <w:style w:type="paragraph" w:styleId="3">
    <w:name w:val="heading 3"/>
    <w:basedOn w:val="15"/>
    <w:next w:val="15"/>
    <w:pPr>
      <w:keepNext/>
      <w:keepLines/>
      <w:spacing w:before="320" w:after="80"/>
      <w:outlineLvl w:val="2"/>
    </w:pPr>
    <w:rPr>
      <w:color w:val="434343"/>
      <w:sz w:val="28"/>
      <w:szCs w:val="28"/>
    </w:rPr>
  </w:style>
  <w:style w:type="paragraph" w:styleId="4">
    <w:name w:val="heading 4"/>
    <w:basedOn w:val="15"/>
    <w:next w:val="15"/>
    <w:pPr>
      <w:keepNext/>
      <w:keepLines/>
      <w:spacing w:before="280" w:after="80"/>
      <w:outlineLvl w:val="3"/>
    </w:pPr>
    <w:rPr>
      <w:color w:val="666666"/>
    </w:rPr>
  </w:style>
  <w:style w:type="paragraph" w:styleId="5">
    <w:name w:val="heading 5"/>
    <w:basedOn w:val="15"/>
    <w:next w:val="15"/>
    <w:pPr>
      <w:keepNext/>
      <w:keepLines/>
      <w:spacing w:before="240" w:after="80"/>
      <w:outlineLvl w:val="4"/>
    </w:pPr>
    <w:rPr>
      <w:color w:val="666666"/>
      <w:sz w:val="22"/>
      <w:szCs w:val="22"/>
    </w:rPr>
  </w:style>
  <w:style w:type="paragraph" w:styleId="6">
    <w:name w:val="heading 6"/>
    <w:basedOn w:val="15"/>
    <w:next w:val="15"/>
    <w:pPr>
      <w:keepNext/>
      <w:keepLines/>
      <w:spacing w:before="240" w:after="80"/>
      <w:outlineLvl w:val="5"/>
    </w:pPr>
    <w:rPr>
      <w:i/>
      <w:iCs/>
      <w:color w:val="666666"/>
      <w:sz w:val="22"/>
      <w:szCs w:val="22"/>
    </w:rPr>
  </w:style>
  <w:style w:type="character" w:default="1" w:styleId="10">
    <w:name w:val="Default Paragraph Font"/>
  </w:style>
  <w:style w:type="paragraph" w:customStyle="1" w:styleId="15">
    <w:name w:val="Normal1"/>
    <w:pPr>
      <w:spacing w:line="360" w:lineRule="auto"/>
      <w:jc w:val="both"/>
    </w:pPr>
    <w:rPr>
      <w:rFonts w:ascii="Times New Roman" w:eastAsia="Times New Roman" w:cs="Times New Roman" w:hAnsi="Times New Roman"/>
      <w:sz w:val="24"/>
      <w:szCs w:val="24"/>
      <w:lang w:val="en-US" w:eastAsia="en-US" w:bidi="ar-SA"/>
    </w:rPr>
  </w:style>
  <w:style w:type="paragraph" w:styleId="16">
    <w:name w:val="Title"/>
    <w:basedOn w:val="15"/>
    <w:next w:val="15"/>
    <w:pPr>
      <w:keepNext/>
      <w:keepLines/>
      <w:spacing w:before="200" w:after="200"/>
      <w:jc w:val="center"/>
    </w:pPr>
    <w:rPr>
      <w:b/>
      <w:bCs/>
      <w:sz w:val="32"/>
      <w:szCs w:val="32"/>
    </w:rPr>
  </w:style>
  <w:style w:type="paragraph" w:styleId="17">
    <w:name w:val="Subtitle"/>
    <w:basedOn w:val="15"/>
    <w:next w:val="15"/>
    <w:pPr>
      <w:keepNext/>
      <w:keepLines/>
      <w:spacing w:after="320"/>
    </w:pPr>
    <w:rPr>
      <w:rFonts w:ascii="Arial" w:eastAsia="Arial" w:cs="Arial" w:hAnsi="Arial"/>
      <w:color w:val="666666"/>
      <w:sz w:val="30"/>
      <w:szCs w:val="30"/>
    </w:rPr>
  </w:style>
  <w:style w:type="paragraph" w:styleId="18">
    <w:name w:val="Balloon Text"/>
    <w:basedOn w:val="0"/>
    <w:pPr>
      <w:spacing w:line="240" w:lineRule="auto"/>
    </w:pPr>
    <w:rPr>
      <w:rFonts w:ascii="Tahoma" w:cs="Tahoma" w:hAnsi="Tahoma"/>
      <w:sz w:val="16"/>
      <w:szCs w:val="16"/>
    </w:rPr>
  </w:style>
  <w:style w:type="paragraph" w:customStyle="1" w:styleId="19">
    <w:name w:val="TOC Heading"/>
    <w:basedOn w:val="1"/>
    <w:next w:val="0"/>
    <w:pPr>
      <w:spacing w:before="480" w:line="276" w:lineRule="auto"/>
      <w:jc w:val="left"/>
      <w:outlineLvl w:val="9"/>
    </w:pPr>
    <w:rPr>
      <w:rFonts w:ascii="Calibri" w:eastAsia="宋体" w:cs="Times New Roman" w:hAnsi="Calibri"/>
      <w:color w:val="365F91"/>
      <w:sz w:val="28"/>
      <w:szCs w:val="28"/>
    </w:rPr>
  </w:style>
  <w:style w:type="paragraph" w:styleId="20">
    <w:name w:val="toc 1"/>
    <w:basedOn w:val="0"/>
    <w:autoRedefine/>
    <w:next w:val="0"/>
    <w:pPr>
      <w:spacing w:after="100"/>
    </w:pPr>
  </w:style>
  <w:style w:type="paragraph" w:styleId="21">
    <w:name w:val="toc 2"/>
    <w:basedOn w:val="0"/>
    <w:autoRedefine/>
    <w:next w:val="0"/>
    <w:pPr>
      <w:spacing w:after="100"/>
      <w:ind w:left="240"/>
    </w:pPr>
  </w:style>
  <w:style w:type="character" w:styleId="22">
    <w:name w:val="Hyperlink"/>
    <w:basedOn w:val="10"/>
    <w:rPr>
      <w:color w:val="0000FF"/>
      <w:u w:val="single"/>
    </w:rPr>
  </w:style>
  <w:style w:type="paragraph" w:customStyle="1" w:styleId="23">
    <w:name w:val="List Paragraph"/>
    <w:basedOn w:val="0"/>
    <w:pPr>
      <w:ind w:left="720"/>
      <w:contextualSpacing/>
    </w:p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image" Target="media/2.png"/><Relationship Id="rId3" Type="http://schemas.openxmlformats.org/officeDocument/2006/relationships/image" Target="media/5.png"/><Relationship Id="rId4" Type="http://schemas.openxmlformats.org/officeDocument/2006/relationships/styles" Target="styles.xml"/><Relationship Id="rId5" Type="http://schemas.openxmlformats.org/officeDocument/2006/relationships/numbering" Target="numbering.xml"/><Relationship Id="rId6" Type="http://schemas.openxmlformats.org/officeDocument/2006/relationships/fontTable" Target="fontTable.xml"/></Relationships>
</file>

<file path=docProps/app.xml><?xml version="1.0" encoding="utf-8"?>
<Properties xmlns="http://schemas.openxmlformats.org/officeDocument/2006/extended-properties">
  <Template>Normal.eit</Template>
  <TotalTime>24</TotalTime>
  <Application>Yozo_Office</Application>
  <Pages>19</Pages>
  <Words>3528</Words>
  <Characters>22561</Characters>
  <Lines>438</Lines>
  <Paragraphs>141</Paragraphs>
  <CharactersWithSpaces>25919</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vivo user</cp:lastModifiedBy>
  <cp:revision>0</cp:revision>
  <dcterms:created xsi:type="dcterms:W3CDTF">2026-07-04T06:53:00Z</dcterms:created>
  <dcterms:modified xsi:type="dcterms:W3CDTF">2026-07-17T03:42:01Z</dcterms:modified>
</cp:coreProperties>
</file>