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6C3DAA2B" w14:textId="366B694B" w:rsidR="001D3883" w:rsidRDefault="001D3883" w:rsidP="785320FF">
      <w:pPr>
        <w:rPr>
          <w:rFonts w:ascii="Arial" w:eastAsia="Arial" w:hAnsi="Arial" w:cs="Arial"/>
          <w:b/>
          <w:bCs/>
          <w:color w:val="374151"/>
          <w:sz w:val="36"/>
          <w:szCs w:val="36"/>
        </w:rPr>
      </w:pPr>
    </w:p>
    <w:p w14:paraId="59C245D6" w14:textId="5C967761" w:rsidR="001D3883" w:rsidRDefault="005D1F7C" w:rsidP="785320FF">
      <w:pPr>
        <w:rPr>
          <w:rFonts w:ascii="Arial" w:eastAsia="Arial" w:hAnsi="Arial" w:cs="Arial"/>
          <w:b/>
          <w:bCs/>
          <w:color w:val="374151"/>
          <w:sz w:val="36"/>
          <w:szCs w:val="36"/>
        </w:rPr>
      </w:pPr>
      <w:r w:rsidRPr="00A856A3">
        <w:rPr>
          <w:noProof/>
        </w:rPr>
        <w:drawing>
          <wp:inline distT="0" distB="0" distL="0" distR="0" wp14:anchorId="136EB6A8" wp14:editId="6AF39FFA">
            <wp:extent cx="2967355" cy="1668780"/>
            <wp:effectExtent l="0" t="0" r="4445" b="7620"/>
            <wp:docPr id="1705211817"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11817" name="Picture 1" descr="Text&#10;&#10;Description automatically generated with medium confidence"/>
                    <pic:cNvPicPr>
                      <a:picLocks noChangeAspect="1"/>
                    </pic:cNvPicPr>
                  </pic:nvPicPr>
                  <pic:blipFill>
                    <a:blip r:embed="rId8">
                      <a:alphaModFix amt="70000"/>
                      <a:extLst>
                        <a:ext uri="{28A0092B-C50C-407E-A947-70E740481C1C}">
                          <a14:useLocalDpi xmlns:a14="http://schemas.microsoft.com/office/drawing/2010/main" val="0"/>
                        </a:ext>
                      </a:extLst>
                    </a:blip>
                    <a:srcRect/>
                    <a:stretch>
                      <a:fillRect/>
                    </a:stretch>
                  </pic:blipFill>
                  <pic:spPr bwMode="auto">
                    <a:xfrm>
                      <a:off x="0" y="0"/>
                      <a:ext cx="2967355" cy="1668780"/>
                    </a:xfrm>
                    <a:prstGeom prst="rect">
                      <a:avLst/>
                    </a:prstGeom>
                    <a:solidFill>
                      <a:schemeClr val="accent6">
                        <a:lumMod val="60000"/>
                        <a:lumOff val="40000"/>
                      </a:schemeClr>
                    </a:solidFill>
                  </pic:spPr>
                </pic:pic>
              </a:graphicData>
            </a:graphic>
          </wp:inline>
        </w:drawing>
      </w:r>
    </w:p>
    <w:p w14:paraId="08688979" w14:textId="5D4C3876" w:rsidR="001D3883" w:rsidRDefault="001D3883" w:rsidP="785320FF">
      <w:pPr>
        <w:rPr>
          <w:rFonts w:ascii="Arial" w:eastAsia="Arial" w:hAnsi="Arial" w:cs="Arial"/>
          <w:b/>
          <w:bCs/>
          <w:color w:val="000000" w:themeColor="text1"/>
          <w:sz w:val="36"/>
          <w:szCs w:val="36"/>
        </w:rPr>
      </w:pPr>
    </w:p>
    <w:p w14:paraId="75487522" w14:textId="77777777" w:rsidR="0079017B" w:rsidRDefault="0079017B" w:rsidP="785320FF">
      <w:pPr>
        <w:rPr>
          <w:rFonts w:ascii="Arial" w:eastAsia="Arial" w:hAnsi="Arial" w:cs="Arial"/>
          <w:b/>
          <w:bCs/>
          <w:color w:val="000000" w:themeColor="text1"/>
          <w:sz w:val="36"/>
          <w:szCs w:val="36"/>
        </w:rPr>
      </w:pPr>
    </w:p>
    <w:p w14:paraId="7E8869DE" w14:textId="77777777" w:rsidR="0079017B" w:rsidRDefault="0079017B" w:rsidP="785320FF">
      <w:pPr>
        <w:rPr>
          <w:rFonts w:ascii="Arial" w:eastAsia="Arial" w:hAnsi="Arial" w:cs="Arial"/>
          <w:b/>
          <w:bCs/>
          <w:color w:val="000000" w:themeColor="text1"/>
          <w:sz w:val="36"/>
          <w:szCs w:val="36"/>
        </w:rPr>
      </w:pPr>
    </w:p>
    <w:p w14:paraId="3CF3361E" w14:textId="77777777" w:rsidR="0079017B" w:rsidRDefault="0079017B" w:rsidP="785320FF">
      <w:pPr>
        <w:rPr>
          <w:rFonts w:ascii="Arial" w:eastAsia="Arial" w:hAnsi="Arial" w:cs="Arial"/>
          <w:b/>
          <w:bCs/>
          <w:color w:val="000000" w:themeColor="text1"/>
          <w:sz w:val="36"/>
          <w:szCs w:val="36"/>
        </w:rPr>
      </w:pPr>
    </w:p>
    <w:p w14:paraId="501D91B9" w14:textId="4F26DCC3" w:rsidR="001D3883" w:rsidRDefault="785320FF" w:rsidP="785320FF">
      <w:pPr>
        <w:rPr>
          <w:rFonts w:ascii="Arial" w:eastAsia="Arial" w:hAnsi="Arial" w:cs="Arial"/>
          <w:b/>
          <w:bCs/>
          <w:color w:val="000000" w:themeColor="text1"/>
          <w:sz w:val="36"/>
          <w:szCs w:val="36"/>
        </w:rPr>
      </w:pPr>
      <w:r w:rsidRPr="785320FF">
        <w:rPr>
          <w:rFonts w:ascii="Arial" w:eastAsia="Arial" w:hAnsi="Arial" w:cs="Arial"/>
          <w:b/>
          <w:bCs/>
          <w:color w:val="000000" w:themeColor="text1"/>
          <w:sz w:val="36"/>
          <w:szCs w:val="36"/>
        </w:rPr>
        <w:t>Module name: Introduction to Public Health</w:t>
      </w:r>
    </w:p>
    <w:p w14:paraId="49AD442C" w14:textId="60F7187A" w:rsidR="001D3883" w:rsidRDefault="785320FF" w:rsidP="785320FF">
      <w:pPr>
        <w:rPr>
          <w:rFonts w:ascii="Arial" w:eastAsia="Arial" w:hAnsi="Arial" w:cs="Arial"/>
          <w:b/>
          <w:bCs/>
          <w:color w:val="000000" w:themeColor="text1"/>
          <w:sz w:val="36"/>
          <w:szCs w:val="36"/>
        </w:rPr>
      </w:pPr>
      <w:r w:rsidRPr="785320FF">
        <w:rPr>
          <w:rFonts w:ascii="Arial" w:eastAsia="Arial" w:hAnsi="Arial" w:cs="Arial"/>
          <w:b/>
          <w:bCs/>
          <w:color w:val="000000" w:themeColor="text1"/>
          <w:sz w:val="36"/>
          <w:szCs w:val="36"/>
        </w:rPr>
        <w:t>Module code: LCSH4004</w:t>
      </w:r>
    </w:p>
    <w:p w14:paraId="7236510A" w14:textId="74EB3FAB" w:rsidR="001D3883" w:rsidRDefault="785320FF" w:rsidP="785320FF">
      <w:pPr>
        <w:rPr>
          <w:rFonts w:ascii="Arial" w:eastAsia="Arial" w:hAnsi="Arial" w:cs="Arial"/>
          <w:b/>
          <w:bCs/>
          <w:color w:val="000000" w:themeColor="text1"/>
          <w:sz w:val="36"/>
          <w:szCs w:val="36"/>
        </w:rPr>
      </w:pPr>
      <w:r w:rsidRPr="785320FF">
        <w:rPr>
          <w:rFonts w:ascii="Arial" w:eastAsia="Arial" w:hAnsi="Arial" w:cs="Arial"/>
          <w:b/>
          <w:bCs/>
          <w:color w:val="000000" w:themeColor="text1"/>
          <w:sz w:val="36"/>
          <w:szCs w:val="36"/>
        </w:rPr>
        <w:t>Lecturer: Laila Surani</w:t>
      </w:r>
    </w:p>
    <w:p w14:paraId="6266FE87" w14:textId="6BF55356" w:rsidR="001D3883" w:rsidRPr="008478B8" w:rsidRDefault="785320FF" w:rsidP="785320FF">
      <w:pPr>
        <w:rPr>
          <w:rFonts w:ascii="Arial" w:eastAsia="Arial" w:hAnsi="Arial" w:cs="Arial"/>
          <w:b/>
          <w:bCs/>
          <w:color w:val="000000" w:themeColor="text1"/>
          <w:sz w:val="36"/>
          <w:szCs w:val="36"/>
          <w:lang w:val="nl-NL"/>
        </w:rPr>
      </w:pPr>
      <w:r w:rsidRPr="008478B8">
        <w:rPr>
          <w:rFonts w:ascii="Arial" w:eastAsia="Arial" w:hAnsi="Arial" w:cs="Arial"/>
          <w:b/>
          <w:bCs/>
          <w:color w:val="000000" w:themeColor="text1"/>
          <w:sz w:val="36"/>
          <w:szCs w:val="36"/>
          <w:lang w:val="nl-NL"/>
        </w:rPr>
        <w:t>Student name: Elena Draghici</w:t>
      </w:r>
    </w:p>
    <w:p w14:paraId="14CC6F3C" w14:textId="58640CAA" w:rsidR="001D3883" w:rsidRPr="008478B8" w:rsidRDefault="785320FF" w:rsidP="785320FF">
      <w:pPr>
        <w:rPr>
          <w:rFonts w:ascii="Arial" w:eastAsia="Arial" w:hAnsi="Arial" w:cs="Arial"/>
          <w:b/>
          <w:bCs/>
          <w:color w:val="000000" w:themeColor="text1"/>
          <w:sz w:val="36"/>
          <w:szCs w:val="36"/>
          <w:lang w:val="nl-NL"/>
        </w:rPr>
      </w:pPr>
      <w:r w:rsidRPr="008478B8">
        <w:rPr>
          <w:rFonts w:ascii="Arial" w:eastAsia="Arial" w:hAnsi="Arial" w:cs="Arial"/>
          <w:b/>
          <w:bCs/>
          <w:color w:val="000000" w:themeColor="text1"/>
          <w:sz w:val="36"/>
          <w:szCs w:val="36"/>
          <w:lang w:val="nl-NL"/>
        </w:rPr>
        <w:t>Student ID: 2214911</w:t>
      </w:r>
    </w:p>
    <w:p w14:paraId="6F217FA4" w14:textId="2A036C40" w:rsidR="001D3883" w:rsidRPr="008478B8" w:rsidRDefault="001D3883" w:rsidP="785320FF">
      <w:pPr>
        <w:rPr>
          <w:rFonts w:ascii="Arial" w:eastAsia="Arial" w:hAnsi="Arial" w:cs="Arial"/>
          <w:b/>
          <w:bCs/>
          <w:color w:val="00B050"/>
          <w:sz w:val="36"/>
          <w:szCs w:val="36"/>
          <w:lang w:val="nl-NL"/>
        </w:rPr>
      </w:pPr>
    </w:p>
    <w:p w14:paraId="60275AF4" w14:textId="2DF90078" w:rsidR="001D3883" w:rsidRPr="008478B8" w:rsidRDefault="001D3883" w:rsidP="785320FF">
      <w:pPr>
        <w:rPr>
          <w:rFonts w:ascii="Arial" w:eastAsia="Arial" w:hAnsi="Arial" w:cs="Arial"/>
          <w:color w:val="374151"/>
          <w:sz w:val="28"/>
          <w:szCs w:val="28"/>
          <w:lang w:val="nl-NL"/>
        </w:rPr>
      </w:pPr>
    </w:p>
    <w:p w14:paraId="32F208C7" w14:textId="1579449B" w:rsidR="001D3883" w:rsidRPr="008478B8" w:rsidRDefault="001D3883" w:rsidP="785320FF">
      <w:pPr>
        <w:rPr>
          <w:rFonts w:ascii="Arial" w:eastAsia="Arial" w:hAnsi="Arial" w:cs="Arial"/>
          <w:color w:val="374151"/>
          <w:sz w:val="28"/>
          <w:szCs w:val="28"/>
          <w:lang w:val="nl-NL"/>
        </w:rPr>
      </w:pPr>
    </w:p>
    <w:p w14:paraId="191AED19" w14:textId="47DB9D86" w:rsidR="001D3883" w:rsidRPr="008478B8" w:rsidRDefault="001D3883" w:rsidP="785320FF">
      <w:pPr>
        <w:rPr>
          <w:rFonts w:ascii="Arial" w:eastAsia="Arial" w:hAnsi="Arial" w:cs="Arial"/>
          <w:color w:val="374151"/>
          <w:sz w:val="28"/>
          <w:szCs w:val="28"/>
          <w:lang w:val="nl-NL"/>
        </w:rPr>
      </w:pPr>
    </w:p>
    <w:p w14:paraId="73CF3C27" w14:textId="3FB5C435" w:rsidR="001D3883" w:rsidRPr="008478B8" w:rsidRDefault="001D3883" w:rsidP="785320FF">
      <w:pPr>
        <w:rPr>
          <w:rFonts w:ascii="Arial" w:eastAsia="Arial" w:hAnsi="Arial" w:cs="Arial"/>
          <w:color w:val="374151"/>
          <w:sz w:val="28"/>
          <w:szCs w:val="28"/>
          <w:lang w:val="nl-NL"/>
        </w:rPr>
      </w:pPr>
    </w:p>
    <w:p w14:paraId="3DF9854C" w14:textId="461ACC6B" w:rsidR="001D3883" w:rsidRPr="008478B8" w:rsidRDefault="001D3883" w:rsidP="785320FF">
      <w:pPr>
        <w:rPr>
          <w:rFonts w:ascii="Arial" w:eastAsia="Arial" w:hAnsi="Arial" w:cs="Arial"/>
          <w:color w:val="374151"/>
          <w:sz w:val="28"/>
          <w:szCs w:val="28"/>
          <w:lang w:val="nl-NL"/>
        </w:rPr>
      </w:pPr>
    </w:p>
    <w:p w14:paraId="744B3416" w14:textId="40A20748" w:rsidR="001D3883" w:rsidRPr="008478B8" w:rsidRDefault="001D3883" w:rsidP="785320FF">
      <w:pPr>
        <w:rPr>
          <w:rFonts w:ascii="Arial" w:eastAsia="Arial" w:hAnsi="Arial" w:cs="Arial"/>
          <w:color w:val="374151"/>
          <w:sz w:val="28"/>
          <w:szCs w:val="28"/>
          <w:lang w:val="nl-NL"/>
        </w:rPr>
      </w:pPr>
    </w:p>
    <w:p w14:paraId="7AF6EB54" w14:textId="3CDABD5A" w:rsidR="001D3883" w:rsidRPr="008478B8" w:rsidRDefault="001D3883" w:rsidP="785320FF">
      <w:pPr>
        <w:rPr>
          <w:rFonts w:ascii="Arial" w:eastAsia="Arial" w:hAnsi="Arial" w:cs="Arial"/>
          <w:color w:val="374151"/>
          <w:sz w:val="28"/>
          <w:szCs w:val="28"/>
          <w:lang w:val="nl-NL"/>
        </w:rPr>
      </w:pPr>
    </w:p>
    <w:p w14:paraId="43EBFECB" w14:textId="174F9FA4" w:rsidR="001D3883" w:rsidRPr="008478B8" w:rsidRDefault="001D3883" w:rsidP="785320FF">
      <w:pPr>
        <w:rPr>
          <w:rFonts w:ascii="Arial" w:eastAsia="Arial" w:hAnsi="Arial" w:cs="Arial"/>
          <w:color w:val="374151"/>
          <w:sz w:val="28"/>
          <w:szCs w:val="28"/>
          <w:lang w:val="nl-NL"/>
        </w:rPr>
      </w:pPr>
    </w:p>
    <w:p w14:paraId="07558CBC" w14:textId="6F8218EE" w:rsidR="001D3883" w:rsidRPr="008478B8" w:rsidRDefault="001D3883" w:rsidP="785320FF">
      <w:pPr>
        <w:rPr>
          <w:rFonts w:ascii="Arial" w:eastAsia="Arial" w:hAnsi="Arial" w:cs="Arial"/>
          <w:color w:val="374151"/>
          <w:sz w:val="28"/>
          <w:szCs w:val="28"/>
          <w:lang w:val="nl-NL"/>
        </w:rPr>
      </w:pPr>
    </w:p>
    <w:p w14:paraId="256E7F17" w14:textId="05C5F0E6" w:rsidR="001D3883" w:rsidRPr="008478B8" w:rsidRDefault="001D3883" w:rsidP="785320FF">
      <w:pPr>
        <w:rPr>
          <w:rFonts w:ascii="Arial" w:eastAsia="Arial" w:hAnsi="Arial" w:cs="Arial"/>
          <w:color w:val="374151"/>
          <w:sz w:val="28"/>
          <w:szCs w:val="28"/>
          <w:lang w:val="nl-NL"/>
        </w:rPr>
      </w:pPr>
    </w:p>
    <w:p w14:paraId="5560319C" w14:textId="1E8DBE27" w:rsidR="001D3883" w:rsidRPr="008478B8" w:rsidRDefault="001D3883" w:rsidP="785320FF">
      <w:pPr>
        <w:rPr>
          <w:rFonts w:ascii="Arial" w:eastAsia="Arial" w:hAnsi="Arial" w:cs="Arial"/>
          <w:color w:val="374151"/>
          <w:sz w:val="28"/>
          <w:szCs w:val="28"/>
          <w:lang w:val="nl-NL"/>
        </w:rPr>
      </w:pPr>
    </w:p>
    <w:p w14:paraId="14287E50" w14:textId="4379DC5A" w:rsidR="001D3883" w:rsidRPr="008478B8" w:rsidRDefault="001D3883" w:rsidP="785320FF">
      <w:pPr>
        <w:rPr>
          <w:rFonts w:ascii="Arial" w:eastAsia="Arial" w:hAnsi="Arial" w:cs="Arial"/>
          <w:color w:val="374151"/>
          <w:sz w:val="28"/>
          <w:szCs w:val="28"/>
          <w:lang w:val="nl-NL"/>
        </w:rPr>
      </w:pPr>
    </w:p>
    <w:p w14:paraId="50E21E73" w14:textId="143AD9E6" w:rsidR="001D3883" w:rsidRPr="008478B8" w:rsidRDefault="001D3883" w:rsidP="785320FF">
      <w:pPr>
        <w:rPr>
          <w:rFonts w:ascii="Arial" w:eastAsia="Arial" w:hAnsi="Arial" w:cs="Arial"/>
          <w:color w:val="374151"/>
          <w:sz w:val="28"/>
          <w:szCs w:val="28"/>
          <w:lang w:val="nl-NL"/>
        </w:rPr>
      </w:pPr>
    </w:p>
    <w:p w14:paraId="6A94290F" w14:textId="593923C1" w:rsidR="001D3883" w:rsidRPr="008478B8" w:rsidRDefault="001D3883" w:rsidP="785320FF">
      <w:pPr>
        <w:rPr>
          <w:rFonts w:ascii="Arial" w:eastAsia="Arial" w:hAnsi="Arial" w:cs="Arial"/>
          <w:color w:val="374151"/>
          <w:sz w:val="28"/>
          <w:szCs w:val="28"/>
          <w:lang w:val="nl-NL"/>
        </w:rPr>
      </w:pPr>
    </w:p>
    <w:p w14:paraId="58D78CEC" w14:textId="1E9B5A6C" w:rsidR="001D3883" w:rsidRPr="008478B8" w:rsidRDefault="001D3883" w:rsidP="785320FF">
      <w:pPr>
        <w:rPr>
          <w:rFonts w:ascii="Arial" w:eastAsia="Arial" w:hAnsi="Arial" w:cs="Arial"/>
          <w:color w:val="374151"/>
          <w:sz w:val="28"/>
          <w:szCs w:val="28"/>
          <w:lang w:val="nl-NL"/>
        </w:rPr>
      </w:pPr>
    </w:p>
    <w:p w14:paraId="373F941E" w14:textId="34F1CF6B" w:rsidR="001D3883" w:rsidRPr="008478B8" w:rsidRDefault="001D3883" w:rsidP="785320FF">
      <w:pPr>
        <w:rPr>
          <w:rFonts w:ascii="Arial" w:eastAsia="Arial" w:hAnsi="Arial" w:cs="Arial"/>
          <w:color w:val="374151"/>
          <w:sz w:val="28"/>
          <w:szCs w:val="28"/>
          <w:lang w:val="nl-NL"/>
        </w:rPr>
      </w:pPr>
    </w:p>
    <w:p w14:paraId="2B120755" w14:textId="70D47D33" w:rsidR="001D3883" w:rsidRPr="004A2945" w:rsidRDefault="785320FF" w:rsidP="785320FF">
      <w:pPr>
        <w:rPr>
          <w:rFonts w:ascii="Arial" w:eastAsia="Arial" w:hAnsi="Arial" w:cs="Arial"/>
          <w:b/>
          <w:bCs/>
          <w:color w:val="FF0000"/>
          <w:sz w:val="36"/>
          <w:szCs w:val="36"/>
        </w:rPr>
      </w:pPr>
      <w:r w:rsidRPr="008478B8">
        <w:rPr>
          <w:rFonts w:ascii="Arial" w:eastAsia="Arial" w:hAnsi="Arial" w:cs="Arial"/>
          <w:b/>
          <w:bCs/>
          <w:color w:val="0070C0"/>
          <w:sz w:val="36"/>
          <w:szCs w:val="36"/>
          <w:lang w:val="nl-NL"/>
        </w:rPr>
        <w:t xml:space="preserve">                         </w:t>
      </w:r>
      <w:r w:rsidRPr="004A2945">
        <w:rPr>
          <w:rFonts w:ascii="Arial" w:eastAsia="Arial" w:hAnsi="Arial" w:cs="Arial"/>
          <w:b/>
          <w:bCs/>
          <w:color w:val="FF0000"/>
          <w:sz w:val="36"/>
          <w:szCs w:val="36"/>
        </w:rPr>
        <w:t>Supporting paper</w:t>
      </w:r>
    </w:p>
    <w:p w14:paraId="0A605D58" w14:textId="2E5A3E39" w:rsidR="001D3883" w:rsidRDefault="001D3883" w:rsidP="785320FF">
      <w:pPr>
        <w:rPr>
          <w:rFonts w:ascii="Arial" w:eastAsia="Arial" w:hAnsi="Arial" w:cs="Arial"/>
          <w:b/>
          <w:bCs/>
          <w:color w:val="0070C0"/>
          <w:sz w:val="36"/>
          <w:szCs w:val="36"/>
        </w:rPr>
      </w:pPr>
    </w:p>
    <w:p w14:paraId="3C34C39E" w14:textId="72F082D6" w:rsidR="001D3883" w:rsidRDefault="001D3883" w:rsidP="785320FF">
      <w:pPr>
        <w:rPr>
          <w:rFonts w:ascii="Arial" w:eastAsia="Arial" w:hAnsi="Arial" w:cs="Arial"/>
          <w:color w:val="374151"/>
          <w:sz w:val="28"/>
          <w:szCs w:val="28"/>
        </w:rPr>
      </w:pPr>
    </w:p>
    <w:p w14:paraId="3939E4B8" w14:textId="4B9CF3FE" w:rsidR="001D3883" w:rsidRDefault="001D3883" w:rsidP="785320FF">
      <w:pPr>
        <w:rPr>
          <w:rFonts w:ascii="Arial" w:eastAsia="Arial" w:hAnsi="Arial" w:cs="Arial"/>
          <w:color w:val="374151"/>
          <w:sz w:val="28"/>
          <w:szCs w:val="28"/>
        </w:rPr>
      </w:pPr>
    </w:p>
    <w:p w14:paraId="5847913A" w14:textId="3DB8D1E7" w:rsidR="001D3883" w:rsidRDefault="001D3883" w:rsidP="785320FF">
      <w:pPr>
        <w:rPr>
          <w:rFonts w:ascii="Arial" w:eastAsia="Arial" w:hAnsi="Arial" w:cs="Arial"/>
          <w:color w:val="374151"/>
          <w:sz w:val="28"/>
          <w:szCs w:val="28"/>
        </w:rPr>
      </w:pPr>
    </w:p>
    <w:p w14:paraId="081436ED" w14:textId="24F4A7EF" w:rsidR="001D3883" w:rsidRDefault="001D3883" w:rsidP="785320FF">
      <w:pPr>
        <w:rPr>
          <w:rFonts w:ascii="Arial" w:eastAsia="Arial" w:hAnsi="Arial" w:cs="Arial"/>
          <w:color w:val="374151"/>
          <w:sz w:val="28"/>
          <w:szCs w:val="28"/>
        </w:rPr>
      </w:pPr>
    </w:p>
    <w:p w14:paraId="33F10B85" w14:textId="10EE4FCE" w:rsidR="001D3883" w:rsidRPr="002601FD" w:rsidRDefault="785320FF" w:rsidP="785320FF">
      <w:pPr>
        <w:rPr>
          <w:rFonts w:ascii="Arial" w:eastAsia="Arial" w:hAnsi="Arial" w:cs="Arial"/>
          <w:b/>
          <w:bCs/>
          <w:color w:val="FF0000"/>
          <w:sz w:val="32"/>
          <w:szCs w:val="32"/>
        </w:rPr>
      </w:pPr>
      <w:r w:rsidRPr="002601FD">
        <w:rPr>
          <w:rFonts w:ascii="Arial" w:eastAsia="Arial" w:hAnsi="Arial" w:cs="Arial"/>
          <w:b/>
          <w:bCs/>
          <w:color w:val="FF0000"/>
          <w:sz w:val="32"/>
          <w:szCs w:val="32"/>
        </w:rPr>
        <w:t>Content page</w:t>
      </w:r>
    </w:p>
    <w:p w14:paraId="53EA6B62" w14:textId="4B9D920C" w:rsidR="001D3883" w:rsidRDefault="001D3883" w:rsidP="785320FF">
      <w:pPr>
        <w:rPr>
          <w:rFonts w:ascii="Arial" w:eastAsia="Arial" w:hAnsi="Arial" w:cs="Arial"/>
          <w:color w:val="000000" w:themeColor="text1"/>
          <w:sz w:val="28"/>
          <w:szCs w:val="28"/>
        </w:rPr>
      </w:pPr>
    </w:p>
    <w:p w14:paraId="5A8CCD4A" w14:textId="230EFED0" w:rsidR="001D3883" w:rsidRDefault="785320FF" w:rsidP="008D0F21">
      <w:pPr>
        <w:pStyle w:val="ListParagraph"/>
        <w:numPr>
          <w:ilvl w:val="0"/>
          <w:numId w:val="1"/>
        </w:numPr>
        <w:spacing w:line="360" w:lineRule="auto"/>
        <w:rPr>
          <w:rFonts w:ascii="Arial" w:eastAsia="Arial" w:hAnsi="Arial" w:cs="Arial"/>
          <w:color w:val="000000" w:themeColor="text1"/>
        </w:rPr>
      </w:pPr>
      <w:r w:rsidRPr="785320FF">
        <w:rPr>
          <w:rFonts w:ascii="Arial" w:eastAsia="Arial" w:hAnsi="Arial" w:cs="Arial"/>
          <w:color w:val="000000" w:themeColor="text1"/>
        </w:rPr>
        <w:t>Introduction</w:t>
      </w:r>
    </w:p>
    <w:p w14:paraId="2CA59B44" w14:textId="0C365703" w:rsidR="001D3883" w:rsidRDefault="785320FF" w:rsidP="008D0F21">
      <w:pPr>
        <w:pStyle w:val="ListParagraph"/>
        <w:numPr>
          <w:ilvl w:val="0"/>
          <w:numId w:val="1"/>
        </w:numPr>
        <w:spacing w:line="360" w:lineRule="auto"/>
        <w:rPr>
          <w:rFonts w:ascii="Arial" w:eastAsia="Arial" w:hAnsi="Arial" w:cs="Arial"/>
          <w:color w:val="000000" w:themeColor="text1"/>
        </w:rPr>
      </w:pPr>
      <w:r w:rsidRPr="785320FF">
        <w:rPr>
          <w:rFonts w:ascii="Arial" w:eastAsia="Arial" w:hAnsi="Arial" w:cs="Arial"/>
          <w:color w:val="000000" w:themeColor="text1"/>
        </w:rPr>
        <w:t>Strategies used in the UK to measure the incidence of the disease in your case study and critically evaluate it.</w:t>
      </w:r>
    </w:p>
    <w:p w14:paraId="32CC347C" w14:textId="5D4508EC" w:rsidR="001D3883" w:rsidRDefault="785320FF" w:rsidP="008D0F21">
      <w:pPr>
        <w:pStyle w:val="ListParagraph"/>
        <w:numPr>
          <w:ilvl w:val="0"/>
          <w:numId w:val="1"/>
        </w:numPr>
        <w:spacing w:line="360" w:lineRule="auto"/>
        <w:rPr>
          <w:rFonts w:ascii="Arial" w:eastAsia="Arial" w:hAnsi="Arial" w:cs="Arial"/>
          <w:color w:val="000000" w:themeColor="text1"/>
        </w:rPr>
      </w:pPr>
      <w:r w:rsidRPr="785320FF">
        <w:rPr>
          <w:rFonts w:ascii="Arial" w:eastAsia="Arial" w:hAnsi="Arial" w:cs="Arial"/>
          <w:color w:val="000000" w:themeColor="text1"/>
        </w:rPr>
        <w:t>Strategies used in the UK to monitor the incidence of the disease in your case study and critically evaluate it.</w:t>
      </w:r>
    </w:p>
    <w:p w14:paraId="111F95A7" w14:textId="2449654C" w:rsidR="001D3883" w:rsidRDefault="785320FF" w:rsidP="008D0F21">
      <w:pPr>
        <w:pStyle w:val="ListParagraph"/>
        <w:numPr>
          <w:ilvl w:val="0"/>
          <w:numId w:val="1"/>
        </w:numPr>
        <w:spacing w:line="360" w:lineRule="auto"/>
        <w:rPr>
          <w:rFonts w:ascii="Arial" w:eastAsia="Arial" w:hAnsi="Arial" w:cs="Arial"/>
          <w:color w:val="000000" w:themeColor="text1"/>
        </w:rPr>
      </w:pPr>
      <w:r w:rsidRPr="785320FF">
        <w:rPr>
          <w:rFonts w:ascii="Arial" w:eastAsia="Arial" w:hAnsi="Arial" w:cs="Arial"/>
          <w:color w:val="000000" w:themeColor="text1"/>
        </w:rPr>
        <w:t>Strategies used in the UK to control the incidence of the disease in your case study and critically evaluate it.</w:t>
      </w:r>
    </w:p>
    <w:p w14:paraId="15C20C96" w14:textId="39E0AD7F" w:rsidR="001D3883" w:rsidRDefault="001D3883" w:rsidP="785320FF">
      <w:pPr>
        <w:rPr>
          <w:rFonts w:ascii="Arial" w:eastAsia="Arial" w:hAnsi="Arial" w:cs="Arial"/>
          <w:color w:val="000000" w:themeColor="text1"/>
        </w:rPr>
      </w:pPr>
    </w:p>
    <w:p w14:paraId="7A80C650" w14:textId="00D1DD91" w:rsidR="001D3883" w:rsidRDefault="001D3883" w:rsidP="785320FF">
      <w:pPr>
        <w:rPr>
          <w:rFonts w:ascii="Arial" w:eastAsia="Arial" w:hAnsi="Arial" w:cs="Arial"/>
          <w:color w:val="374151"/>
        </w:rPr>
      </w:pPr>
    </w:p>
    <w:p w14:paraId="1FF52E98" w14:textId="39A07CFA" w:rsidR="001D3883" w:rsidRDefault="001D3883" w:rsidP="785320FF">
      <w:pPr>
        <w:rPr>
          <w:rFonts w:ascii="Arial" w:eastAsia="Arial" w:hAnsi="Arial" w:cs="Arial"/>
          <w:color w:val="374151"/>
          <w:sz w:val="28"/>
          <w:szCs w:val="28"/>
        </w:rPr>
      </w:pPr>
    </w:p>
    <w:p w14:paraId="7245E25C" w14:textId="19360B4D" w:rsidR="001D3883" w:rsidRDefault="001D3883" w:rsidP="785320FF">
      <w:pPr>
        <w:rPr>
          <w:rFonts w:ascii="Arial" w:eastAsia="Arial" w:hAnsi="Arial" w:cs="Arial"/>
          <w:color w:val="374151"/>
          <w:sz w:val="28"/>
          <w:szCs w:val="28"/>
        </w:rPr>
      </w:pPr>
    </w:p>
    <w:p w14:paraId="2A0DE1F8" w14:textId="25DF4C69" w:rsidR="001D3883" w:rsidRDefault="001D3883" w:rsidP="785320FF">
      <w:pPr>
        <w:rPr>
          <w:rFonts w:ascii="Arial" w:eastAsia="Arial" w:hAnsi="Arial" w:cs="Arial"/>
          <w:color w:val="374151"/>
          <w:sz w:val="28"/>
          <w:szCs w:val="28"/>
        </w:rPr>
      </w:pPr>
    </w:p>
    <w:p w14:paraId="120C0B80" w14:textId="0E95074D" w:rsidR="001D3883" w:rsidRDefault="785320FF" w:rsidP="785320FF">
      <w:pPr>
        <w:pStyle w:val="ListParagraph"/>
        <w:numPr>
          <w:ilvl w:val="0"/>
          <w:numId w:val="8"/>
        </w:numPr>
        <w:rPr>
          <w:rFonts w:ascii="Arial" w:eastAsia="Arial" w:hAnsi="Arial" w:cs="Arial"/>
          <w:b/>
          <w:bCs/>
          <w:color w:val="7030A0"/>
          <w:sz w:val="28"/>
          <w:szCs w:val="28"/>
        </w:rPr>
      </w:pPr>
      <w:r w:rsidRPr="785320FF">
        <w:rPr>
          <w:rFonts w:ascii="Arial" w:eastAsia="Arial" w:hAnsi="Arial" w:cs="Arial"/>
          <w:b/>
          <w:bCs/>
          <w:color w:val="7030A0"/>
          <w:sz w:val="28"/>
          <w:szCs w:val="28"/>
        </w:rPr>
        <w:t>Introduction</w:t>
      </w:r>
    </w:p>
    <w:p w14:paraId="21253674" w14:textId="0EEA311F" w:rsidR="001D3883" w:rsidRDefault="001D3883" w:rsidP="785320FF">
      <w:pPr>
        <w:rPr>
          <w:rFonts w:ascii="Arial" w:eastAsia="Arial" w:hAnsi="Arial" w:cs="Arial"/>
          <w:color w:val="374151"/>
          <w:sz w:val="28"/>
          <w:szCs w:val="28"/>
        </w:rPr>
      </w:pPr>
    </w:p>
    <w:p w14:paraId="241A2CB6" w14:textId="48314B59" w:rsidR="001D3883" w:rsidRDefault="001D3883" w:rsidP="785320FF">
      <w:pPr>
        <w:rPr>
          <w:rFonts w:ascii="Arial" w:eastAsia="Arial" w:hAnsi="Arial" w:cs="Arial"/>
          <w:color w:val="374151"/>
          <w:sz w:val="28"/>
          <w:szCs w:val="28"/>
        </w:rPr>
      </w:pPr>
    </w:p>
    <w:p w14:paraId="3389267A" w14:textId="5D6A9717" w:rsidR="001D3883" w:rsidRDefault="001D3883" w:rsidP="785320FF">
      <w:pPr>
        <w:rPr>
          <w:rFonts w:ascii="Arial" w:eastAsia="Arial" w:hAnsi="Arial" w:cs="Arial"/>
          <w:color w:val="374151"/>
          <w:sz w:val="28"/>
          <w:szCs w:val="28"/>
        </w:rPr>
      </w:pPr>
    </w:p>
    <w:p w14:paraId="53121882" w14:textId="24CC4FDB"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Chickenpox, also known as varicella, is a highly contagious viral infection caused by the varicella-zoster virus. The disease is characterized by a rash that usually starts on the face, chest, and back and then spreads to other parts of the body. Other symptoms include fever, headache, and fatigue. Chickenpox typically lasts for 5-</w:t>
      </w:r>
      <w:bookmarkStart w:id="0" w:name="_Int_OSlmUrso"/>
      <w:r w:rsidRPr="785320FF">
        <w:rPr>
          <w:rFonts w:ascii="Arial" w:eastAsia="Arial" w:hAnsi="Arial" w:cs="Arial"/>
          <w:color w:val="000000" w:themeColor="text1"/>
        </w:rPr>
        <w:t>10 days</w:t>
      </w:r>
      <w:bookmarkEnd w:id="0"/>
      <w:r w:rsidRPr="785320FF">
        <w:rPr>
          <w:rFonts w:ascii="Arial" w:eastAsia="Arial" w:hAnsi="Arial" w:cs="Arial"/>
          <w:color w:val="000000" w:themeColor="text1"/>
        </w:rPr>
        <w:t xml:space="preserve"> and is highly contagious during this time. </w:t>
      </w:r>
      <w:r w:rsidR="006E18BF">
        <w:rPr>
          <w:rFonts w:ascii="Arial" w:eastAsia="Arial" w:hAnsi="Arial" w:cs="Arial"/>
          <w:color w:val="000000" w:themeColor="text1"/>
        </w:rPr>
        <w:t xml:space="preserve">If </w:t>
      </w:r>
      <w:r w:rsidRPr="785320FF">
        <w:rPr>
          <w:rFonts w:ascii="Arial" w:eastAsia="Arial" w:hAnsi="Arial" w:cs="Arial"/>
          <w:color w:val="000000" w:themeColor="text1"/>
        </w:rPr>
        <w:t xml:space="preserve">a person has had chickenpox, they usually develop immunity to the virus. However, the virus can reactivate later in life and cause shingles. Treatment focuses on relieving symptoms, and prevention is by </w:t>
      </w:r>
      <w:r w:rsidR="00735C43" w:rsidRPr="785320FF">
        <w:rPr>
          <w:rFonts w:ascii="Arial" w:eastAsia="Arial" w:hAnsi="Arial" w:cs="Arial"/>
          <w:color w:val="000000" w:themeColor="text1"/>
        </w:rPr>
        <w:t>vaccination</w:t>
      </w:r>
      <w:r w:rsidR="00735C43">
        <w:rPr>
          <w:rFonts w:ascii="Arial" w:eastAsia="Arial" w:hAnsi="Arial" w:cs="Arial"/>
          <w:color w:val="000000" w:themeColor="text1"/>
        </w:rPr>
        <w:t xml:space="preserve"> (</w:t>
      </w:r>
      <w:r w:rsidR="00C84CE0">
        <w:rPr>
          <w:rFonts w:ascii="Arial" w:eastAsia="Arial" w:hAnsi="Arial" w:cs="Arial"/>
          <w:color w:val="000000" w:themeColor="text1"/>
        </w:rPr>
        <w:t>Public health 2021).</w:t>
      </w:r>
    </w:p>
    <w:p w14:paraId="3823E91A" w14:textId="3559A4BB"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The symptoms of chickenpox typically appear 10-21 days (about 3 weeks) after exposure to the virus and may include:</w:t>
      </w:r>
    </w:p>
    <w:p w14:paraId="1B846B70" w14:textId="1BA485F3" w:rsidR="001D3883" w:rsidRDefault="785320FF" w:rsidP="008D0F21">
      <w:pPr>
        <w:pStyle w:val="ListParagraph"/>
        <w:numPr>
          <w:ilvl w:val="0"/>
          <w:numId w:val="7"/>
        </w:numPr>
        <w:spacing w:line="360" w:lineRule="auto"/>
        <w:rPr>
          <w:rFonts w:ascii="Arial" w:eastAsia="Arial" w:hAnsi="Arial" w:cs="Arial"/>
          <w:color w:val="000000" w:themeColor="text1"/>
        </w:rPr>
      </w:pPr>
      <w:r w:rsidRPr="785320FF">
        <w:rPr>
          <w:rFonts w:ascii="Arial" w:eastAsia="Arial" w:hAnsi="Arial" w:cs="Arial"/>
          <w:color w:val="000000" w:themeColor="text1"/>
        </w:rPr>
        <w:t>Rash: A red, itchy rash that usually starts on the face, chest, and back and then spreads to other parts of the body. The rash develops into small, fluid-filled blisters that eventually scab over and heal.</w:t>
      </w:r>
    </w:p>
    <w:p w14:paraId="26F6C4C1" w14:textId="58D7D74E" w:rsidR="001D3883" w:rsidRDefault="785320FF" w:rsidP="008D0F21">
      <w:pPr>
        <w:pStyle w:val="ListParagraph"/>
        <w:numPr>
          <w:ilvl w:val="0"/>
          <w:numId w:val="7"/>
        </w:numPr>
        <w:spacing w:line="360" w:lineRule="auto"/>
        <w:rPr>
          <w:rFonts w:ascii="Arial" w:eastAsia="Arial" w:hAnsi="Arial" w:cs="Arial"/>
          <w:color w:val="000000" w:themeColor="text1"/>
        </w:rPr>
      </w:pPr>
      <w:r w:rsidRPr="785320FF">
        <w:rPr>
          <w:rFonts w:ascii="Arial" w:eastAsia="Arial" w:hAnsi="Arial" w:cs="Arial"/>
          <w:color w:val="000000" w:themeColor="text1"/>
        </w:rPr>
        <w:t>Fever: A mild to moderate fever may develop before or along with the rash.</w:t>
      </w:r>
    </w:p>
    <w:p w14:paraId="494B3480" w14:textId="732FEF2B" w:rsidR="001D3883" w:rsidRDefault="785320FF" w:rsidP="008D0F21">
      <w:pPr>
        <w:pStyle w:val="ListParagraph"/>
        <w:numPr>
          <w:ilvl w:val="0"/>
          <w:numId w:val="7"/>
        </w:numPr>
        <w:spacing w:line="360" w:lineRule="auto"/>
        <w:rPr>
          <w:rFonts w:ascii="Arial" w:eastAsia="Arial" w:hAnsi="Arial" w:cs="Arial"/>
          <w:color w:val="000000" w:themeColor="text1"/>
        </w:rPr>
      </w:pPr>
      <w:r w:rsidRPr="785320FF">
        <w:rPr>
          <w:rFonts w:ascii="Arial" w:eastAsia="Arial" w:hAnsi="Arial" w:cs="Arial"/>
          <w:color w:val="000000" w:themeColor="text1"/>
        </w:rPr>
        <w:t>Headache: Some people may experience headaches, which can be mild to severe.</w:t>
      </w:r>
    </w:p>
    <w:p w14:paraId="0E24E00B" w14:textId="4D66F908" w:rsidR="001D3883" w:rsidRDefault="785320FF" w:rsidP="008D0F21">
      <w:pPr>
        <w:pStyle w:val="ListParagraph"/>
        <w:numPr>
          <w:ilvl w:val="0"/>
          <w:numId w:val="7"/>
        </w:numPr>
        <w:spacing w:line="360" w:lineRule="auto"/>
        <w:rPr>
          <w:rFonts w:ascii="Arial" w:eastAsia="Arial" w:hAnsi="Arial" w:cs="Arial"/>
          <w:color w:val="000000" w:themeColor="text1"/>
        </w:rPr>
      </w:pPr>
      <w:r w:rsidRPr="785320FF">
        <w:rPr>
          <w:rFonts w:ascii="Arial" w:eastAsia="Arial" w:hAnsi="Arial" w:cs="Arial"/>
          <w:color w:val="000000" w:themeColor="text1"/>
        </w:rPr>
        <w:t>Fatigue: Feeling tired or weak is common, especially during the early stages of the illness.</w:t>
      </w:r>
    </w:p>
    <w:p w14:paraId="44548FCC" w14:textId="23994FB7" w:rsidR="001D3883" w:rsidRDefault="785320FF" w:rsidP="008D0F21">
      <w:pPr>
        <w:pStyle w:val="ListParagraph"/>
        <w:numPr>
          <w:ilvl w:val="0"/>
          <w:numId w:val="7"/>
        </w:numPr>
        <w:spacing w:line="360" w:lineRule="auto"/>
        <w:rPr>
          <w:rFonts w:ascii="Arial" w:eastAsia="Arial" w:hAnsi="Arial" w:cs="Arial"/>
          <w:color w:val="000000" w:themeColor="text1"/>
        </w:rPr>
      </w:pPr>
      <w:r w:rsidRPr="785320FF">
        <w:rPr>
          <w:rFonts w:ascii="Arial" w:eastAsia="Arial" w:hAnsi="Arial" w:cs="Arial"/>
          <w:color w:val="000000" w:themeColor="text1"/>
        </w:rPr>
        <w:t>Loss of appetite: Some people may lose their appetite or have trouble eating.</w:t>
      </w:r>
    </w:p>
    <w:p w14:paraId="5924FB45" w14:textId="6153C6DF" w:rsidR="001D3883" w:rsidRDefault="785320FF" w:rsidP="008D0F21">
      <w:pPr>
        <w:pStyle w:val="ListParagraph"/>
        <w:numPr>
          <w:ilvl w:val="0"/>
          <w:numId w:val="7"/>
        </w:numPr>
        <w:spacing w:line="360" w:lineRule="auto"/>
        <w:rPr>
          <w:rFonts w:ascii="Arial" w:eastAsia="Arial" w:hAnsi="Arial" w:cs="Arial"/>
          <w:color w:val="000000" w:themeColor="text1"/>
        </w:rPr>
      </w:pPr>
      <w:r w:rsidRPr="785320FF">
        <w:rPr>
          <w:rFonts w:ascii="Arial" w:eastAsia="Arial" w:hAnsi="Arial" w:cs="Arial"/>
          <w:color w:val="000000" w:themeColor="text1"/>
        </w:rPr>
        <w:t>Muscle aches: Muscle aches or discomfort can occur, especially in older children and adults</w:t>
      </w:r>
      <w:r w:rsidR="00CA4E27">
        <w:rPr>
          <w:rFonts w:ascii="Arial" w:eastAsia="Arial" w:hAnsi="Arial" w:cs="Arial"/>
          <w:color w:val="000000" w:themeColor="text1"/>
        </w:rPr>
        <w:t xml:space="preserve"> </w:t>
      </w:r>
      <w:r w:rsidR="00735C43">
        <w:rPr>
          <w:rFonts w:ascii="Arial" w:eastAsia="Arial" w:hAnsi="Arial" w:cs="Arial"/>
          <w:color w:val="000000" w:themeColor="text1"/>
        </w:rPr>
        <w:t>(</w:t>
      </w:r>
      <w:r w:rsidR="00365344">
        <w:rPr>
          <w:rFonts w:ascii="Arial" w:eastAsia="Arial" w:hAnsi="Arial" w:cs="Arial"/>
          <w:color w:val="000000" w:themeColor="text1"/>
        </w:rPr>
        <w:t>Green Book 2019).</w:t>
      </w:r>
    </w:p>
    <w:p w14:paraId="1950D27C" w14:textId="6776BEE4"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In most cases, symptoms of chickenpox last for about 5-10 days. However, some people may experience more severe symptoms or complications, especially those with weakened immune systems</w:t>
      </w:r>
      <w:r w:rsidR="00577212">
        <w:rPr>
          <w:rFonts w:ascii="Arial" w:eastAsia="Arial" w:hAnsi="Arial" w:cs="Arial"/>
          <w:color w:val="000000" w:themeColor="text1"/>
        </w:rPr>
        <w:t xml:space="preserve"> </w:t>
      </w:r>
      <w:r w:rsidR="00365344">
        <w:rPr>
          <w:rFonts w:ascii="Arial" w:eastAsia="Arial" w:hAnsi="Arial" w:cs="Arial"/>
          <w:color w:val="000000" w:themeColor="text1"/>
        </w:rPr>
        <w:t>(</w:t>
      </w:r>
      <w:r w:rsidR="00F728E4">
        <w:rPr>
          <w:rFonts w:ascii="Arial" w:eastAsia="Arial" w:hAnsi="Arial" w:cs="Arial"/>
          <w:color w:val="000000" w:themeColor="text1"/>
        </w:rPr>
        <w:t>Green Book 2019).</w:t>
      </w:r>
    </w:p>
    <w:p w14:paraId="2BB9CEC4" w14:textId="0665A598" w:rsidR="001D3883" w:rsidRDefault="001D3883" w:rsidP="008D0F21">
      <w:pPr>
        <w:spacing w:line="360" w:lineRule="auto"/>
        <w:rPr>
          <w:rFonts w:ascii="Arial" w:eastAsia="Arial" w:hAnsi="Arial" w:cs="Arial"/>
          <w:color w:val="000000" w:themeColor="text1"/>
        </w:rPr>
      </w:pPr>
    </w:p>
    <w:p w14:paraId="5EB50D46" w14:textId="3E0231FF" w:rsidR="001D3883" w:rsidRDefault="001D3883" w:rsidP="785320FF">
      <w:pPr>
        <w:rPr>
          <w:rFonts w:ascii="Arial" w:eastAsia="Arial" w:hAnsi="Arial" w:cs="Arial"/>
          <w:color w:val="000000" w:themeColor="text1"/>
        </w:rPr>
      </w:pPr>
    </w:p>
    <w:p w14:paraId="2FD80954" w14:textId="0D47D06E" w:rsidR="001D3883" w:rsidRDefault="001D3883" w:rsidP="785320FF">
      <w:pPr>
        <w:rPr>
          <w:rFonts w:ascii="Arial" w:eastAsia="Arial" w:hAnsi="Arial" w:cs="Arial"/>
          <w:color w:val="000000" w:themeColor="text1"/>
        </w:rPr>
      </w:pPr>
    </w:p>
    <w:p w14:paraId="02A87350" w14:textId="396693F2" w:rsidR="001D3883" w:rsidRDefault="001D3883" w:rsidP="785320FF">
      <w:pPr>
        <w:rPr>
          <w:rFonts w:ascii="Arial" w:eastAsia="Arial" w:hAnsi="Arial" w:cs="Arial"/>
          <w:color w:val="000000" w:themeColor="text1"/>
        </w:rPr>
      </w:pPr>
    </w:p>
    <w:p w14:paraId="0AD8851F" w14:textId="3EC8AD68" w:rsidR="001D3883" w:rsidRDefault="001D3883" w:rsidP="785320FF">
      <w:pPr>
        <w:rPr>
          <w:rFonts w:ascii="Arial" w:eastAsia="Arial" w:hAnsi="Arial" w:cs="Arial"/>
          <w:color w:val="000000" w:themeColor="text1"/>
        </w:rPr>
      </w:pPr>
    </w:p>
    <w:p w14:paraId="5F6B094A" w14:textId="19FBB540" w:rsidR="001D3883" w:rsidRDefault="001D3883" w:rsidP="785320FF">
      <w:pPr>
        <w:rPr>
          <w:rFonts w:ascii="Arial" w:eastAsia="Arial" w:hAnsi="Arial" w:cs="Arial"/>
          <w:color w:val="000000" w:themeColor="text1"/>
        </w:rPr>
      </w:pPr>
    </w:p>
    <w:p w14:paraId="18295564" w14:textId="0931FCB2" w:rsidR="001D3883" w:rsidRPr="002601FD" w:rsidRDefault="785320FF" w:rsidP="785320FF">
      <w:pPr>
        <w:pStyle w:val="ListParagraph"/>
        <w:numPr>
          <w:ilvl w:val="0"/>
          <w:numId w:val="6"/>
        </w:numPr>
        <w:rPr>
          <w:color w:val="ED7D31" w:themeColor="accent2"/>
        </w:rPr>
      </w:pPr>
      <w:r w:rsidRPr="002601FD">
        <w:rPr>
          <w:rFonts w:ascii="Arial" w:eastAsia="Arial" w:hAnsi="Arial" w:cs="Arial"/>
          <w:b/>
          <w:bCs/>
          <w:color w:val="ED7D31" w:themeColor="accent2"/>
          <w:sz w:val="28"/>
          <w:szCs w:val="28"/>
        </w:rPr>
        <w:t xml:space="preserve">     Measure:</w:t>
      </w:r>
    </w:p>
    <w:p w14:paraId="6818FC56" w14:textId="1B36C822" w:rsidR="001D3883" w:rsidRDefault="001D3883" w:rsidP="785320FF">
      <w:pPr>
        <w:rPr>
          <w:rFonts w:ascii="Arial" w:eastAsia="Arial" w:hAnsi="Arial" w:cs="Arial"/>
          <w:b/>
          <w:bCs/>
          <w:color w:val="7030A0"/>
          <w:sz w:val="28"/>
          <w:szCs w:val="28"/>
        </w:rPr>
      </w:pPr>
    </w:p>
    <w:p w14:paraId="7B2F86DD" w14:textId="560E31D8" w:rsidR="001D3883" w:rsidRDefault="785320FF" w:rsidP="0099497D">
      <w:pPr>
        <w:spacing w:line="360" w:lineRule="auto"/>
        <w:jc w:val="both"/>
        <w:rPr>
          <w:rFonts w:ascii="Arial" w:eastAsia="Arial" w:hAnsi="Arial" w:cs="Arial"/>
          <w:color w:val="000000" w:themeColor="text1"/>
        </w:rPr>
      </w:pPr>
      <w:r w:rsidRPr="785320FF">
        <w:rPr>
          <w:rFonts w:ascii="Arial" w:eastAsia="Arial" w:hAnsi="Arial" w:cs="Arial"/>
          <w:color w:val="000000" w:themeColor="text1"/>
        </w:rPr>
        <w:t xml:space="preserve"> In the UK, the incidence of chickenpox is measured using several strategies. These strategies include:</w:t>
      </w:r>
    </w:p>
    <w:p w14:paraId="273C17D6" w14:textId="53EB142D"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GP consultations: General practitioners (GPs) are required to report cases of chickenpox to local health authorities. This data is then collected and analyzed to estimate the incidence of the disease</w:t>
      </w:r>
      <w:r w:rsidR="001306A5">
        <w:rPr>
          <w:rFonts w:ascii="Arial" w:eastAsia="Arial" w:hAnsi="Arial" w:cs="Arial"/>
          <w:color w:val="000000" w:themeColor="text1"/>
        </w:rPr>
        <w:t xml:space="preserve"> (</w:t>
      </w:r>
      <w:r w:rsidR="00CF204A">
        <w:rPr>
          <w:rFonts w:ascii="Arial" w:eastAsia="Arial" w:hAnsi="Arial" w:cs="Arial"/>
          <w:color w:val="000000" w:themeColor="text1"/>
        </w:rPr>
        <w:t>PHE 2014).</w:t>
      </w:r>
    </w:p>
    <w:p w14:paraId="77F079CF" w14:textId="4712CF3A"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Laboratory surveillance: Laboratory testing can confirm cases of chickenpox and provide a more accurate estimate of the incidence of the disease. The UK has a network of laboratories that routinely test samples for varicella-zoster virus, which causes chickenpox</w:t>
      </w:r>
      <w:r w:rsidR="00697E45">
        <w:rPr>
          <w:rFonts w:ascii="Arial" w:eastAsia="Arial" w:hAnsi="Arial" w:cs="Arial"/>
          <w:color w:val="000000" w:themeColor="text1"/>
        </w:rPr>
        <w:t xml:space="preserve"> (</w:t>
      </w:r>
      <w:r w:rsidR="002208A0">
        <w:rPr>
          <w:rFonts w:ascii="Arial" w:eastAsia="Arial" w:hAnsi="Arial" w:cs="Arial"/>
          <w:color w:val="000000" w:themeColor="text1"/>
        </w:rPr>
        <w:t>WHO 2018).</w:t>
      </w:r>
    </w:p>
    <w:p w14:paraId="56DAB532" w14:textId="10255590"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Hospital surveillance: Hospitals are also required to report cases of chickenpox to local health authorities. Hospital data can provide more detailed information about severe cases of chickenpox and complications associated with the disease.</w:t>
      </w:r>
    </w:p>
    <w:p w14:paraId="51F10A48" w14:textId="3BCE686C"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Sentinel surveillance: Sentinel surveillance involves monitoring a subset of the population to estimate the incidence of a disease. In the UK, sentinel surveillance is used to monitor chickenpox incidence in schools and other institutional settings.</w:t>
      </w:r>
    </w:p>
    <w:p w14:paraId="6988EF36" w14:textId="78C8AF77"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Immunization coverage: Since the introduction of the chickenpox vaccine in the UK in 2013, the coverage of the vaccine has been monitored to assess its impact on the incidence of the disease</w:t>
      </w:r>
      <w:r w:rsidR="002208A0">
        <w:rPr>
          <w:rFonts w:ascii="Arial" w:eastAsia="Arial" w:hAnsi="Arial" w:cs="Arial"/>
          <w:color w:val="000000" w:themeColor="text1"/>
        </w:rPr>
        <w:t xml:space="preserve"> (WHO 2018).</w:t>
      </w:r>
    </w:p>
    <w:p w14:paraId="18999C6E" w14:textId="0F3C6B9D"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These strategies are used to estimate the incidence of chickenpox in the UK and to monitor trends in the disease over time. By monitoring the incidence of chickenpox, health authorities can identify areas where vaccination coverage ma vaccination rates.</w:t>
      </w:r>
    </w:p>
    <w:p w14:paraId="0919BE12" w14:textId="0FEE50D4" w:rsidR="001D3883" w:rsidRDefault="001D3883" w:rsidP="008D0F21">
      <w:pPr>
        <w:spacing w:line="360" w:lineRule="auto"/>
        <w:rPr>
          <w:rFonts w:ascii="Calibri" w:eastAsia="Calibri" w:hAnsi="Calibri" w:cs="Calibri"/>
          <w:color w:val="374151"/>
          <w:sz w:val="24"/>
          <w:szCs w:val="24"/>
        </w:rPr>
      </w:pPr>
    </w:p>
    <w:p w14:paraId="11D1FD3E" w14:textId="5B32C941" w:rsidR="001D3883" w:rsidRDefault="001D3883" w:rsidP="785320FF">
      <w:pPr>
        <w:rPr>
          <w:rFonts w:ascii="Calibri" w:eastAsia="Calibri" w:hAnsi="Calibri" w:cs="Calibri"/>
          <w:color w:val="374151"/>
          <w:sz w:val="24"/>
          <w:szCs w:val="24"/>
        </w:rPr>
      </w:pPr>
    </w:p>
    <w:p w14:paraId="55FAC848" w14:textId="4EF610E5" w:rsidR="001D3883" w:rsidRPr="002601FD" w:rsidRDefault="785320FF" w:rsidP="008D0F21">
      <w:pPr>
        <w:pStyle w:val="ListParagraph"/>
        <w:numPr>
          <w:ilvl w:val="0"/>
          <w:numId w:val="5"/>
        </w:numPr>
        <w:spacing w:line="360" w:lineRule="auto"/>
        <w:rPr>
          <w:rFonts w:ascii="Arial" w:eastAsia="Arial" w:hAnsi="Arial" w:cs="Arial"/>
          <w:b/>
          <w:bCs/>
          <w:color w:val="538135" w:themeColor="accent6" w:themeShade="BF"/>
          <w:sz w:val="28"/>
          <w:szCs w:val="28"/>
        </w:rPr>
      </w:pPr>
      <w:r w:rsidRPr="002601FD">
        <w:rPr>
          <w:rFonts w:ascii="Calibri" w:eastAsia="Calibri" w:hAnsi="Calibri" w:cs="Calibri"/>
          <w:color w:val="538135" w:themeColor="accent6" w:themeShade="BF"/>
          <w:sz w:val="24"/>
          <w:szCs w:val="24"/>
        </w:rPr>
        <w:t xml:space="preserve">     </w:t>
      </w:r>
      <w:r w:rsidRPr="002601FD">
        <w:rPr>
          <w:rFonts w:ascii="Arial" w:eastAsia="Arial" w:hAnsi="Arial" w:cs="Arial"/>
          <w:b/>
          <w:bCs/>
          <w:color w:val="538135" w:themeColor="accent6" w:themeShade="BF"/>
          <w:sz w:val="28"/>
          <w:szCs w:val="28"/>
        </w:rPr>
        <w:t xml:space="preserve"> Monitor:</w:t>
      </w:r>
    </w:p>
    <w:p w14:paraId="7B36D509" w14:textId="1857C799"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lastRenderedPageBreak/>
        <w:t>The UK has implemented several strategies to monitor the incidence of chickenpox, which is a notifiable disease. These strategies are aimed at tracking the spread of the disease, identifying high-risk areas and populations, and developing strategies to prevent further outbreaks. Some of the key strategies used in the UK to monitor the incidence of chickenpox are outlined below.</w:t>
      </w:r>
    </w:p>
    <w:p w14:paraId="25DD1465" w14:textId="432C91A2"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General Practice consultations: The first point of contact for most patients with chickenpox in the UK is their GP. GPs are required to report all cases of chickenpox to local health authorities. The data collected from GP consultations is used to estimate the incidence of the disease in the general population</w:t>
      </w:r>
      <w:r w:rsidR="00533C25">
        <w:rPr>
          <w:rFonts w:ascii="Arial" w:eastAsia="Arial" w:hAnsi="Arial" w:cs="Arial"/>
          <w:color w:val="000000" w:themeColor="text1"/>
        </w:rPr>
        <w:t xml:space="preserve"> (</w:t>
      </w:r>
      <w:r w:rsidR="002A3696">
        <w:rPr>
          <w:rFonts w:ascii="Arial" w:eastAsia="Arial" w:hAnsi="Arial" w:cs="Arial"/>
          <w:color w:val="000000" w:themeColor="text1"/>
        </w:rPr>
        <w:t>PHE 2014).</w:t>
      </w:r>
    </w:p>
    <w:p w14:paraId="4A334C30" w14:textId="6483168E"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Laboratory-based surveillance: Public Health England operates a national laboratory-based surveillance system for chickenpox. This system involves the testing of samples collected from patients suspected of having chickenpox to confirm the diagnosis and track the spread of the disease</w:t>
      </w:r>
      <w:r w:rsidR="008E5B20">
        <w:rPr>
          <w:rFonts w:ascii="Arial" w:eastAsia="Arial" w:hAnsi="Arial" w:cs="Arial"/>
          <w:color w:val="000000" w:themeColor="text1"/>
        </w:rPr>
        <w:t xml:space="preserve"> (WHO 2018).</w:t>
      </w:r>
    </w:p>
    <w:p w14:paraId="77BBFA43" w14:textId="266C59FD"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Sentinel surveillance: Sentinel surveillance is a targeted approach used to monitor the incidence of chickenpox in specific populations, such as school-age children or health care workers. By monitoring the incidence of chickenpox in these high-risk groups, public health officials can identify trends and develop strategies to prevent further outbreaks</w:t>
      </w:r>
      <w:r w:rsidR="004738D9">
        <w:rPr>
          <w:rFonts w:ascii="Arial" w:eastAsia="Arial" w:hAnsi="Arial" w:cs="Arial"/>
          <w:color w:val="000000" w:themeColor="text1"/>
        </w:rPr>
        <w:t xml:space="preserve"> (WHO 2018).</w:t>
      </w:r>
    </w:p>
    <w:p w14:paraId="5064B18D" w14:textId="1037E824" w:rsidR="00643DD2" w:rsidRPr="00643DD2" w:rsidRDefault="00643DD2" w:rsidP="00643DD2">
      <w:pPr>
        <w:spacing w:line="360" w:lineRule="auto"/>
        <w:rPr>
          <w:rFonts w:ascii="Arial" w:eastAsia="Arial" w:hAnsi="Arial" w:cs="Arial"/>
          <w:color w:val="000000" w:themeColor="text1"/>
        </w:rPr>
      </w:pPr>
    </w:p>
    <w:p w14:paraId="3599E9C3" w14:textId="2398C54C"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Hospital surveillance: Hospitals are also required to report all cases of chickenpox to local health authorities. Hospital data can provide more detailed information about severe cases of chickenpox and complications associated with the disease</w:t>
      </w:r>
      <w:r w:rsidR="00491A12">
        <w:rPr>
          <w:rFonts w:ascii="Arial" w:eastAsia="Arial" w:hAnsi="Arial" w:cs="Arial"/>
          <w:color w:val="000000" w:themeColor="text1"/>
        </w:rPr>
        <w:t xml:space="preserve"> (</w:t>
      </w:r>
      <w:r w:rsidR="00500348">
        <w:rPr>
          <w:rFonts w:ascii="Arial" w:eastAsia="Arial" w:hAnsi="Arial" w:cs="Arial"/>
          <w:color w:val="000000" w:themeColor="text1"/>
        </w:rPr>
        <w:t>Surveillance 2018).`</w:t>
      </w:r>
    </w:p>
    <w:p w14:paraId="42B5D76E" w14:textId="5B5C0C8C"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Vaccine coverage: Since the introduction of the chickenpox vaccine in the UK, vaccination coverage rates have been monitored to assess the impact of the vaccine on the incidence of the disease. Public Health England collects data on vaccine uptake to identify areas where coverage rates are low and develop strategies to increase vaccination rates</w:t>
      </w:r>
      <w:r w:rsidR="00491A12">
        <w:rPr>
          <w:rFonts w:ascii="Arial" w:eastAsia="Arial" w:hAnsi="Arial" w:cs="Arial"/>
          <w:color w:val="000000" w:themeColor="text1"/>
        </w:rPr>
        <w:t xml:space="preserve"> (NHS 2019).</w:t>
      </w:r>
    </w:p>
    <w:p w14:paraId="08E3F4B1" w14:textId="67B11697"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These strategies are essential in monitoring the incidence of chickenpox in the UK, identifying high-risk areas and populations, and developing strategies to prevent further outbreaks. By monitoring the incidence of chickenpox, public health officials can develop effective prevention strategies and ensure that appropriate resources are allocated to control outbreaks.</w:t>
      </w:r>
    </w:p>
    <w:p w14:paraId="12B301D7" w14:textId="77DD36FF" w:rsidR="001D3883" w:rsidRDefault="001D3883" w:rsidP="008D0F21">
      <w:pPr>
        <w:spacing w:line="360" w:lineRule="auto"/>
        <w:rPr>
          <w:rFonts w:ascii="Calibri" w:eastAsia="Calibri" w:hAnsi="Calibri" w:cs="Calibri"/>
          <w:color w:val="374151"/>
          <w:sz w:val="24"/>
          <w:szCs w:val="24"/>
        </w:rPr>
      </w:pPr>
    </w:p>
    <w:p w14:paraId="3DF6A17C" w14:textId="7BAD69E9" w:rsidR="001D3883" w:rsidRDefault="001D3883" w:rsidP="008D0F21">
      <w:pPr>
        <w:spacing w:line="360" w:lineRule="auto"/>
        <w:rPr>
          <w:rFonts w:ascii="Calibri" w:eastAsia="Calibri" w:hAnsi="Calibri" w:cs="Calibri"/>
          <w:color w:val="374151"/>
          <w:sz w:val="24"/>
          <w:szCs w:val="24"/>
        </w:rPr>
      </w:pPr>
    </w:p>
    <w:p w14:paraId="6E4FDA9D" w14:textId="7BF2E5AD" w:rsidR="001D3883" w:rsidRDefault="785320FF" w:rsidP="008D0F21">
      <w:pPr>
        <w:pStyle w:val="ListParagraph"/>
        <w:numPr>
          <w:ilvl w:val="0"/>
          <w:numId w:val="4"/>
        </w:numPr>
        <w:spacing w:line="360" w:lineRule="auto"/>
        <w:rPr>
          <w:rFonts w:ascii="Arial" w:eastAsia="Arial" w:hAnsi="Arial" w:cs="Arial"/>
          <w:b/>
          <w:bCs/>
          <w:color w:val="7030A0"/>
          <w:sz w:val="28"/>
          <w:szCs w:val="28"/>
        </w:rPr>
      </w:pPr>
      <w:r w:rsidRPr="785320FF">
        <w:rPr>
          <w:rFonts w:ascii="Calibri" w:eastAsia="Calibri" w:hAnsi="Calibri" w:cs="Calibri"/>
          <w:color w:val="374151"/>
          <w:sz w:val="24"/>
          <w:szCs w:val="24"/>
        </w:rPr>
        <w:t xml:space="preserve">     </w:t>
      </w:r>
      <w:r w:rsidRPr="785320FF">
        <w:rPr>
          <w:rFonts w:ascii="Arial" w:eastAsia="Arial" w:hAnsi="Arial" w:cs="Arial"/>
          <w:color w:val="000000" w:themeColor="text1"/>
        </w:rPr>
        <w:t xml:space="preserve"> </w:t>
      </w:r>
      <w:r w:rsidRPr="785320FF">
        <w:rPr>
          <w:rFonts w:ascii="Arial" w:eastAsia="Arial" w:hAnsi="Arial" w:cs="Arial"/>
          <w:color w:val="7030A0"/>
        </w:rPr>
        <w:t xml:space="preserve"> </w:t>
      </w:r>
      <w:r w:rsidRPr="785320FF">
        <w:rPr>
          <w:rFonts w:ascii="Arial" w:eastAsia="Arial" w:hAnsi="Arial" w:cs="Arial"/>
          <w:b/>
          <w:bCs/>
          <w:color w:val="7030A0"/>
          <w:sz w:val="28"/>
          <w:szCs w:val="28"/>
        </w:rPr>
        <w:t>Control:</w:t>
      </w:r>
    </w:p>
    <w:p w14:paraId="6A11216B" w14:textId="435B3048"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There are several strategies used in the UK to control the incidence of chickenpox. These strategies aim to prevent the spread of the disease, reduce the severity of illness, and minimize complications associated with the disease. Some of the key strategies used to control the incidence of chickenpox in the UK are outlined below</w:t>
      </w:r>
      <w:r w:rsidR="008D257C">
        <w:rPr>
          <w:rFonts w:ascii="Arial" w:eastAsia="Arial" w:hAnsi="Arial" w:cs="Arial"/>
          <w:color w:val="000000" w:themeColor="text1"/>
        </w:rPr>
        <w:t xml:space="preserve"> (</w:t>
      </w:r>
      <w:r w:rsidR="000C0AC4">
        <w:rPr>
          <w:rFonts w:ascii="Arial" w:eastAsia="Arial" w:hAnsi="Arial" w:cs="Arial"/>
          <w:color w:val="000000" w:themeColor="text1"/>
        </w:rPr>
        <w:t>PHE 2014).</w:t>
      </w:r>
    </w:p>
    <w:p w14:paraId="711681D0" w14:textId="35047F62"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Vaccination: The chickenpox vaccine was introduced in the UK in 2013 for children aged 1-4 years old. The vaccine is also available for certain high-risk groups, such as healthcare workers and pregnant women who have not had chickenpox. Vaccination is the most effective way to prevent the spread of chickenpox and its complications</w:t>
      </w:r>
      <w:r w:rsidR="00823426">
        <w:rPr>
          <w:rFonts w:ascii="Arial" w:eastAsia="Arial" w:hAnsi="Arial" w:cs="Arial"/>
          <w:color w:val="000000" w:themeColor="text1"/>
        </w:rPr>
        <w:t xml:space="preserve"> (</w:t>
      </w:r>
      <w:r w:rsidR="00143233">
        <w:rPr>
          <w:rFonts w:ascii="Arial" w:eastAsia="Arial" w:hAnsi="Arial" w:cs="Arial"/>
          <w:color w:val="000000" w:themeColor="text1"/>
        </w:rPr>
        <w:t>UK HAS 2013).</w:t>
      </w:r>
    </w:p>
    <w:p w14:paraId="06CEB344" w14:textId="617CAF54"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Isolation: Infected individuals should be isolated until all the blisters have crusted over. This is to prevent the spread of the virus to others who are susceptible to the disease.</w:t>
      </w:r>
    </w:p>
    <w:p w14:paraId="35391113" w14:textId="64C86E69"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Antiviral medication: Antiviral medication can be prescribed for individuals at high risk of developing severe illness, such as those with weakened immune systems.</w:t>
      </w:r>
    </w:p>
    <w:p w14:paraId="5290B197" w14:textId="4CF5C08B"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Hygiene: Good hygiene practices, such as washing hands regularly, covering coughs and sneezes, and avoiding close contact with infected individuals, can help prevent the spread of chickenpox</w:t>
      </w:r>
      <w:r w:rsidR="003754A2">
        <w:rPr>
          <w:rFonts w:ascii="Arial" w:eastAsia="Arial" w:hAnsi="Arial" w:cs="Arial"/>
          <w:color w:val="000000" w:themeColor="text1"/>
        </w:rPr>
        <w:t xml:space="preserve"> (</w:t>
      </w:r>
      <w:r w:rsidR="004A46FC">
        <w:rPr>
          <w:rFonts w:ascii="Arial" w:eastAsia="Arial" w:hAnsi="Arial" w:cs="Arial"/>
          <w:color w:val="000000" w:themeColor="text1"/>
        </w:rPr>
        <w:t>PHE 2014).</w:t>
      </w:r>
    </w:p>
    <w:p w14:paraId="5A6BD133" w14:textId="2972BF7C" w:rsidR="001D3883" w:rsidRDefault="785320FF" w:rsidP="008D0F21">
      <w:pPr>
        <w:pStyle w:val="ListParagraph"/>
        <w:numPr>
          <w:ilvl w:val="0"/>
          <w:numId w:val="9"/>
        </w:numPr>
        <w:spacing w:line="360" w:lineRule="auto"/>
        <w:rPr>
          <w:rFonts w:ascii="Arial" w:eastAsia="Arial" w:hAnsi="Arial" w:cs="Arial"/>
          <w:color w:val="000000" w:themeColor="text1"/>
        </w:rPr>
      </w:pPr>
      <w:r w:rsidRPr="785320FF">
        <w:rPr>
          <w:rFonts w:ascii="Arial" w:eastAsia="Arial" w:hAnsi="Arial" w:cs="Arial"/>
          <w:color w:val="000000" w:themeColor="text1"/>
        </w:rPr>
        <w:t>Education: Educating the public about chickenpox, its symptoms, and how it is spread is important in controlling the incidence of the disease. This includes promoting vaccination and providing information about how to prevent the spread of the disease</w:t>
      </w:r>
      <w:r w:rsidR="001B16FE">
        <w:rPr>
          <w:rFonts w:ascii="Arial" w:eastAsia="Arial" w:hAnsi="Arial" w:cs="Arial"/>
          <w:color w:val="000000" w:themeColor="text1"/>
        </w:rPr>
        <w:t xml:space="preserve"> (</w:t>
      </w:r>
      <w:r w:rsidR="00FD2A2D">
        <w:rPr>
          <w:rFonts w:ascii="Arial" w:eastAsia="Arial" w:hAnsi="Arial" w:cs="Arial"/>
          <w:color w:val="000000" w:themeColor="text1"/>
        </w:rPr>
        <w:t>Control &amp; Prevention 2021).</w:t>
      </w:r>
    </w:p>
    <w:p w14:paraId="5873E7BE" w14:textId="131B211A"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These strategies are important in controlling the incidence of chickenpox in the UK. Vaccination is the</w:t>
      </w:r>
      <w:r w:rsidR="00577212">
        <w:rPr>
          <w:rFonts w:ascii="Arial" w:eastAsia="Arial" w:hAnsi="Arial" w:cs="Arial"/>
          <w:color w:val="000000" w:themeColor="text1"/>
        </w:rPr>
        <w:t xml:space="preserve"> best</w:t>
      </w:r>
      <w:r w:rsidRPr="785320FF">
        <w:rPr>
          <w:rFonts w:ascii="Arial" w:eastAsia="Arial" w:hAnsi="Arial" w:cs="Arial"/>
          <w:color w:val="000000" w:themeColor="text1"/>
        </w:rPr>
        <w:t xml:space="preserve"> way to prevent spread the disease, but isolation, antiviral medication, hygiene, and education are also essential components of a comprehensive control strategy</w:t>
      </w:r>
      <w:r w:rsidR="00C06AC3">
        <w:rPr>
          <w:rFonts w:ascii="Arial" w:eastAsia="Arial" w:hAnsi="Arial" w:cs="Arial"/>
          <w:color w:val="000000" w:themeColor="text1"/>
        </w:rPr>
        <w:t xml:space="preserve"> (NHS 2019).</w:t>
      </w:r>
    </w:p>
    <w:p w14:paraId="1E70A719" w14:textId="5E2FA7F3" w:rsidR="001D3883" w:rsidRDefault="001D3883" w:rsidP="008D0F21">
      <w:pPr>
        <w:spacing w:line="360" w:lineRule="auto"/>
        <w:rPr>
          <w:rFonts w:ascii="Calibri" w:eastAsia="Calibri" w:hAnsi="Calibri" w:cs="Calibri"/>
          <w:color w:val="374151"/>
          <w:sz w:val="24"/>
          <w:szCs w:val="24"/>
        </w:rPr>
      </w:pPr>
    </w:p>
    <w:p w14:paraId="38F10384" w14:textId="2EDCBD7C" w:rsidR="001D3883" w:rsidRDefault="001D3883" w:rsidP="008D0F21">
      <w:pPr>
        <w:spacing w:line="360" w:lineRule="auto"/>
        <w:rPr>
          <w:rFonts w:ascii="Calibri" w:eastAsia="Calibri" w:hAnsi="Calibri" w:cs="Calibri"/>
          <w:color w:val="374151"/>
          <w:sz w:val="24"/>
          <w:szCs w:val="24"/>
        </w:rPr>
      </w:pPr>
    </w:p>
    <w:p w14:paraId="7B2FDDB1" w14:textId="08FB450A" w:rsidR="001D3883" w:rsidRDefault="001D3883" w:rsidP="008D0F21">
      <w:pPr>
        <w:spacing w:line="360" w:lineRule="auto"/>
        <w:rPr>
          <w:rFonts w:ascii="Calibri" w:eastAsia="Calibri" w:hAnsi="Calibri" w:cs="Calibri"/>
          <w:color w:val="374151"/>
          <w:sz w:val="24"/>
          <w:szCs w:val="24"/>
        </w:rPr>
      </w:pPr>
    </w:p>
    <w:p w14:paraId="652EB241" w14:textId="5C57F9F4" w:rsidR="001D3883" w:rsidRDefault="001D3883" w:rsidP="008D0F21">
      <w:pPr>
        <w:spacing w:line="360" w:lineRule="auto"/>
        <w:rPr>
          <w:rFonts w:ascii="Calibri" w:eastAsia="Calibri" w:hAnsi="Calibri" w:cs="Calibri"/>
          <w:color w:val="374151"/>
          <w:sz w:val="24"/>
          <w:szCs w:val="24"/>
        </w:rPr>
      </w:pPr>
    </w:p>
    <w:p w14:paraId="17E2C75A" w14:textId="452C9F6F" w:rsidR="001D3883" w:rsidRDefault="001D3883" w:rsidP="008D0F21">
      <w:pPr>
        <w:spacing w:line="360" w:lineRule="auto"/>
        <w:rPr>
          <w:rFonts w:ascii="Calibri" w:eastAsia="Calibri" w:hAnsi="Calibri" w:cs="Calibri"/>
          <w:color w:val="374151"/>
          <w:sz w:val="24"/>
          <w:szCs w:val="24"/>
        </w:rPr>
      </w:pPr>
    </w:p>
    <w:p w14:paraId="245BB3F1" w14:textId="18E133EF" w:rsidR="001D3883" w:rsidRDefault="001D3883" w:rsidP="008D0F21">
      <w:pPr>
        <w:spacing w:line="360" w:lineRule="auto"/>
        <w:rPr>
          <w:rFonts w:ascii="Calibri" w:eastAsia="Calibri" w:hAnsi="Calibri" w:cs="Calibri"/>
          <w:color w:val="374151"/>
          <w:sz w:val="24"/>
          <w:szCs w:val="24"/>
        </w:rPr>
      </w:pPr>
    </w:p>
    <w:p w14:paraId="55747FFB" w14:textId="391A75E1" w:rsidR="001D3883" w:rsidRDefault="001D3883" w:rsidP="008D0F21">
      <w:pPr>
        <w:spacing w:line="360" w:lineRule="auto"/>
        <w:rPr>
          <w:rFonts w:ascii="Calibri" w:eastAsia="Calibri" w:hAnsi="Calibri" w:cs="Calibri"/>
          <w:color w:val="374151"/>
          <w:sz w:val="24"/>
          <w:szCs w:val="24"/>
        </w:rPr>
      </w:pPr>
    </w:p>
    <w:p w14:paraId="5F390AF9" w14:textId="1B8DBBCD" w:rsidR="001D3883" w:rsidRDefault="001D3883" w:rsidP="008D0F21">
      <w:pPr>
        <w:spacing w:line="360" w:lineRule="auto"/>
        <w:rPr>
          <w:rFonts w:ascii="Calibri" w:eastAsia="Calibri" w:hAnsi="Calibri" w:cs="Calibri"/>
          <w:color w:val="374151"/>
          <w:sz w:val="24"/>
          <w:szCs w:val="24"/>
        </w:rPr>
      </w:pPr>
    </w:p>
    <w:p w14:paraId="6A3EBDEF" w14:textId="166E30D7" w:rsidR="001D3883" w:rsidRDefault="785320FF" w:rsidP="008D0F21">
      <w:pPr>
        <w:pStyle w:val="ListParagraph"/>
        <w:numPr>
          <w:ilvl w:val="0"/>
          <w:numId w:val="3"/>
        </w:numPr>
        <w:spacing w:line="360" w:lineRule="auto"/>
        <w:rPr>
          <w:rFonts w:ascii="Arial" w:eastAsia="Arial" w:hAnsi="Arial" w:cs="Arial"/>
          <w:b/>
          <w:bCs/>
          <w:color w:val="000000" w:themeColor="text1"/>
          <w:sz w:val="28"/>
          <w:szCs w:val="28"/>
        </w:rPr>
      </w:pPr>
      <w:r w:rsidRPr="785320FF">
        <w:rPr>
          <w:rFonts w:ascii="Calibri" w:eastAsia="Calibri" w:hAnsi="Calibri" w:cs="Calibri"/>
          <w:color w:val="374151"/>
          <w:sz w:val="24"/>
          <w:szCs w:val="24"/>
        </w:rPr>
        <w:t xml:space="preserve">     </w:t>
      </w:r>
      <w:r w:rsidRPr="002601FD">
        <w:rPr>
          <w:rFonts w:ascii="Calibri" w:eastAsia="Calibri" w:hAnsi="Calibri" w:cs="Calibri"/>
          <w:color w:val="0070C0"/>
          <w:sz w:val="24"/>
          <w:szCs w:val="24"/>
        </w:rPr>
        <w:t xml:space="preserve">  </w:t>
      </w:r>
      <w:r w:rsidRPr="002601FD">
        <w:rPr>
          <w:rFonts w:ascii="Arial" w:eastAsia="Arial" w:hAnsi="Arial" w:cs="Arial"/>
          <w:b/>
          <w:bCs/>
          <w:color w:val="0070C0"/>
          <w:sz w:val="28"/>
          <w:szCs w:val="28"/>
        </w:rPr>
        <w:t>Conclusion:</w:t>
      </w:r>
    </w:p>
    <w:p w14:paraId="179AC7D0" w14:textId="303237A7" w:rsidR="001D3883" w:rsidRDefault="785320FF" w:rsidP="008D0F21">
      <w:pPr>
        <w:spacing w:line="360" w:lineRule="auto"/>
        <w:rPr>
          <w:rFonts w:ascii="Arial" w:eastAsia="Arial" w:hAnsi="Arial" w:cs="Arial"/>
          <w:color w:val="000000" w:themeColor="text1"/>
        </w:rPr>
      </w:pPr>
      <w:r w:rsidRPr="785320FF">
        <w:rPr>
          <w:rFonts w:ascii="Arial" w:eastAsia="Arial" w:hAnsi="Arial" w:cs="Arial"/>
          <w:color w:val="000000" w:themeColor="text1"/>
        </w:rPr>
        <w:t>In conclusion, chickenpox is a contagious viral disease that is common in children. The disease can cause discomfort and complications in some individuals, especially those with weakened immune systems. The UK has implemented various strategies to monitor and control the incidence of chickenpox, including vaccination, isolation, antiviral medication, hygiene, and education. These strategies aim to prevent the spread of the disease, reduce the severity of illness, and minimize complications associated with the disease. By continuing to monitor the incidence of chickenpox and implementing effective prevention and control strategies, public health officials in the UK can ensure that appropriate resources are allocated to control outbreaks and protect the population.</w:t>
      </w:r>
    </w:p>
    <w:p w14:paraId="6D4F3535" w14:textId="3389D6F8" w:rsidR="001D3883" w:rsidRDefault="001D3883" w:rsidP="008D0F21">
      <w:pPr>
        <w:spacing w:line="360" w:lineRule="auto"/>
        <w:rPr>
          <w:rFonts w:ascii="Calibri" w:eastAsia="Calibri" w:hAnsi="Calibri" w:cs="Calibri"/>
          <w:color w:val="374151"/>
          <w:sz w:val="24"/>
          <w:szCs w:val="24"/>
        </w:rPr>
      </w:pPr>
    </w:p>
    <w:p w14:paraId="02F9B85D" w14:textId="66D50FAC" w:rsidR="001D3883" w:rsidRDefault="001D3883" w:rsidP="008D0F21">
      <w:pPr>
        <w:spacing w:line="360" w:lineRule="auto"/>
        <w:rPr>
          <w:rFonts w:ascii="Calibri" w:eastAsia="Calibri" w:hAnsi="Calibri" w:cs="Calibri"/>
          <w:color w:val="374151"/>
          <w:sz w:val="24"/>
          <w:szCs w:val="24"/>
        </w:rPr>
      </w:pPr>
    </w:p>
    <w:p w14:paraId="3289396F" w14:textId="5808CF7F" w:rsidR="001D3883" w:rsidRDefault="001D3883" w:rsidP="008D0F21">
      <w:pPr>
        <w:spacing w:line="360" w:lineRule="auto"/>
        <w:rPr>
          <w:rFonts w:ascii="Calibri" w:eastAsia="Calibri" w:hAnsi="Calibri" w:cs="Calibri"/>
          <w:color w:val="374151"/>
          <w:sz w:val="24"/>
          <w:szCs w:val="24"/>
        </w:rPr>
      </w:pPr>
    </w:p>
    <w:p w14:paraId="1A66038C" w14:textId="15E2C5F0" w:rsidR="001D3883" w:rsidRDefault="001D3883" w:rsidP="008D0F21">
      <w:pPr>
        <w:spacing w:line="360" w:lineRule="auto"/>
        <w:rPr>
          <w:rFonts w:ascii="Calibri" w:eastAsia="Calibri" w:hAnsi="Calibri" w:cs="Calibri"/>
          <w:color w:val="374151"/>
          <w:sz w:val="24"/>
          <w:szCs w:val="24"/>
        </w:rPr>
      </w:pPr>
    </w:p>
    <w:p w14:paraId="0C4B605C" w14:textId="23DDFDB4" w:rsidR="001D3883" w:rsidRDefault="001D3883" w:rsidP="785320FF">
      <w:pPr>
        <w:rPr>
          <w:rFonts w:ascii="Calibri" w:eastAsia="Calibri" w:hAnsi="Calibri" w:cs="Calibri"/>
          <w:color w:val="374151"/>
          <w:sz w:val="24"/>
          <w:szCs w:val="24"/>
        </w:rPr>
      </w:pPr>
    </w:p>
    <w:p w14:paraId="0E13839A" w14:textId="3C1B0AD8" w:rsidR="001D3883" w:rsidRDefault="001D3883" w:rsidP="785320FF">
      <w:pPr>
        <w:rPr>
          <w:rFonts w:ascii="Calibri" w:eastAsia="Calibri" w:hAnsi="Calibri" w:cs="Calibri"/>
          <w:color w:val="374151"/>
          <w:sz w:val="24"/>
          <w:szCs w:val="24"/>
        </w:rPr>
      </w:pPr>
    </w:p>
    <w:p w14:paraId="2EE9B42C" w14:textId="77777777" w:rsidR="002208A0" w:rsidRDefault="002208A0" w:rsidP="785320FF">
      <w:pPr>
        <w:rPr>
          <w:rFonts w:ascii="Calibri" w:eastAsia="Calibri" w:hAnsi="Calibri" w:cs="Calibri"/>
          <w:color w:val="374151"/>
          <w:sz w:val="24"/>
          <w:szCs w:val="24"/>
        </w:rPr>
      </w:pPr>
    </w:p>
    <w:p w14:paraId="7F8D0F83" w14:textId="77777777" w:rsidR="002208A0" w:rsidRDefault="002208A0" w:rsidP="785320FF">
      <w:pPr>
        <w:rPr>
          <w:rFonts w:ascii="Calibri" w:eastAsia="Calibri" w:hAnsi="Calibri" w:cs="Calibri"/>
          <w:color w:val="374151"/>
          <w:sz w:val="24"/>
          <w:szCs w:val="24"/>
        </w:rPr>
      </w:pPr>
    </w:p>
    <w:p w14:paraId="45C8A3A3" w14:textId="77777777" w:rsidR="002208A0" w:rsidRDefault="002208A0" w:rsidP="785320FF">
      <w:pPr>
        <w:rPr>
          <w:rFonts w:ascii="Calibri" w:eastAsia="Calibri" w:hAnsi="Calibri" w:cs="Calibri"/>
          <w:color w:val="374151"/>
          <w:sz w:val="24"/>
          <w:szCs w:val="24"/>
        </w:rPr>
      </w:pPr>
    </w:p>
    <w:p w14:paraId="592A0196" w14:textId="436437AF" w:rsidR="001D3883" w:rsidRDefault="785320FF" w:rsidP="785320FF">
      <w:pPr>
        <w:pStyle w:val="ListParagraph"/>
        <w:numPr>
          <w:ilvl w:val="0"/>
          <w:numId w:val="2"/>
        </w:numPr>
        <w:rPr>
          <w:rFonts w:ascii="Arial" w:eastAsia="Arial" w:hAnsi="Arial" w:cs="Arial"/>
          <w:b/>
          <w:bCs/>
          <w:color w:val="000000" w:themeColor="text1"/>
          <w:sz w:val="28"/>
          <w:szCs w:val="28"/>
        </w:rPr>
      </w:pPr>
      <w:r w:rsidRPr="785320FF">
        <w:rPr>
          <w:rFonts w:ascii="Calibri" w:eastAsia="Calibri" w:hAnsi="Calibri" w:cs="Calibri"/>
          <w:color w:val="374151"/>
          <w:sz w:val="24"/>
          <w:szCs w:val="24"/>
        </w:rPr>
        <w:t xml:space="preserve">     </w:t>
      </w:r>
      <w:r w:rsidRPr="785320FF">
        <w:rPr>
          <w:rFonts w:ascii="Calibri" w:eastAsia="Calibri" w:hAnsi="Calibri" w:cs="Calibri"/>
          <w:color w:val="000000" w:themeColor="text1"/>
          <w:sz w:val="24"/>
          <w:szCs w:val="24"/>
        </w:rPr>
        <w:t xml:space="preserve"> </w:t>
      </w:r>
      <w:r w:rsidRPr="785320FF">
        <w:rPr>
          <w:rFonts w:ascii="Arial" w:eastAsia="Arial" w:hAnsi="Arial" w:cs="Arial"/>
          <w:b/>
          <w:bCs/>
          <w:color w:val="000000" w:themeColor="text1"/>
          <w:sz w:val="28"/>
          <w:szCs w:val="28"/>
        </w:rPr>
        <w:t>References:</w:t>
      </w:r>
    </w:p>
    <w:p w14:paraId="7B2D4A75" w14:textId="73C03502" w:rsidR="001D3883" w:rsidRDefault="001D3883" w:rsidP="785320FF">
      <w:pPr>
        <w:rPr>
          <w:rFonts w:ascii="Calibri" w:eastAsia="Calibri" w:hAnsi="Calibri" w:cs="Calibri"/>
          <w:color w:val="374151"/>
          <w:sz w:val="24"/>
          <w:szCs w:val="24"/>
        </w:rPr>
      </w:pPr>
    </w:p>
    <w:p w14:paraId="78747804" w14:textId="77777777" w:rsidR="009419F5" w:rsidRPr="009419F5" w:rsidRDefault="785320FF" w:rsidP="009419F5">
      <w:pPr>
        <w:pStyle w:val="ListParagraph"/>
        <w:numPr>
          <w:ilvl w:val="0"/>
          <w:numId w:val="11"/>
        </w:numPr>
        <w:rPr>
          <w:color w:val="000000" w:themeColor="text1"/>
        </w:rPr>
      </w:pPr>
      <w:r w:rsidRPr="785320FF">
        <w:rPr>
          <w:rFonts w:ascii="Calibri" w:eastAsia="Calibri" w:hAnsi="Calibri" w:cs="Calibri"/>
          <w:color w:val="374151"/>
          <w:sz w:val="24"/>
          <w:szCs w:val="24"/>
        </w:rPr>
        <w:lastRenderedPageBreak/>
        <w:t xml:space="preserve">Centers for Disease Control and Prevention. (2021). Varicella (Chickenpox). Available at: </w:t>
      </w:r>
      <w:hyperlink r:id="rId9">
        <w:r w:rsidRPr="00B377C1">
          <w:rPr>
            <w:rStyle w:val="Hyperlink"/>
            <w:rFonts w:ascii="Calibri" w:eastAsia="Calibri" w:hAnsi="Calibri" w:cs="Calibri"/>
            <w:color w:val="4472C4" w:themeColor="accent1"/>
            <w:sz w:val="24"/>
            <w:szCs w:val="24"/>
          </w:rPr>
          <w:t>https://www.cdc.gov/chickenpox/index.html</w:t>
        </w:r>
      </w:hyperlink>
      <w:r w:rsidRPr="00B377C1">
        <w:rPr>
          <w:rFonts w:ascii="Calibri" w:eastAsia="Calibri" w:hAnsi="Calibri" w:cs="Calibri"/>
          <w:color w:val="4472C4" w:themeColor="accent1"/>
          <w:sz w:val="24"/>
          <w:szCs w:val="24"/>
        </w:rPr>
        <w:t xml:space="preserve"> </w:t>
      </w:r>
      <w:r w:rsidR="00F438B7">
        <w:rPr>
          <w:rFonts w:ascii="Calibri" w:eastAsia="Calibri" w:hAnsi="Calibri" w:cs="Calibri"/>
          <w:color w:val="374151"/>
          <w:sz w:val="24"/>
          <w:szCs w:val="24"/>
        </w:rPr>
        <w:t>(</w:t>
      </w:r>
      <w:r w:rsidR="0064205C">
        <w:rPr>
          <w:rFonts w:ascii="Calibri" w:eastAsia="Calibri" w:hAnsi="Calibri" w:cs="Calibri"/>
          <w:color w:val="374151"/>
          <w:sz w:val="24"/>
          <w:szCs w:val="24"/>
        </w:rPr>
        <w:t xml:space="preserve">Accessed </w:t>
      </w:r>
      <w:r w:rsidR="00F438B7">
        <w:rPr>
          <w:rFonts w:ascii="Calibri" w:eastAsia="Calibri" w:hAnsi="Calibri" w:cs="Calibri"/>
          <w:color w:val="374151"/>
          <w:sz w:val="24"/>
          <w:szCs w:val="24"/>
        </w:rPr>
        <w:t>23 March).</w:t>
      </w:r>
    </w:p>
    <w:p w14:paraId="0E59212F" w14:textId="318C8FC6" w:rsidR="009419F5" w:rsidRPr="00B377C1" w:rsidRDefault="009419F5" w:rsidP="009419F5">
      <w:pPr>
        <w:pStyle w:val="ListParagraph"/>
        <w:numPr>
          <w:ilvl w:val="0"/>
          <w:numId w:val="11"/>
        </w:numPr>
        <w:rPr>
          <w:color w:val="000000" w:themeColor="text1"/>
        </w:rPr>
      </w:pPr>
      <w:r w:rsidRPr="009419F5">
        <w:t xml:space="preserve"> </w:t>
      </w:r>
      <w:r>
        <w:t xml:space="preserve">Chickenpox: Public health management and guidance, Available at: </w:t>
      </w:r>
      <w:hyperlink r:id="rId10" w:history="1">
        <w:r w:rsidRPr="00315701">
          <w:rPr>
            <w:rStyle w:val="Hyperlink"/>
          </w:rPr>
          <w:t>Chickenpox: public health management and guidance - GOV.UK (www.gov.uk)</w:t>
        </w:r>
      </w:hyperlink>
      <w:r>
        <w:rPr>
          <w:color w:val="0000FF"/>
          <w:u w:val="single"/>
        </w:rPr>
        <w:t xml:space="preserve"> </w:t>
      </w:r>
      <w:r w:rsidRPr="00B377C1">
        <w:rPr>
          <w:color w:val="000000" w:themeColor="text1"/>
          <w:u w:val="single"/>
        </w:rPr>
        <w:t>(Accessed 13 April).</w:t>
      </w:r>
    </w:p>
    <w:p w14:paraId="408DF42C" w14:textId="4A52F7E5" w:rsidR="001D3883" w:rsidRPr="009419F5" w:rsidRDefault="009419F5" w:rsidP="009419F5">
      <w:pPr>
        <w:pStyle w:val="ListParagraph"/>
        <w:numPr>
          <w:ilvl w:val="0"/>
          <w:numId w:val="11"/>
        </w:numPr>
      </w:pPr>
      <w:r>
        <w:t>Chickenpox vaccine overview – NHS (</w:t>
      </w:r>
      <w:hyperlink r:id="rId11" w:history="1">
        <w:r w:rsidRPr="00315701">
          <w:rPr>
            <w:rStyle w:val="Hyperlink"/>
          </w:rPr>
          <w:t>www.nhs.uk</w:t>
        </w:r>
      </w:hyperlink>
      <w:r>
        <w:t xml:space="preserve">) </w:t>
      </w:r>
    </w:p>
    <w:p w14:paraId="11F737BD" w14:textId="56B219B3" w:rsidR="001D3883" w:rsidRPr="004935A2" w:rsidRDefault="785320FF" w:rsidP="004935A2">
      <w:pPr>
        <w:pStyle w:val="ListParagraph"/>
        <w:numPr>
          <w:ilvl w:val="0"/>
          <w:numId w:val="11"/>
        </w:numPr>
        <w:rPr>
          <w:rFonts w:ascii="Calibri" w:eastAsia="Calibri" w:hAnsi="Calibri" w:cs="Calibri"/>
          <w:color w:val="374151"/>
          <w:sz w:val="24"/>
          <w:szCs w:val="24"/>
        </w:rPr>
      </w:pPr>
      <w:r w:rsidRPr="004935A2">
        <w:rPr>
          <w:rFonts w:ascii="Calibri" w:eastAsia="Calibri" w:hAnsi="Calibri" w:cs="Calibri"/>
          <w:color w:val="374151"/>
          <w:sz w:val="24"/>
          <w:szCs w:val="24"/>
        </w:rPr>
        <w:t xml:space="preserve">Public Health England. (2021). Varicella (chickenpox). Retrieved from </w:t>
      </w:r>
      <w:hyperlink r:id="rId12">
        <w:r w:rsidRPr="004935A2">
          <w:rPr>
            <w:rStyle w:val="Hyperlink"/>
            <w:rFonts w:ascii="Calibri" w:eastAsia="Calibri" w:hAnsi="Calibri" w:cs="Calibri"/>
            <w:sz w:val="24"/>
            <w:szCs w:val="24"/>
          </w:rPr>
          <w:t>https://www.gov.uk/government/publications/chickenpox-varicella-the-green-book-chapter-34</w:t>
        </w:r>
      </w:hyperlink>
      <w:r w:rsidR="00F438B7" w:rsidRPr="004935A2">
        <w:rPr>
          <w:rFonts w:ascii="Calibri" w:eastAsia="Calibri" w:hAnsi="Calibri" w:cs="Calibri"/>
          <w:color w:val="374151"/>
          <w:sz w:val="24"/>
          <w:szCs w:val="24"/>
        </w:rPr>
        <w:t xml:space="preserve"> (Accessed </w:t>
      </w:r>
      <w:r w:rsidR="00AB6094" w:rsidRPr="004935A2">
        <w:rPr>
          <w:rFonts w:ascii="Calibri" w:eastAsia="Calibri" w:hAnsi="Calibri" w:cs="Calibri"/>
          <w:color w:val="374151"/>
          <w:sz w:val="24"/>
          <w:szCs w:val="24"/>
        </w:rPr>
        <w:t>25 March).</w:t>
      </w:r>
    </w:p>
    <w:p w14:paraId="29C38E50" w14:textId="2D2982BF" w:rsidR="001D3883" w:rsidRPr="006955D6" w:rsidRDefault="785320FF" w:rsidP="785320FF">
      <w:pPr>
        <w:pStyle w:val="ListParagraph"/>
        <w:numPr>
          <w:ilvl w:val="0"/>
          <w:numId w:val="9"/>
        </w:numPr>
        <w:rPr>
          <w:rFonts w:ascii="Calibri" w:eastAsia="Calibri" w:hAnsi="Calibri" w:cs="Calibri"/>
          <w:color w:val="000000" w:themeColor="text1"/>
          <w:sz w:val="24"/>
          <w:szCs w:val="24"/>
          <w:u w:val="single"/>
        </w:rPr>
      </w:pPr>
      <w:r w:rsidRPr="785320FF">
        <w:rPr>
          <w:rFonts w:ascii="Calibri" w:eastAsia="Calibri" w:hAnsi="Calibri" w:cs="Calibri"/>
          <w:color w:val="374151"/>
          <w:sz w:val="24"/>
          <w:szCs w:val="24"/>
        </w:rPr>
        <w:t xml:space="preserve">Public Health England. Varicella (chickenpox) laboratory reports. Available at: </w:t>
      </w:r>
      <w:hyperlink r:id="rId13">
        <w:r w:rsidRPr="785320FF">
          <w:rPr>
            <w:rStyle w:val="Hyperlink"/>
            <w:rFonts w:ascii="Calibri" w:eastAsia="Calibri" w:hAnsi="Calibri" w:cs="Calibri"/>
            <w:sz w:val="24"/>
            <w:szCs w:val="24"/>
          </w:rPr>
          <w:t>https://www.gov.uk/government/statistics/varicella-chickenpox-laboratory-reports</w:t>
        </w:r>
      </w:hyperlink>
      <w:r w:rsidR="002F1DBE">
        <w:rPr>
          <w:rStyle w:val="Hyperlink"/>
          <w:rFonts w:ascii="Calibri" w:eastAsia="Calibri" w:hAnsi="Calibri" w:cs="Calibri"/>
          <w:sz w:val="24"/>
          <w:szCs w:val="24"/>
        </w:rPr>
        <w:t xml:space="preserve"> </w:t>
      </w:r>
      <w:r w:rsidR="00076828" w:rsidRPr="006955D6">
        <w:rPr>
          <w:rStyle w:val="Hyperlink"/>
          <w:rFonts w:ascii="Calibri" w:eastAsia="Calibri" w:hAnsi="Calibri" w:cs="Calibri"/>
          <w:color w:val="000000" w:themeColor="text1"/>
          <w:sz w:val="24"/>
          <w:szCs w:val="24"/>
        </w:rPr>
        <w:t>(Accessed 03 April)</w:t>
      </w:r>
      <w:r w:rsidR="006955D6" w:rsidRPr="006955D6">
        <w:rPr>
          <w:rStyle w:val="Hyperlink"/>
          <w:rFonts w:ascii="Calibri" w:eastAsia="Calibri" w:hAnsi="Calibri" w:cs="Calibri"/>
          <w:color w:val="000000" w:themeColor="text1"/>
          <w:sz w:val="24"/>
          <w:szCs w:val="24"/>
        </w:rPr>
        <w:t>.</w:t>
      </w:r>
    </w:p>
    <w:p w14:paraId="638C77D2" w14:textId="4B00C2ED" w:rsidR="001D3883" w:rsidRPr="002F1DBE" w:rsidRDefault="785320FF" w:rsidP="785320FF">
      <w:pPr>
        <w:pStyle w:val="ListParagraph"/>
        <w:numPr>
          <w:ilvl w:val="0"/>
          <w:numId w:val="9"/>
        </w:numPr>
        <w:rPr>
          <w:rFonts w:ascii="Calibri" w:eastAsia="Calibri" w:hAnsi="Calibri" w:cs="Calibri"/>
          <w:sz w:val="24"/>
          <w:szCs w:val="24"/>
          <w:u w:val="single"/>
        </w:rPr>
      </w:pPr>
      <w:r w:rsidRPr="785320FF">
        <w:rPr>
          <w:rFonts w:ascii="Calibri" w:eastAsia="Calibri" w:hAnsi="Calibri" w:cs="Calibri"/>
          <w:color w:val="374151"/>
          <w:sz w:val="24"/>
          <w:szCs w:val="24"/>
        </w:rPr>
        <w:t xml:space="preserve">Public Health England. Vaccine coverage and data. Available at: </w:t>
      </w:r>
      <w:hyperlink r:id="rId14">
        <w:r w:rsidRPr="785320FF">
          <w:rPr>
            <w:rStyle w:val="Hyperlink"/>
            <w:rFonts w:ascii="Calibri" w:eastAsia="Calibri" w:hAnsi="Calibri" w:cs="Calibri"/>
            <w:sz w:val="24"/>
            <w:szCs w:val="24"/>
          </w:rPr>
          <w:t>https://www.gov.uk/government/collections/vaccine-coverage-statistics</w:t>
        </w:r>
      </w:hyperlink>
      <w:r w:rsidR="004441A3">
        <w:rPr>
          <w:rStyle w:val="Hyperlink"/>
          <w:rFonts w:ascii="Calibri" w:eastAsia="Calibri" w:hAnsi="Calibri" w:cs="Calibri"/>
          <w:sz w:val="24"/>
          <w:szCs w:val="24"/>
        </w:rPr>
        <w:t xml:space="preserve"> </w:t>
      </w:r>
      <w:r w:rsidR="004441A3" w:rsidRPr="002F1DBE">
        <w:rPr>
          <w:rStyle w:val="Hyperlink"/>
          <w:rFonts w:ascii="Calibri" w:eastAsia="Calibri" w:hAnsi="Calibri" w:cs="Calibri"/>
          <w:color w:val="auto"/>
          <w:sz w:val="24"/>
          <w:szCs w:val="24"/>
        </w:rPr>
        <w:t xml:space="preserve">(Accessed </w:t>
      </w:r>
      <w:r w:rsidR="002F1DBE" w:rsidRPr="002F1DBE">
        <w:rPr>
          <w:rStyle w:val="Hyperlink"/>
          <w:rFonts w:ascii="Calibri" w:eastAsia="Calibri" w:hAnsi="Calibri" w:cs="Calibri"/>
          <w:color w:val="auto"/>
          <w:sz w:val="24"/>
          <w:szCs w:val="24"/>
        </w:rPr>
        <w:t>04 April).</w:t>
      </w:r>
    </w:p>
    <w:p w14:paraId="4F18691E" w14:textId="603A4AA6" w:rsidR="001D3883" w:rsidRPr="00DB70BC" w:rsidRDefault="785320FF" w:rsidP="002A20A5">
      <w:pPr>
        <w:pStyle w:val="ListParagraph"/>
        <w:numPr>
          <w:ilvl w:val="0"/>
          <w:numId w:val="11"/>
        </w:numPr>
        <w:rPr>
          <w:rFonts w:ascii="Calibri" w:eastAsia="Calibri" w:hAnsi="Calibri" w:cs="Calibri"/>
          <w:color w:val="000000" w:themeColor="text1"/>
          <w:sz w:val="24"/>
          <w:szCs w:val="24"/>
          <w:u w:val="single"/>
        </w:rPr>
      </w:pPr>
      <w:r w:rsidRPr="785320FF">
        <w:rPr>
          <w:rFonts w:ascii="Calibri" w:eastAsia="Calibri" w:hAnsi="Calibri" w:cs="Calibri"/>
          <w:color w:val="374151"/>
          <w:sz w:val="24"/>
          <w:szCs w:val="24"/>
        </w:rPr>
        <w:t xml:space="preserve">Public Health England. Surveillance of infectious diseases. Available at: </w:t>
      </w:r>
      <w:hyperlink r:id="rId15">
        <w:r w:rsidRPr="785320FF">
          <w:rPr>
            <w:rStyle w:val="Hyperlink"/>
            <w:rFonts w:ascii="Calibri" w:eastAsia="Calibri" w:hAnsi="Calibri" w:cs="Calibri"/>
            <w:sz w:val="24"/>
            <w:szCs w:val="24"/>
          </w:rPr>
          <w:t>https://www.gov.uk/guidance/surveillance-of-infectious-diseases</w:t>
        </w:r>
      </w:hyperlink>
      <w:r w:rsidR="004441A3">
        <w:rPr>
          <w:rStyle w:val="Hyperlink"/>
          <w:rFonts w:ascii="Calibri" w:eastAsia="Calibri" w:hAnsi="Calibri" w:cs="Calibri"/>
          <w:sz w:val="24"/>
          <w:szCs w:val="24"/>
        </w:rPr>
        <w:t xml:space="preserve">  </w:t>
      </w:r>
      <w:r w:rsidR="006955D6" w:rsidRPr="00DB70BC">
        <w:rPr>
          <w:rStyle w:val="Hyperlink"/>
          <w:rFonts w:ascii="Calibri" w:eastAsia="Calibri" w:hAnsi="Calibri" w:cs="Calibri"/>
          <w:color w:val="000000" w:themeColor="text1"/>
          <w:sz w:val="24"/>
          <w:szCs w:val="24"/>
        </w:rPr>
        <w:t>(Acce</w:t>
      </w:r>
      <w:r w:rsidR="00DB70BC" w:rsidRPr="00DB70BC">
        <w:rPr>
          <w:rStyle w:val="Hyperlink"/>
          <w:rFonts w:ascii="Calibri" w:eastAsia="Calibri" w:hAnsi="Calibri" w:cs="Calibri"/>
          <w:color w:val="000000" w:themeColor="text1"/>
          <w:sz w:val="24"/>
          <w:szCs w:val="24"/>
        </w:rPr>
        <w:t>ssed 10 April).</w:t>
      </w:r>
    </w:p>
    <w:p w14:paraId="63FD2C75" w14:textId="746EB8E3" w:rsidR="001D3883" w:rsidRPr="004C1BBC" w:rsidRDefault="785320FF" w:rsidP="002A20A5">
      <w:pPr>
        <w:pStyle w:val="ListParagraph"/>
        <w:numPr>
          <w:ilvl w:val="0"/>
          <w:numId w:val="11"/>
        </w:numPr>
        <w:rPr>
          <w:rFonts w:ascii="Calibri" w:eastAsia="Calibri" w:hAnsi="Calibri" w:cs="Calibri"/>
          <w:color w:val="000000" w:themeColor="text1"/>
          <w:sz w:val="24"/>
          <w:szCs w:val="24"/>
          <w:u w:val="single"/>
        </w:rPr>
      </w:pPr>
      <w:r w:rsidRPr="002A20A5">
        <w:rPr>
          <w:rFonts w:ascii="Calibri" w:eastAsia="Calibri" w:hAnsi="Calibri" w:cs="Calibri"/>
          <w:color w:val="374151"/>
          <w:sz w:val="24"/>
          <w:szCs w:val="24"/>
        </w:rPr>
        <w:t xml:space="preserve">World Health Organization. (2018). Varicella (chickenpox). </w:t>
      </w:r>
      <w:hyperlink r:id="rId16">
        <w:r w:rsidRPr="002A20A5">
          <w:rPr>
            <w:rStyle w:val="Hyperlink"/>
            <w:rFonts w:ascii="Calibri" w:eastAsia="Calibri" w:hAnsi="Calibri" w:cs="Calibri"/>
            <w:color w:val="0070C0"/>
            <w:sz w:val="24"/>
            <w:szCs w:val="24"/>
          </w:rPr>
          <w:t>https://www.who.int/news-room/fact-sheets/detail/varicella-(chickenpox)</w:t>
        </w:r>
      </w:hyperlink>
      <w:r w:rsidR="004C1BBC">
        <w:rPr>
          <w:rStyle w:val="Hyperlink"/>
          <w:rFonts w:ascii="Calibri" w:eastAsia="Calibri" w:hAnsi="Calibri" w:cs="Calibri"/>
          <w:color w:val="0070C0"/>
          <w:sz w:val="24"/>
          <w:szCs w:val="24"/>
        </w:rPr>
        <w:t xml:space="preserve"> </w:t>
      </w:r>
      <w:r w:rsidR="004C1BBC" w:rsidRPr="004C1BBC">
        <w:rPr>
          <w:rStyle w:val="Hyperlink"/>
          <w:rFonts w:ascii="Calibri" w:eastAsia="Calibri" w:hAnsi="Calibri" w:cs="Calibri"/>
          <w:color w:val="000000" w:themeColor="text1"/>
          <w:sz w:val="24"/>
          <w:szCs w:val="24"/>
        </w:rPr>
        <w:t>(Accessed 13 April).</w:t>
      </w:r>
    </w:p>
    <w:p w14:paraId="3AFBD8B6" w14:textId="2A4374B3" w:rsidR="001451D0" w:rsidRDefault="00DB4059" w:rsidP="004935A2">
      <w:pPr>
        <w:pStyle w:val="ListParagraph"/>
      </w:pPr>
      <w:r>
        <w:t xml:space="preserve"> </w:t>
      </w:r>
    </w:p>
    <w:sectPr w:rsidR="001451D0">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12BDE" w14:textId="77777777" w:rsidR="001C5DF1" w:rsidRDefault="001C5DF1">
      <w:pPr>
        <w:spacing w:after="0" w:line="240" w:lineRule="auto"/>
      </w:pPr>
      <w:r>
        <w:separator/>
      </w:r>
    </w:p>
  </w:endnote>
  <w:endnote w:type="continuationSeparator" w:id="0">
    <w:p w14:paraId="42B0AE61" w14:textId="77777777" w:rsidR="001C5DF1" w:rsidRDefault="001C5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85320FF" w14:paraId="0BD1575B" w14:textId="77777777" w:rsidTr="785320FF">
      <w:trPr>
        <w:trHeight w:val="300"/>
      </w:trPr>
      <w:tc>
        <w:tcPr>
          <w:tcW w:w="3120" w:type="dxa"/>
        </w:tcPr>
        <w:p w14:paraId="3A799F8B" w14:textId="0838C2EC" w:rsidR="785320FF" w:rsidRDefault="785320FF" w:rsidP="785320FF">
          <w:pPr>
            <w:pStyle w:val="Header"/>
            <w:ind w:left="-115"/>
          </w:pPr>
          <w:r>
            <w:fldChar w:fldCharType="begin"/>
          </w:r>
          <w:r>
            <w:instrText>PAGE</w:instrText>
          </w:r>
          <w:r>
            <w:fldChar w:fldCharType="separate"/>
          </w:r>
          <w:r w:rsidR="008478B8">
            <w:rPr>
              <w:noProof/>
            </w:rPr>
            <w:t>1</w:t>
          </w:r>
          <w:r>
            <w:fldChar w:fldCharType="end"/>
          </w:r>
        </w:p>
      </w:tc>
      <w:tc>
        <w:tcPr>
          <w:tcW w:w="3120" w:type="dxa"/>
        </w:tcPr>
        <w:p w14:paraId="351CD179" w14:textId="386D399E" w:rsidR="785320FF" w:rsidRDefault="785320FF" w:rsidP="785320FF">
          <w:pPr>
            <w:pStyle w:val="Header"/>
            <w:jc w:val="center"/>
          </w:pPr>
        </w:p>
      </w:tc>
      <w:tc>
        <w:tcPr>
          <w:tcW w:w="3120" w:type="dxa"/>
        </w:tcPr>
        <w:p w14:paraId="77078C92" w14:textId="03FC48E6" w:rsidR="785320FF" w:rsidRDefault="785320FF" w:rsidP="785320FF">
          <w:pPr>
            <w:pStyle w:val="Header"/>
            <w:ind w:right="-115"/>
            <w:jc w:val="right"/>
          </w:pPr>
        </w:p>
      </w:tc>
    </w:tr>
  </w:tbl>
  <w:p w14:paraId="0DCA23BA" w14:textId="08C1C6B0" w:rsidR="785320FF" w:rsidRDefault="785320FF" w:rsidP="78532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971E8" w14:textId="77777777" w:rsidR="001C5DF1" w:rsidRDefault="001C5DF1">
      <w:pPr>
        <w:spacing w:after="0" w:line="240" w:lineRule="auto"/>
      </w:pPr>
      <w:r>
        <w:separator/>
      </w:r>
    </w:p>
  </w:footnote>
  <w:footnote w:type="continuationSeparator" w:id="0">
    <w:p w14:paraId="7F34A87F" w14:textId="77777777" w:rsidR="001C5DF1" w:rsidRDefault="001C5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85320FF" w14:paraId="5491BECA" w14:textId="77777777" w:rsidTr="785320FF">
      <w:trPr>
        <w:trHeight w:val="300"/>
      </w:trPr>
      <w:tc>
        <w:tcPr>
          <w:tcW w:w="3120" w:type="dxa"/>
        </w:tcPr>
        <w:p w14:paraId="3CBDF4DA" w14:textId="31B76FB3" w:rsidR="785320FF" w:rsidRDefault="785320FF" w:rsidP="785320FF">
          <w:pPr>
            <w:pStyle w:val="Header"/>
            <w:ind w:left="-115"/>
          </w:pPr>
        </w:p>
      </w:tc>
      <w:tc>
        <w:tcPr>
          <w:tcW w:w="3120" w:type="dxa"/>
        </w:tcPr>
        <w:p w14:paraId="5676164D" w14:textId="176AB901" w:rsidR="785320FF" w:rsidRDefault="785320FF" w:rsidP="785320FF">
          <w:pPr>
            <w:pStyle w:val="Header"/>
            <w:jc w:val="center"/>
          </w:pPr>
        </w:p>
      </w:tc>
      <w:tc>
        <w:tcPr>
          <w:tcW w:w="3120" w:type="dxa"/>
        </w:tcPr>
        <w:p w14:paraId="62FAA452" w14:textId="1F17B841" w:rsidR="785320FF" w:rsidRDefault="785320FF" w:rsidP="785320FF">
          <w:pPr>
            <w:pStyle w:val="Header"/>
            <w:ind w:right="-115"/>
            <w:jc w:val="right"/>
          </w:pPr>
        </w:p>
      </w:tc>
    </w:tr>
  </w:tbl>
  <w:p w14:paraId="35C33C89" w14:textId="527620F2" w:rsidR="785320FF" w:rsidRDefault="785320FF" w:rsidP="785320F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OSlmUrso" int2:invalidationBookmarkName="" int2:hashCode="SI2KpTvyNQFjEk" int2:id="I5uY50L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E0AF3"/>
    <w:multiLevelType w:val="hybridMultilevel"/>
    <w:tmpl w:val="3ED2549A"/>
    <w:lvl w:ilvl="0" w:tplc="1554AF40">
      <w:start w:val="1"/>
      <w:numFmt w:val="bullet"/>
      <w:lvlText w:val=""/>
      <w:lvlJc w:val="left"/>
      <w:pPr>
        <w:ind w:left="720" w:hanging="360"/>
      </w:pPr>
      <w:rPr>
        <w:rFonts w:ascii="Wingdings" w:hAnsi="Wingdings" w:hint="default"/>
      </w:rPr>
    </w:lvl>
    <w:lvl w:ilvl="1" w:tplc="CC240216">
      <w:start w:val="1"/>
      <w:numFmt w:val="bullet"/>
      <w:lvlText w:val="o"/>
      <w:lvlJc w:val="left"/>
      <w:pPr>
        <w:ind w:left="1440" w:hanging="360"/>
      </w:pPr>
      <w:rPr>
        <w:rFonts w:ascii="Courier New" w:hAnsi="Courier New" w:hint="default"/>
      </w:rPr>
    </w:lvl>
    <w:lvl w:ilvl="2" w:tplc="5882E348">
      <w:start w:val="1"/>
      <w:numFmt w:val="bullet"/>
      <w:lvlText w:val=""/>
      <w:lvlJc w:val="left"/>
      <w:pPr>
        <w:ind w:left="2160" w:hanging="360"/>
      </w:pPr>
      <w:rPr>
        <w:rFonts w:ascii="Wingdings" w:hAnsi="Wingdings" w:hint="default"/>
      </w:rPr>
    </w:lvl>
    <w:lvl w:ilvl="3" w:tplc="F3140788">
      <w:start w:val="1"/>
      <w:numFmt w:val="bullet"/>
      <w:lvlText w:val=""/>
      <w:lvlJc w:val="left"/>
      <w:pPr>
        <w:ind w:left="2880" w:hanging="360"/>
      </w:pPr>
      <w:rPr>
        <w:rFonts w:ascii="Symbol" w:hAnsi="Symbol" w:hint="default"/>
      </w:rPr>
    </w:lvl>
    <w:lvl w:ilvl="4" w:tplc="6EDECFEE">
      <w:start w:val="1"/>
      <w:numFmt w:val="bullet"/>
      <w:lvlText w:val="o"/>
      <w:lvlJc w:val="left"/>
      <w:pPr>
        <w:ind w:left="3600" w:hanging="360"/>
      </w:pPr>
      <w:rPr>
        <w:rFonts w:ascii="Courier New" w:hAnsi="Courier New" w:hint="default"/>
      </w:rPr>
    </w:lvl>
    <w:lvl w:ilvl="5" w:tplc="8DCE82A4">
      <w:start w:val="1"/>
      <w:numFmt w:val="bullet"/>
      <w:lvlText w:val=""/>
      <w:lvlJc w:val="left"/>
      <w:pPr>
        <w:ind w:left="4320" w:hanging="360"/>
      </w:pPr>
      <w:rPr>
        <w:rFonts w:ascii="Wingdings" w:hAnsi="Wingdings" w:hint="default"/>
      </w:rPr>
    </w:lvl>
    <w:lvl w:ilvl="6" w:tplc="2C3A0A66">
      <w:start w:val="1"/>
      <w:numFmt w:val="bullet"/>
      <w:lvlText w:val=""/>
      <w:lvlJc w:val="left"/>
      <w:pPr>
        <w:ind w:left="5040" w:hanging="360"/>
      </w:pPr>
      <w:rPr>
        <w:rFonts w:ascii="Symbol" w:hAnsi="Symbol" w:hint="default"/>
      </w:rPr>
    </w:lvl>
    <w:lvl w:ilvl="7" w:tplc="394C994C">
      <w:start w:val="1"/>
      <w:numFmt w:val="bullet"/>
      <w:lvlText w:val="o"/>
      <w:lvlJc w:val="left"/>
      <w:pPr>
        <w:ind w:left="5760" w:hanging="360"/>
      </w:pPr>
      <w:rPr>
        <w:rFonts w:ascii="Courier New" w:hAnsi="Courier New" w:hint="default"/>
      </w:rPr>
    </w:lvl>
    <w:lvl w:ilvl="8" w:tplc="70A4C0D2">
      <w:start w:val="1"/>
      <w:numFmt w:val="bullet"/>
      <w:lvlText w:val=""/>
      <w:lvlJc w:val="left"/>
      <w:pPr>
        <w:ind w:left="6480" w:hanging="360"/>
      </w:pPr>
      <w:rPr>
        <w:rFonts w:ascii="Wingdings" w:hAnsi="Wingdings" w:hint="default"/>
      </w:rPr>
    </w:lvl>
  </w:abstractNum>
  <w:abstractNum w:abstractNumId="1" w15:restartNumberingAfterBreak="0">
    <w:nsid w:val="0C7402C0"/>
    <w:multiLevelType w:val="hybridMultilevel"/>
    <w:tmpl w:val="D97E790A"/>
    <w:lvl w:ilvl="0" w:tplc="FCE454B4">
      <w:start w:val="1"/>
      <w:numFmt w:val="bullet"/>
      <w:lvlText w:val=""/>
      <w:lvlJc w:val="left"/>
      <w:pPr>
        <w:ind w:left="720" w:hanging="360"/>
      </w:pPr>
      <w:rPr>
        <w:rFonts w:ascii="Symbol" w:hAnsi="Symbol" w:hint="default"/>
      </w:rPr>
    </w:lvl>
    <w:lvl w:ilvl="1" w:tplc="10722ED2">
      <w:start w:val="1"/>
      <w:numFmt w:val="bullet"/>
      <w:lvlText w:val="o"/>
      <w:lvlJc w:val="left"/>
      <w:pPr>
        <w:ind w:left="1440" w:hanging="360"/>
      </w:pPr>
      <w:rPr>
        <w:rFonts w:ascii="Courier New" w:hAnsi="Courier New" w:hint="default"/>
      </w:rPr>
    </w:lvl>
    <w:lvl w:ilvl="2" w:tplc="7A5A42E2">
      <w:start w:val="1"/>
      <w:numFmt w:val="bullet"/>
      <w:lvlText w:val=""/>
      <w:lvlJc w:val="left"/>
      <w:pPr>
        <w:ind w:left="2160" w:hanging="360"/>
      </w:pPr>
      <w:rPr>
        <w:rFonts w:ascii="Wingdings" w:hAnsi="Wingdings" w:hint="default"/>
      </w:rPr>
    </w:lvl>
    <w:lvl w:ilvl="3" w:tplc="69C042E2">
      <w:start w:val="1"/>
      <w:numFmt w:val="bullet"/>
      <w:lvlText w:val=""/>
      <w:lvlJc w:val="left"/>
      <w:pPr>
        <w:ind w:left="2880" w:hanging="360"/>
      </w:pPr>
      <w:rPr>
        <w:rFonts w:ascii="Symbol" w:hAnsi="Symbol" w:hint="default"/>
      </w:rPr>
    </w:lvl>
    <w:lvl w:ilvl="4" w:tplc="6534192E">
      <w:start w:val="1"/>
      <w:numFmt w:val="bullet"/>
      <w:lvlText w:val="o"/>
      <w:lvlJc w:val="left"/>
      <w:pPr>
        <w:ind w:left="3600" w:hanging="360"/>
      </w:pPr>
      <w:rPr>
        <w:rFonts w:ascii="Courier New" w:hAnsi="Courier New" w:hint="default"/>
      </w:rPr>
    </w:lvl>
    <w:lvl w:ilvl="5" w:tplc="719CF534">
      <w:start w:val="1"/>
      <w:numFmt w:val="bullet"/>
      <w:lvlText w:val=""/>
      <w:lvlJc w:val="left"/>
      <w:pPr>
        <w:ind w:left="4320" w:hanging="360"/>
      </w:pPr>
      <w:rPr>
        <w:rFonts w:ascii="Wingdings" w:hAnsi="Wingdings" w:hint="default"/>
      </w:rPr>
    </w:lvl>
    <w:lvl w:ilvl="6" w:tplc="711CAA20">
      <w:start w:val="1"/>
      <w:numFmt w:val="bullet"/>
      <w:lvlText w:val=""/>
      <w:lvlJc w:val="left"/>
      <w:pPr>
        <w:ind w:left="5040" w:hanging="360"/>
      </w:pPr>
      <w:rPr>
        <w:rFonts w:ascii="Symbol" w:hAnsi="Symbol" w:hint="default"/>
      </w:rPr>
    </w:lvl>
    <w:lvl w:ilvl="7" w:tplc="2ABEFF7A">
      <w:start w:val="1"/>
      <w:numFmt w:val="bullet"/>
      <w:lvlText w:val="o"/>
      <w:lvlJc w:val="left"/>
      <w:pPr>
        <w:ind w:left="5760" w:hanging="360"/>
      </w:pPr>
      <w:rPr>
        <w:rFonts w:ascii="Courier New" w:hAnsi="Courier New" w:hint="default"/>
      </w:rPr>
    </w:lvl>
    <w:lvl w:ilvl="8" w:tplc="7CC4E6B2">
      <w:start w:val="1"/>
      <w:numFmt w:val="bullet"/>
      <w:lvlText w:val=""/>
      <w:lvlJc w:val="left"/>
      <w:pPr>
        <w:ind w:left="6480" w:hanging="360"/>
      </w:pPr>
      <w:rPr>
        <w:rFonts w:ascii="Wingdings" w:hAnsi="Wingdings" w:hint="default"/>
      </w:rPr>
    </w:lvl>
  </w:abstractNum>
  <w:abstractNum w:abstractNumId="2" w15:restartNumberingAfterBreak="0">
    <w:nsid w:val="0D2D2E24"/>
    <w:multiLevelType w:val="hybridMultilevel"/>
    <w:tmpl w:val="D77AF978"/>
    <w:lvl w:ilvl="0" w:tplc="33DAB8F2">
      <w:start w:val="1"/>
      <w:numFmt w:val="bullet"/>
      <w:lvlText w:val=""/>
      <w:lvlJc w:val="left"/>
      <w:pPr>
        <w:ind w:left="720" w:hanging="360"/>
      </w:pPr>
      <w:rPr>
        <w:rFonts w:ascii="Wingdings" w:hAnsi="Wingdings" w:hint="default"/>
      </w:rPr>
    </w:lvl>
    <w:lvl w:ilvl="1" w:tplc="9FEA7656">
      <w:start w:val="1"/>
      <w:numFmt w:val="bullet"/>
      <w:lvlText w:val="o"/>
      <w:lvlJc w:val="left"/>
      <w:pPr>
        <w:ind w:left="1440" w:hanging="360"/>
      </w:pPr>
      <w:rPr>
        <w:rFonts w:ascii="Courier New" w:hAnsi="Courier New" w:hint="default"/>
      </w:rPr>
    </w:lvl>
    <w:lvl w:ilvl="2" w:tplc="3CB08F48">
      <w:start w:val="1"/>
      <w:numFmt w:val="bullet"/>
      <w:lvlText w:val=""/>
      <w:lvlJc w:val="left"/>
      <w:pPr>
        <w:ind w:left="2160" w:hanging="360"/>
      </w:pPr>
      <w:rPr>
        <w:rFonts w:ascii="Wingdings" w:hAnsi="Wingdings" w:hint="default"/>
      </w:rPr>
    </w:lvl>
    <w:lvl w:ilvl="3" w:tplc="42B47CDC">
      <w:start w:val="1"/>
      <w:numFmt w:val="bullet"/>
      <w:lvlText w:val=""/>
      <w:lvlJc w:val="left"/>
      <w:pPr>
        <w:ind w:left="2880" w:hanging="360"/>
      </w:pPr>
      <w:rPr>
        <w:rFonts w:ascii="Symbol" w:hAnsi="Symbol" w:hint="default"/>
      </w:rPr>
    </w:lvl>
    <w:lvl w:ilvl="4" w:tplc="9750416C">
      <w:start w:val="1"/>
      <w:numFmt w:val="bullet"/>
      <w:lvlText w:val="o"/>
      <w:lvlJc w:val="left"/>
      <w:pPr>
        <w:ind w:left="3600" w:hanging="360"/>
      </w:pPr>
      <w:rPr>
        <w:rFonts w:ascii="Courier New" w:hAnsi="Courier New" w:hint="default"/>
      </w:rPr>
    </w:lvl>
    <w:lvl w:ilvl="5" w:tplc="60483FB4">
      <w:start w:val="1"/>
      <w:numFmt w:val="bullet"/>
      <w:lvlText w:val=""/>
      <w:lvlJc w:val="left"/>
      <w:pPr>
        <w:ind w:left="4320" w:hanging="360"/>
      </w:pPr>
      <w:rPr>
        <w:rFonts w:ascii="Wingdings" w:hAnsi="Wingdings" w:hint="default"/>
      </w:rPr>
    </w:lvl>
    <w:lvl w:ilvl="6" w:tplc="5EFA2BB8">
      <w:start w:val="1"/>
      <w:numFmt w:val="bullet"/>
      <w:lvlText w:val=""/>
      <w:lvlJc w:val="left"/>
      <w:pPr>
        <w:ind w:left="5040" w:hanging="360"/>
      </w:pPr>
      <w:rPr>
        <w:rFonts w:ascii="Symbol" w:hAnsi="Symbol" w:hint="default"/>
      </w:rPr>
    </w:lvl>
    <w:lvl w:ilvl="7" w:tplc="8E024662">
      <w:start w:val="1"/>
      <w:numFmt w:val="bullet"/>
      <w:lvlText w:val="o"/>
      <w:lvlJc w:val="left"/>
      <w:pPr>
        <w:ind w:left="5760" w:hanging="360"/>
      </w:pPr>
      <w:rPr>
        <w:rFonts w:ascii="Courier New" w:hAnsi="Courier New" w:hint="default"/>
      </w:rPr>
    </w:lvl>
    <w:lvl w:ilvl="8" w:tplc="86A04C96">
      <w:start w:val="1"/>
      <w:numFmt w:val="bullet"/>
      <w:lvlText w:val=""/>
      <w:lvlJc w:val="left"/>
      <w:pPr>
        <w:ind w:left="6480" w:hanging="360"/>
      </w:pPr>
      <w:rPr>
        <w:rFonts w:ascii="Wingdings" w:hAnsi="Wingdings" w:hint="default"/>
      </w:rPr>
    </w:lvl>
  </w:abstractNum>
  <w:abstractNum w:abstractNumId="3" w15:restartNumberingAfterBreak="0">
    <w:nsid w:val="2C8CCC09"/>
    <w:multiLevelType w:val="hybridMultilevel"/>
    <w:tmpl w:val="39F00BF4"/>
    <w:lvl w:ilvl="0" w:tplc="0AE8BED2">
      <w:start w:val="1"/>
      <w:numFmt w:val="bullet"/>
      <w:lvlText w:val=""/>
      <w:lvlJc w:val="left"/>
      <w:pPr>
        <w:ind w:left="720" w:hanging="360"/>
      </w:pPr>
      <w:rPr>
        <w:rFonts w:ascii="Wingdings" w:hAnsi="Wingdings" w:hint="default"/>
      </w:rPr>
    </w:lvl>
    <w:lvl w:ilvl="1" w:tplc="F5B609B0">
      <w:start w:val="1"/>
      <w:numFmt w:val="bullet"/>
      <w:lvlText w:val="o"/>
      <w:lvlJc w:val="left"/>
      <w:pPr>
        <w:ind w:left="1440" w:hanging="360"/>
      </w:pPr>
      <w:rPr>
        <w:rFonts w:ascii="Courier New" w:hAnsi="Courier New" w:hint="default"/>
      </w:rPr>
    </w:lvl>
    <w:lvl w:ilvl="2" w:tplc="FA309124">
      <w:start w:val="1"/>
      <w:numFmt w:val="bullet"/>
      <w:lvlText w:val=""/>
      <w:lvlJc w:val="left"/>
      <w:pPr>
        <w:ind w:left="2160" w:hanging="360"/>
      </w:pPr>
      <w:rPr>
        <w:rFonts w:ascii="Wingdings" w:hAnsi="Wingdings" w:hint="default"/>
      </w:rPr>
    </w:lvl>
    <w:lvl w:ilvl="3" w:tplc="761EE8E0">
      <w:start w:val="1"/>
      <w:numFmt w:val="bullet"/>
      <w:lvlText w:val=""/>
      <w:lvlJc w:val="left"/>
      <w:pPr>
        <w:ind w:left="2880" w:hanging="360"/>
      </w:pPr>
      <w:rPr>
        <w:rFonts w:ascii="Symbol" w:hAnsi="Symbol" w:hint="default"/>
      </w:rPr>
    </w:lvl>
    <w:lvl w:ilvl="4" w:tplc="9BC09318">
      <w:start w:val="1"/>
      <w:numFmt w:val="bullet"/>
      <w:lvlText w:val="o"/>
      <w:lvlJc w:val="left"/>
      <w:pPr>
        <w:ind w:left="3600" w:hanging="360"/>
      </w:pPr>
      <w:rPr>
        <w:rFonts w:ascii="Courier New" w:hAnsi="Courier New" w:hint="default"/>
      </w:rPr>
    </w:lvl>
    <w:lvl w:ilvl="5" w:tplc="A84855AE">
      <w:start w:val="1"/>
      <w:numFmt w:val="bullet"/>
      <w:lvlText w:val=""/>
      <w:lvlJc w:val="left"/>
      <w:pPr>
        <w:ind w:left="4320" w:hanging="360"/>
      </w:pPr>
      <w:rPr>
        <w:rFonts w:ascii="Wingdings" w:hAnsi="Wingdings" w:hint="default"/>
      </w:rPr>
    </w:lvl>
    <w:lvl w:ilvl="6" w:tplc="85824B08">
      <w:start w:val="1"/>
      <w:numFmt w:val="bullet"/>
      <w:lvlText w:val=""/>
      <w:lvlJc w:val="left"/>
      <w:pPr>
        <w:ind w:left="5040" w:hanging="360"/>
      </w:pPr>
      <w:rPr>
        <w:rFonts w:ascii="Symbol" w:hAnsi="Symbol" w:hint="default"/>
      </w:rPr>
    </w:lvl>
    <w:lvl w:ilvl="7" w:tplc="F93E62CA">
      <w:start w:val="1"/>
      <w:numFmt w:val="bullet"/>
      <w:lvlText w:val="o"/>
      <w:lvlJc w:val="left"/>
      <w:pPr>
        <w:ind w:left="5760" w:hanging="360"/>
      </w:pPr>
      <w:rPr>
        <w:rFonts w:ascii="Courier New" w:hAnsi="Courier New" w:hint="default"/>
      </w:rPr>
    </w:lvl>
    <w:lvl w:ilvl="8" w:tplc="46080BD4">
      <w:start w:val="1"/>
      <w:numFmt w:val="bullet"/>
      <w:lvlText w:val=""/>
      <w:lvlJc w:val="left"/>
      <w:pPr>
        <w:ind w:left="6480" w:hanging="360"/>
      </w:pPr>
      <w:rPr>
        <w:rFonts w:ascii="Wingdings" w:hAnsi="Wingdings" w:hint="default"/>
      </w:rPr>
    </w:lvl>
  </w:abstractNum>
  <w:abstractNum w:abstractNumId="4" w15:restartNumberingAfterBreak="0">
    <w:nsid w:val="344D2BE1"/>
    <w:multiLevelType w:val="hybridMultilevel"/>
    <w:tmpl w:val="41FA7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1106D"/>
    <w:multiLevelType w:val="hybridMultilevel"/>
    <w:tmpl w:val="B9FA3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74FCE0E"/>
    <w:multiLevelType w:val="hybridMultilevel"/>
    <w:tmpl w:val="99D622B6"/>
    <w:lvl w:ilvl="0" w:tplc="E488C8B0">
      <w:start w:val="1"/>
      <w:numFmt w:val="bullet"/>
      <w:lvlText w:val=""/>
      <w:lvlJc w:val="left"/>
      <w:pPr>
        <w:ind w:left="720" w:hanging="360"/>
      </w:pPr>
      <w:rPr>
        <w:rFonts w:ascii="Wingdings" w:hAnsi="Wingdings" w:hint="default"/>
      </w:rPr>
    </w:lvl>
    <w:lvl w:ilvl="1" w:tplc="BA2E0312">
      <w:start w:val="1"/>
      <w:numFmt w:val="bullet"/>
      <w:lvlText w:val="o"/>
      <w:lvlJc w:val="left"/>
      <w:pPr>
        <w:ind w:left="1440" w:hanging="360"/>
      </w:pPr>
      <w:rPr>
        <w:rFonts w:ascii="Courier New" w:hAnsi="Courier New" w:hint="default"/>
      </w:rPr>
    </w:lvl>
    <w:lvl w:ilvl="2" w:tplc="1B04D102">
      <w:start w:val="1"/>
      <w:numFmt w:val="bullet"/>
      <w:lvlText w:val=""/>
      <w:lvlJc w:val="left"/>
      <w:pPr>
        <w:ind w:left="2160" w:hanging="360"/>
      </w:pPr>
      <w:rPr>
        <w:rFonts w:ascii="Wingdings" w:hAnsi="Wingdings" w:hint="default"/>
      </w:rPr>
    </w:lvl>
    <w:lvl w:ilvl="3" w:tplc="C376292E">
      <w:start w:val="1"/>
      <w:numFmt w:val="bullet"/>
      <w:lvlText w:val=""/>
      <w:lvlJc w:val="left"/>
      <w:pPr>
        <w:ind w:left="2880" w:hanging="360"/>
      </w:pPr>
      <w:rPr>
        <w:rFonts w:ascii="Symbol" w:hAnsi="Symbol" w:hint="default"/>
      </w:rPr>
    </w:lvl>
    <w:lvl w:ilvl="4" w:tplc="47D646F0">
      <w:start w:val="1"/>
      <w:numFmt w:val="bullet"/>
      <w:lvlText w:val="o"/>
      <w:lvlJc w:val="left"/>
      <w:pPr>
        <w:ind w:left="3600" w:hanging="360"/>
      </w:pPr>
      <w:rPr>
        <w:rFonts w:ascii="Courier New" w:hAnsi="Courier New" w:hint="default"/>
      </w:rPr>
    </w:lvl>
    <w:lvl w:ilvl="5" w:tplc="E73EBF6E">
      <w:start w:val="1"/>
      <w:numFmt w:val="bullet"/>
      <w:lvlText w:val=""/>
      <w:lvlJc w:val="left"/>
      <w:pPr>
        <w:ind w:left="4320" w:hanging="360"/>
      </w:pPr>
      <w:rPr>
        <w:rFonts w:ascii="Wingdings" w:hAnsi="Wingdings" w:hint="default"/>
      </w:rPr>
    </w:lvl>
    <w:lvl w:ilvl="6" w:tplc="565A5204">
      <w:start w:val="1"/>
      <w:numFmt w:val="bullet"/>
      <w:lvlText w:val=""/>
      <w:lvlJc w:val="left"/>
      <w:pPr>
        <w:ind w:left="5040" w:hanging="360"/>
      </w:pPr>
      <w:rPr>
        <w:rFonts w:ascii="Symbol" w:hAnsi="Symbol" w:hint="default"/>
      </w:rPr>
    </w:lvl>
    <w:lvl w:ilvl="7" w:tplc="FBF8148A">
      <w:start w:val="1"/>
      <w:numFmt w:val="bullet"/>
      <w:lvlText w:val="o"/>
      <w:lvlJc w:val="left"/>
      <w:pPr>
        <w:ind w:left="5760" w:hanging="360"/>
      </w:pPr>
      <w:rPr>
        <w:rFonts w:ascii="Courier New" w:hAnsi="Courier New" w:hint="default"/>
      </w:rPr>
    </w:lvl>
    <w:lvl w:ilvl="8" w:tplc="74F6822A">
      <w:start w:val="1"/>
      <w:numFmt w:val="bullet"/>
      <w:lvlText w:val=""/>
      <w:lvlJc w:val="left"/>
      <w:pPr>
        <w:ind w:left="6480" w:hanging="360"/>
      </w:pPr>
      <w:rPr>
        <w:rFonts w:ascii="Wingdings" w:hAnsi="Wingdings" w:hint="default"/>
      </w:rPr>
    </w:lvl>
  </w:abstractNum>
  <w:abstractNum w:abstractNumId="7" w15:restartNumberingAfterBreak="0">
    <w:nsid w:val="4FAB3D99"/>
    <w:multiLevelType w:val="hybridMultilevel"/>
    <w:tmpl w:val="70E6A900"/>
    <w:lvl w:ilvl="0" w:tplc="02164950">
      <w:start w:val="1"/>
      <w:numFmt w:val="bullet"/>
      <w:lvlText w:val=""/>
      <w:lvlJc w:val="left"/>
      <w:pPr>
        <w:ind w:left="720" w:hanging="360"/>
      </w:pPr>
      <w:rPr>
        <w:rFonts w:ascii="Wingdings" w:hAnsi="Wingdings" w:hint="default"/>
      </w:rPr>
    </w:lvl>
    <w:lvl w:ilvl="1" w:tplc="F154AB88">
      <w:start w:val="1"/>
      <w:numFmt w:val="bullet"/>
      <w:lvlText w:val="o"/>
      <w:lvlJc w:val="left"/>
      <w:pPr>
        <w:ind w:left="1440" w:hanging="360"/>
      </w:pPr>
      <w:rPr>
        <w:rFonts w:ascii="Courier New" w:hAnsi="Courier New" w:hint="default"/>
      </w:rPr>
    </w:lvl>
    <w:lvl w:ilvl="2" w:tplc="FFF27072">
      <w:start w:val="1"/>
      <w:numFmt w:val="bullet"/>
      <w:lvlText w:val=""/>
      <w:lvlJc w:val="left"/>
      <w:pPr>
        <w:ind w:left="2160" w:hanging="360"/>
      </w:pPr>
      <w:rPr>
        <w:rFonts w:ascii="Wingdings" w:hAnsi="Wingdings" w:hint="default"/>
      </w:rPr>
    </w:lvl>
    <w:lvl w:ilvl="3" w:tplc="3F086438">
      <w:start w:val="1"/>
      <w:numFmt w:val="bullet"/>
      <w:lvlText w:val=""/>
      <w:lvlJc w:val="left"/>
      <w:pPr>
        <w:ind w:left="2880" w:hanging="360"/>
      </w:pPr>
      <w:rPr>
        <w:rFonts w:ascii="Symbol" w:hAnsi="Symbol" w:hint="default"/>
      </w:rPr>
    </w:lvl>
    <w:lvl w:ilvl="4" w:tplc="3C70FAA4">
      <w:start w:val="1"/>
      <w:numFmt w:val="bullet"/>
      <w:lvlText w:val="o"/>
      <w:lvlJc w:val="left"/>
      <w:pPr>
        <w:ind w:left="3600" w:hanging="360"/>
      </w:pPr>
      <w:rPr>
        <w:rFonts w:ascii="Courier New" w:hAnsi="Courier New" w:hint="default"/>
      </w:rPr>
    </w:lvl>
    <w:lvl w:ilvl="5" w:tplc="1C30B05A">
      <w:start w:val="1"/>
      <w:numFmt w:val="bullet"/>
      <w:lvlText w:val=""/>
      <w:lvlJc w:val="left"/>
      <w:pPr>
        <w:ind w:left="4320" w:hanging="360"/>
      </w:pPr>
      <w:rPr>
        <w:rFonts w:ascii="Wingdings" w:hAnsi="Wingdings" w:hint="default"/>
      </w:rPr>
    </w:lvl>
    <w:lvl w:ilvl="6" w:tplc="1B16728C">
      <w:start w:val="1"/>
      <w:numFmt w:val="bullet"/>
      <w:lvlText w:val=""/>
      <w:lvlJc w:val="left"/>
      <w:pPr>
        <w:ind w:left="5040" w:hanging="360"/>
      </w:pPr>
      <w:rPr>
        <w:rFonts w:ascii="Symbol" w:hAnsi="Symbol" w:hint="default"/>
      </w:rPr>
    </w:lvl>
    <w:lvl w:ilvl="7" w:tplc="01684374">
      <w:start w:val="1"/>
      <w:numFmt w:val="bullet"/>
      <w:lvlText w:val="o"/>
      <w:lvlJc w:val="left"/>
      <w:pPr>
        <w:ind w:left="5760" w:hanging="360"/>
      </w:pPr>
      <w:rPr>
        <w:rFonts w:ascii="Courier New" w:hAnsi="Courier New" w:hint="default"/>
      </w:rPr>
    </w:lvl>
    <w:lvl w:ilvl="8" w:tplc="0EF88C5E">
      <w:start w:val="1"/>
      <w:numFmt w:val="bullet"/>
      <w:lvlText w:val=""/>
      <w:lvlJc w:val="left"/>
      <w:pPr>
        <w:ind w:left="6480" w:hanging="360"/>
      </w:pPr>
      <w:rPr>
        <w:rFonts w:ascii="Wingdings" w:hAnsi="Wingdings" w:hint="default"/>
      </w:rPr>
    </w:lvl>
  </w:abstractNum>
  <w:abstractNum w:abstractNumId="8" w15:restartNumberingAfterBreak="0">
    <w:nsid w:val="6A6D97FE"/>
    <w:multiLevelType w:val="hybridMultilevel"/>
    <w:tmpl w:val="C7385AA4"/>
    <w:lvl w:ilvl="0" w:tplc="C84A5D38">
      <w:start w:val="1"/>
      <w:numFmt w:val="bullet"/>
      <w:lvlText w:val=""/>
      <w:lvlJc w:val="left"/>
      <w:pPr>
        <w:ind w:left="720" w:hanging="360"/>
      </w:pPr>
      <w:rPr>
        <w:rFonts w:ascii="Symbol" w:hAnsi="Symbol" w:hint="default"/>
      </w:rPr>
    </w:lvl>
    <w:lvl w:ilvl="1" w:tplc="82BE13A6">
      <w:start w:val="1"/>
      <w:numFmt w:val="lowerLetter"/>
      <w:lvlText w:val="%2."/>
      <w:lvlJc w:val="left"/>
      <w:pPr>
        <w:ind w:left="1440" w:hanging="360"/>
      </w:pPr>
    </w:lvl>
    <w:lvl w:ilvl="2" w:tplc="15E2BC76">
      <w:start w:val="1"/>
      <w:numFmt w:val="lowerRoman"/>
      <w:lvlText w:val="%3."/>
      <w:lvlJc w:val="right"/>
      <w:pPr>
        <w:ind w:left="2160" w:hanging="180"/>
      </w:pPr>
    </w:lvl>
    <w:lvl w:ilvl="3" w:tplc="B0044072">
      <w:start w:val="1"/>
      <w:numFmt w:val="decimal"/>
      <w:lvlText w:val="%4."/>
      <w:lvlJc w:val="left"/>
      <w:pPr>
        <w:ind w:left="2880" w:hanging="360"/>
      </w:pPr>
    </w:lvl>
    <w:lvl w:ilvl="4" w:tplc="DE2CE012">
      <w:start w:val="1"/>
      <w:numFmt w:val="lowerLetter"/>
      <w:lvlText w:val="%5."/>
      <w:lvlJc w:val="left"/>
      <w:pPr>
        <w:ind w:left="3600" w:hanging="360"/>
      </w:pPr>
    </w:lvl>
    <w:lvl w:ilvl="5" w:tplc="B448CC84">
      <w:start w:val="1"/>
      <w:numFmt w:val="lowerRoman"/>
      <w:lvlText w:val="%6."/>
      <w:lvlJc w:val="right"/>
      <w:pPr>
        <w:ind w:left="4320" w:hanging="180"/>
      </w:pPr>
    </w:lvl>
    <w:lvl w:ilvl="6" w:tplc="8D742658">
      <w:start w:val="1"/>
      <w:numFmt w:val="decimal"/>
      <w:lvlText w:val="%7."/>
      <w:lvlJc w:val="left"/>
      <w:pPr>
        <w:ind w:left="5040" w:hanging="360"/>
      </w:pPr>
    </w:lvl>
    <w:lvl w:ilvl="7" w:tplc="8C087458">
      <w:start w:val="1"/>
      <w:numFmt w:val="lowerLetter"/>
      <w:lvlText w:val="%8."/>
      <w:lvlJc w:val="left"/>
      <w:pPr>
        <w:ind w:left="5760" w:hanging="360"/>
      </w:pPr>
    </w:lvl>
    <w:lvl w:ilvl="8" w:tplc="F8AA2D12">
      <w:start w:val="1"/>
      <w:numFmt w:val="lowerRoman"/>
      <w:lvlText w:val="%9."/>
      <w:lvlJc w:val="right"/>
      <w:pPr>
        <w:ind w:left="6480" w:hanging="180"/>
      </w:pPr>
    </w:lvl>
  </w:abstractNum>
  <w:abstractNum w:abstractNumId="9" w15:restartNumberingAfterBreak="0">
    <w:nsid w:val="71CBCB38"/>
    <w:multiLevelType w:val="hybridMultilevel"/>
    <w:tmpl w:val="57A82696"/>
    <w:lvl w:ilvl="0" w:tplc="C17C4A4A">
      <w:start w:val="1"/>
      <w:numFmt w:val="bullet"/>
      <w:lvlText w:val=""/>
      <w:lvlJc w:val="left"/>
      <w:pPr>
        <w:ind w:left="720" w:hanging="360"/>
      </w:pPr>
      <w:rPr>
        <w:rFonts w:ascii="Wingdings" w:hAnsi="Wingdings" w:hint="default"/>
      </w:rPr>
    </w:lvl>
    <w:lvl w:ilvl="1" w:tplc="76924F3A">
      <w:start w:val="1"/>
      <w:numFmt w:val="bullet"/>
      <w:lvlText w:val="o"/>
      <w:lvlJc w:val="left"/>
      <w:pPr>
        <w:ind w:left="1440" w:hanging="360"/>
      </w:pPr>
      <w:rPr>
        <w:rFonts w:ascii="Courier New" w:hAnsi="Courier New" w:hint="default"/>
      </w:rPr>
    </w:lvl>
    <w:lvl w:ilvl="2" w:tplc="C3B0C192">
      <w:start w:val="1"/>
      <w:numFmt w:val="bullet"/>
      <w:lvlText w:val=""/>
      <w:lvlJc w:val="left"/>
      <w:pPr>
        <w:ind w:left="2160" w:hanging="360"/>
      </w:pPr>
      <w:rPr>
        <w:rFonts w:ascii="Wingdings" w:hAnsi="Wingdings" w:hint="default"/>
      </w:rPr>
    </w:lvl>
    <w:lvl w:ilvl="3" w:tplc="6F601CC4">
      <w:start w:val="1"/>
      <w:numFmt w:val="bullet"/>
      <w:lvlText w:val=""/>
      <w:lvlJc w:val="left"/>
      <w:pPr>
        <w:ind w:left="2880" w:hanging="360"/>
      </w:pPr>
      <w:rPr>
        <w:rFonts w:ascii="Symbol" w:hAnsi="Symbol" w:hint="default"/>
      </w:rPr>
    </w:lvl>
    <w:lvl w:ilvl="4" w:tplc="FC46CB30">
      <w:start w:val="1"/>
      <w:numFmt w:val="bullet"/>
      <w:lvlText w:val="o"/>
      <w:lvlJc w:val="left"/>
      <w:pPr>
        <w:ind w:left="3600" w:hanging="360"/>
      </w:pPr>
      <w:rPr>
        <w:rFonts w:ascii="Courier New" w:hAnsi="Courier New" w:hint="default"/>
      </w:rPr>
    </w:lvl>
    <w:lvl w:ilvl="5" w:tplc="7F6A7C92">
      <w:start w:val="1"/>
      <w:numFmt w:val="bullet"/>
      <w:lvlText w:val=""/>
      <w:lvlJc w:val="left"/>
      <w:pPr>
        <w:ind w:left="4320" w:hanging="360"/>
      </w:pPr>
      <w:rPr>
        <w:rFonts w:ascii="Wingdings" w:hAnsi="Wingdings" w:hint="default"/>
      </w:rPr>
    </w:lvl>
    <w:lvl w:ilvl="6" w:tplc="8166CCA4">
      <w:start w:val="1"/>
      <w:numFmt w:val="bullet"/>
      <w:lvlText w:val=""/>
      <w:lvlJc w:val="left"/>
      <w:pPr>
        <w:ind w:left="5040" w:hanging="360"/>
      </w:pPr>
      <w:rPr>
        <w:rFonts w:ascii="Symbol" w:hAnsi="Symbol" w:hint="default"/>
      </w:rPr>
    </w:lvl>
    <w:lvl w:ilvl="7" w:tplc="6802A500">
      <w:start w:val="1"/>
      <w:numFmt w:val="bullet"/>
      <w:lvlText w:val="o"/>
      <w:lvlJc w:val="left"/>
      <w:pPr>
        <w:ind w:left="5760" w:hanging="360"/>
      </w:pPr>
      <w:rPr>
        <w:rFonts w:ascii="Courier New" w:hAnsi="Courier New" w:hint="default"/>
      </w:rPr>
    </w:lvl>
    <w:lvl w:ilvl="8" w:tplc="76283AA4">
      <w:start w:val="1"/>
      <w:numFmt w:val="bullet"/>
      <w:lvlText w:val=""/>
      <w:lvlJc w:val="left"/>
      <w:pPr>
        <w:ind w:left="6480" w:hanging="360"/>
      </w:pPr>
      <w:rPr>
        <w:rFonts w:ascii="Wingdings" w:hAnsi="Wingdings" w:hint="default"/>
      </w:rPr>
    </w:lvl>
  </w:abstractNum>
  <w:abstractNum w:abstractNumId="10" w15:restartNumberingAfterBreak="0">
    <w:nsid w:val="7215F78D"/>
    <w:multiLevelType w:val="hybridMultilevel"/>
    <w:tmpl w:val="5BAC5D0C"/>
    <w:lvl w:ilvl="0" w:tplc="016ABE2C">
      <w:start w:val="1"/>
      <w:numFmt w:val="bullet"/>
      <w:lvlText w:val=""/>
      <w:lvlJc w:val="left"/>
      <w:pPr>
        <w:ind w:left="720" w:hanging="360"/>
      </w:pPr>
      <w:rPr>
        <w:rFonts w:ascii="Wingdings" w:hAnsi="Wingdings" w:hint="default"/>
      </w:rPr>
    </w:lvl>
    <w:lvl w:ilvl="1" w:tplc="3E187616">
      <w:start w:val="1"/>
      <w:numFmt w:val="bullet"/>
      <w:lvlText w:val="o"/>
      <w:lvlJc w:val="left"/>
      <w:pPr>
        <w:ind w:left="1440" w:hanging="360"/>
      </w:pPr>
      <w:rPr>
        <w:rFonts w:ascii="Courier New" w:hAnsi="Courier New" w:hint="default"/>
      </w:rPr>
    </w:lvl>
    <w:lvl w:ilvl="2" w:tplc="99EC6DCA">
      <w:start w:val="1"/>
      <w:numFmt w:val="bullet"/>
      <w:lvlText w:val=""/>
      <w:lvlJc w:val="left"/>
      <w:pPr>
        <w:ind w:left="2160" w:hanging="360"/>
      </w:pPr>
      <w:rPr>
        <w:rFonts w:ascii="Wingdings" w:hAnsi="Wingdings" w:hint="default"/>
      </w:rPr>
    </w:lvl>
    <w:lvl w:ilvl="3" w:tplc="73F263FA">
      <w:start w:val="1"/>
      <w:numFmt w:val="bullet"/>
      <w:lvlText w:val=""/>
      <w:lvlJc w:val="left"/>
      <w:pPr>
        <w:ind w:left="2880" w:hanging="360"/>
      </w:pPr>
      <w:rPr>
        <w:rFonts w:ascii="Symbol" w:hAnsi="Symbol" w:hint="default"/>
      </w:rPr>
    </w:lvl>
    <w:lvl w:ilvl="4" w:tplc="D4FC4E96">
      <w:start w:val="1"/>
      <w:numFmt w:val="bullet"/>
      <w:lvlText w:val="o"/>
      <w:lvlJc w:val="left"/>
      <w:pPr>
        <w:ind w:left="3600" w:hanging="360"/>
      </w:pPr>
      <w:rPr>
        <w:rFonts w:ascii="Courier New" w:hAnsi="Courier New" w:hint="default"/>
      </w:rPr>
    </w:lvl>
    <w:lvl w:ilvl="5" w:tplc="567E8620">
      <w:start w:val="1"/>
      <w:numFmt w:val="bullet"/>
      <w:lvlText w:val=""/>
      <w:lvlJc w:val="left"/>
      <w:pPr>
        <w:ind w:left="4320" w:hanging="360"/>
      </w:pPr>
      <w:rPr>
        <w:rFonts w:ascii="Wingdings" w:hAnsi="Wingdings" w:hint="default"/>
      </w:rPr>
    </w:lvl>
    <w:lvl w:ilvl="6" w:tplc="FE3877F4">
      <w:start w:val="1"/>
      <w:numFmt w:val="bullet"/>
      <w:lvlText w:val=""/>
      <w:lvlJc w:val="left"/>
      <w:pPr>
        <w:ind w:left="5040" w:hanging="360"/>
      </w:pPr>
      <w:rPr>
        <w:rFonts w:ascii="Symbol" w:hAnsi="Symbol" w:hint="default"/>
      </w:rPr>
    </w:lvl>
    <w:lvl w:ilvl="7" w:tplc="5866C89C">
      <w:start w:val="1"/>
      <w:numFmt w:val="bullet"/>
      <w:lvlText w:val="o"/>
      <w:lvlJc w:val="left"/>
      <w:pPr>
        <w:ind w:left="5760" w:hanging="360"/>
      </w:pPr>
      <w:rPr>
        <w:rFonts w:ascii="Courier New" w:hAnsi="Courier New" w:hint="default"/>
      </w:rPr>
    </w:lvl>
    <w:lvl w:ilvl="8" w:tplc="B4F21F66">
      <w:start w:val="1"/>
      <w:numFmt w:val="bullet"/>
      <w:lvlText w:val=""/>
      <w:lvlJc w:val="left"/>
      <w:pPr>
        <w:ind w:left="6480" w:hanging="360"/>
      </w:pPr>
      <w:rPr>
        <w:rFonts w:ascii="Wingdings" w:hAnsi="Wingdings" w:hint="default"/>
      </w:rPr>
    </w:lvl>
  </w:abstractNum>
  <w:num w:numId="1" w16cid:durableId="200636540">
    <w:abstractNumId w:val="10"/>
  </w:num>
  <w:num w:numId="2" w16cid:durableId="1819955354">
    <w:abstractNumId w:val="9"/>
  </w:num>
  <w:num w:numId="3" w16cid:durableId="1624382826">
    <w:abstractNumId w:val="7"/>
  </w:num>
  <w:num w:numId="4" w16cid:durableId="527451494">
    <w:abstractNumId w:val="3"/>
  </w:num>
  <w:num w:numId="5" w16cid:durableId="2138179936">
    <w:abstractNumId w:val="2"/>
  </w:num>
  <w:num w:numId="6" w16cid:durableId="716665187">
    <w:abstractNumId w:val="6"/>
  </w:num>
  <w:num w:numId="7" w16cid:durableId="572664155">
    <w:abstractNumId w:val="1"/>
  </w:num>
  <w:num w:numId="8" w16cid:durableId="110706047">
    <w:abstractNumId w:val="0"/>
  </w:num>
  <w:num w:numId="9" w16cid:durableId="1063600806">
    <w:abstractNumId w:val="8"/>
  </w:num>
  <w:num w:numId="10" w16cid:durableId="1603612903">
    <w:abstractNumId w:val="5"/>
  </w:num>
  <w:num w:numId="11" w16cid:durableId="316880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A0DC63"/>
    <w:rsid w:val="0003361C"/>
    <w:rsid w:val="00076828"/>
    <w:rsid w:val="000C0AC4"/>
    <w:rsid w:val="00107B28"/>
    <w:rsid w:val="001306A5"/>
    <w:rsid w:val="00143233"/>
    <w:rsid w:val="001451D0"/>
    <w:rsid w:val="001A606C"/>
    <w:rsid w:val="001B11B2"/>
    <w:rsid w:val="001B16FE"/>
    <w:rsid w:val="001C5DF1"/>
    <w:rsid w:val="001D3883"/>
    <w:rsid w:val="002208A0"/>
    <w:rsid w:val="002549E6"/>
    <w:rsid w:val="002601FD"/>
    <w:rsid w:val="002A20A5"/>
    <w:rsid w:val="002A3696"/>
    <w:rsid w:val="002F1DBE"/>
    <w:rsid w:val="00365344"/>
    <w:rsid w:val="003754A2"/>
    <w:rsid w:val="003B10B4"/>
    <w:rsid w:val="003F605A"/>
    <w:rsid w:val="004441A3"/>
    <w:rsid w:val="004738D9"/>
    <w:rsid w:val="00491A12"/>
    <w:rsid w:val="004935A2"/>
    <w:rsid w:val="004A2945"/>
    <w:rsid w:val="004A46FC"/>
    <w:rsid w:val="004C1BBC"/>
    <w:rsid w:val="004C5098"/>
    <w:rsid w:val="00500348"/>
    <w:rsid w:val="00533C25"/>
    <w:rsid w:val="00577212"/>
    <w:rsid w:val="005D1F7C"/>
    <w:rsid w:val="005F67DA"/>
    <w:rsid w:val="0064205C"/>
    <w:rsid w:val="00643DD2"/>
    <w:rsid w:val="006955D6"/>
    <w:rsid w:val="00697E45"/>
    <w:rsid w:val="006E18BF"/>
    <w:rsid w:val="00735C43"/>
    <w:rsid w:val="0079017B"/>
    <w:rsid w:val="007947ED"/>
    <w:rsid w:val="007B3A28"/>
    <w:rsid w:val="00823426"/>
    <w:rsid w:val="00842C56"/>
    <w:rsid w:val="008478B8"/>
    <w:rsid w:val="008762F6"/>
    <w:rsid w:val="008D0F21"/>
    <w:rsid w:val="008D257C"/>
    <w:rsid w:val="008E5B20"/>
    <w:rsid w:val="009419F5"/>
    <w:rsid w:val="0099497D"/>
    <w:rsid w:val="00A856A3"/>
    <w:rsid w:val="00AB6094"/>
    <w:rsid w:val="00AC7797"/>
    <w:rsid w:val="00AD0FF4"/>
    <w:rsid w:val="00AD57BC"/>
    <w:rsid w:val="00B128EC"/>
    <w:rsid w:val="00B2619B"/>
    <w:rsid w:val="00B377C1"/>
    <w:rsid w:val="00B846FF"/>
    <w:rsid w:val="00B84981"/>
    <w:rsid w:val="00BD4C28"/>
    <w:rsid w:val="00BD52A0"/>
    <w:rsid w:val="00C06AC3"/>
    <w:rsid w:val="00C54D79"/>
    <w:rsid w:val="00C84CE0"/>
    <w:rsid w:val="00CA4E27"/>
    <w:rsid w:val="00CE2FA5"/>
    <w:rsid w:val="00CF204A"/>
    <w:rsid w:val="00DB4059"/>
    <w:rsid w:val="00DB5097"/>
    <w:rsid w:val="00DB70BC"/>
    <w:rsid w:val="00E2322F"/>
    <w:rsid w:val="00E65F45"/>
    <w:rsid w:val="00EB17FA"/>
    <w:rsid w:val="00EB22B4"/>
    <w:rsid w:val="00F03345"/>
    <w:rsid w:val="00F438B7"/>
    <w:rsid w:val="00F728E4"/>
    <w:rsid w:val="00FD2A2D"/>
    <w:rsid w:val="43A0DC63"/>
    <w:rsid w:val="78532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59F0"/>
  <w15:chartTrackingRefBased/>
  <w15:docId w15:val="{4911273F-CEFA-4481-B755-013148B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5F6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varicella-chickenpox-laboratory-reports"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https://www.gov.uk/government/publications/chickenpox-varicella-the-green-book-chapter-3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ho.int/news-room/fact-sheets/detail/varicella-(chickenpo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hs.uk" TargetMode="External"/><Relationship Id="rId5" Type="http://schemas.openxmlformats.org/officeDocument/2006/relationships/webSettings" Target="webSettings.xml"/><Relationship Id="rId15" Type="http://schemas.openxmlformats.org/officeDocument/2006/relationships/hyperlink" Target="https://www.gov.uk/guidance/surveillance-of-infectious-diseases" TargetMode="External"/><Relationship Id="rId10" Type="http://schemas.openxmlformats.org/officeDocument/2006/relationships/hyperlink" Target="http://Chickenpox:%20public%20health%20management%20and%20guidance%20-%20GOV.UK%20(www.gov.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dc.gov/chickenpox/index.html" TargetMode="External"/><Relationship Id="rId14" Type="http://schemas.openxmlformats.org/officeDocument/2006/relationships/hyperlink" Target="https://www.gov.uk/government/collections/vaccine-coverag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10FCC-D18F-4856-A70C-F35352FCF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3317</TotalTime>
  <Pages>8</Pages>
  <Words>1587</Words>
  <Characters>9049</Characters>
  <Application>Microsoft Office Word</Application>
  <DocSecurity>0</DocSecurity>
  <Lines>75</Lines>
  <Paragraphs>21</Paragraphs>
  <ScaleCrop>false</ScaleCrop>
  <Company/>
  <LinksUpToDate>false</LinksUpToDate>
  <CharactersWithSpaces>10615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Elena Draghici (2214911)</cp:lastModifiedBy>
  <cp:revision>80</cp:revision>
  <dcterms:created xsi:type="dcterms:W3CDTF">2023-04-21T21:15:00Z</dcterms:created>
  <dcterms:modified xsi:type="dcterms:W3CDTF">2023-04-24T20:11:00Z</dcterms:modified>
</cp:coreProperties>
</file>