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21065" w14:textId="37C17EAD" w:rsidR="00183E47" w:rsidRPr="00790EA9" w:rsidRDefault="00183E47">
      <w:pPr>
        <w:rPr>
          <w:rFonts w:ascii="Arial" w:hAnsi="Arial" w:cs="Arial"/>
          <w:sz w:val="24"/>
          <w:szCs w:val="24"/>
        </w:rPr>
      </w:pPr>
      <w:r w:rsidRPr="00790EA9">
        <w:rPr>
          <w:rFonts w:ascii="Arial" w:hAnsi="Arial" w:cs="Arial"/>
          <w:sz w:val="24"/>
          <w:szCs w:val="24"/>
        </w:rPr>
        <w:t xml:space="preserve">Within UK law, there are several arguments </w:t>
      </w:r>
      <w:r w:rsidR="0032543D" w:rsidRPr="00790EA9">
        <w:rPr>
          <w:rFonts w:ascii="Arial" w:hAnsi="Arial" w:cs="Arial"/>
          <w:sz w:val="24"/>
          <w:szCs w:val="24"/>
        </w:rPr>
        <w:t xml:space="preserve">which lead to </w:t>
      </w:r>
      <w:r w:rsidR="00076E06" w:rsidRPr="00790EA9">
        <w:rPr>
          <w:rFonts w:ascii="Arial" w:hAnsi="Arial" w:cs="Arial"/>
          <w:sz w:val="24"/>
          <w:szCs w:val="24"/>
        </w:rPr>
        <w:t xml:space="preserve">a </w:t>
      </w:r>
      <w:r w:rsidRPr="00790EA9">
        <w:rPr>
          <w:rFonts w:ascii="Arial" w:hAnsi="Arial" w:cs="Arial"/>
          <w:sz w:val="24"/>
          <w:szCs w:val="24"/>
        </w:rPr>
        <w:t>suggesti</w:t>
      </w:r>
      <w:r w:rsidR="00076E06" w:rsidRPr="00790EA9">
        <w:rPr>
          <w:rFonts w:ascii="Arial" w:hAnsi="Arial" w:cs="Arial"/>
          <w:sz w:val="24"/>
          <w:szCs w:val="24"/>
        </w:rPr>
        <w:t>on</w:t>
      </w:r>
      <w:r w:rsidRPr="00790EA9">
        <w:rPr>
          <w:rFonts w:ascii="Arial" w:hAnsi="Arial" w:cs="Arial"/>
          <w:sz w:val="24"/>
          <w:szCs w:val="24"/>
        </w:rPr>
        <w:t xml:space="preserve"> that statutory interpretation diminishes the status of legislation as the primary source of</w:t>
      </w:r>
      <w:r w:rsidR="00076E06" w:rsidRPr="00790EA9">
        <w:rPr>
          <w:rFonts w:ascii="Arial" w:hAnsi="Arial" w:cs="Arial"/>
          <w:sz w:val="24"/>
          <w:szCs w:val="24"/>
        </w:rPr>
        <w:t xml:space="preserve"> UK</w:t>
      </w:r>
      <w:r w:rsidRPr="00790EA9">
        <w:rPr>
          <w:rFonts w:ascii="Arial" w:hAnsi="Arial" w:cs="Arial"/>
          <w:sz w:val="24"/>
          <w:szCs w:val="24"/>
        </w:rPr>
        <w:t xml:space="preserve"> law and several arguments suggesting otherwise.</w:t>
      </w:r>
    </w:p>
    <w:p w14:paraId="6DD7E4D5" w14:textId="1BA7E5E9" w:rsidR="00183E47" w:rsidRPr="00790EA9" w:rsidRDefault="00183E47">
      <w:pPr>
        <w:rPr>
          <w:rFonts w:ascii="Arial" w:hAnsi="Arial" w:cs="Arial"/>
          <w:sz w:val="24"/>
          <w:szCs w:val="24"/>
        </w:rPr>
      </w:pPr>
      <w:r w:rsidRPr="00790EA9">
        <w:rPr>
          <w:rFonts w:ascii="Arial" w:hAnsi="Arial" w:cs="Arial"/>
          <w:sz w:val="24"/>
          <w:szCs w:val="24"/>
        </w:rPr>
        <w:t>To begin</w:t>
      </w:r>
      <w:r w:rsidR="00076E06" w:rsidRPr="00790EA9">
        <w:rPr>
          <w:rFonts w:ascii="Arial" w:hAnsi="Arial" w:cs="Arial"/>
          <w:sz w:val="24"/>
          <w:szCs w:val="24"/>
        </w:rPr>
        <w:t xml:space="preserve"> with</w:t>
      </w:r>
      <w:r w:rsidRPr="00790EA9">
        <w:rPr>
          <w:rFonts w:ascii="Arial" w:hAnsi="Arial" w:cs="Arial"/>
          <w:sz w:val="24"/>
          <w:szCs w:val="24"/>
        </w:rPr>
        <w:t xml:space="preserve">, </w:t>
      </w:r>
      <w:r w:rsidR="00544199" w:rsidRPr="00790EA9">
        <w:rPr>
          <w:rFonts w:ascii="Arial" w:hAnsi="Arial" w:cs="Arial"/>
          <w:sz w:val="24"/>
          <w:szCs w:val="24"/>
        </w:rPr>
        <w:t>according to</w:t>
      </w:r>
      <w:r w:rsidR="00076E06" w:rsidRPr="00790EA9">
        <w:rPr>
          <w:rFonts w:ascii="Arial" w:hAnsi="Arial" w:cs="Arial"/>
          <w:sz w:val="24"/>
          <w:szCs w:val="24"/>
        </w:rPr>
        <w:t xml:space="preserve"> the source</w:t>
      </w:r>
      <w:r w:rsidR="00544199" w:rsidRPr="00790EA9">
        <w:rPr>
          <w:rFonts w:ascii="Arial" w:hAnsi="Arial" w:cs="Arial"/>
          <w:sz w:val="24"/>
          <w:szCs w:val="24"/>
        </w:rPr>
        <w:t xml:space="preserve"> Laver (2016), </w:t>
      </w:r>
      <w:r w:rsidRPr="00790EA9">
        <w:rPr>
          <w:rFonts w:ascii="Arial" w:hAnsi="Arial" w:cs="Arial"/>
          <w:sz w:val="24"/>
          <w:szCs w:val="24"/>
        </w:rPr>
        <w:t>when a case involves a statute, it is sometimes necessary to interpret the words of the statute. However, there are</w:t>
      </w:r>
      <w:r w:rsidR="003A7535" w:rsidRPr="00790EA9">
        <w:rPr>
          <w:rFonts w:ascii="Arial" w:hAnsi="Arial" w:cs="Arial"/>
          <w:sz w:val="24"/>
          <w:szCs w:val="24"/>
        </w:rPr>
        <w:t xml:space="preserve"> such</w:t>
      </w:r>
      <w:r w:rsidRPr="00790EA9">
        <w:rPr>
          <w:rFonts w:ascii="Arial" w:hAnsi="Arial" w:cs="Arial"/>
          <w:sz w:val="24"/>
          <w:szCs w:val="24"/>
        </w:rPr>
        <w:t xml:space="preserve"> times when the words of the statute have a plain and straightforward meaning. There may be a need for statutory interpretation when a given situation is complex and uncertain</w:t>
      </w:r>
      <w:r w:rsidR="00821C6A" w:rsidRPr="00790EA9">
        <w:rPr>
          <w:rFonts w:ascii="Arial" w:hAnsi="Arial" w:cs="Arial"/>
          <w:sz w:val="24"/>
          <w:szCs w:val="24"/>
        </w:rPr>
        <w:t xml:space="preserve"> enough</w:t>
      </w:r>
      <w:r w:rsidRPr="00790EA9">
        <w:rPr>
          <w:rFonts w:ascii="Arial" w:hAnsi="Arial" w:cs="Arial"/>
          <w:sz w:val="24"/>
          <w:szCs w:val="24"/>
        </w:rPr>
        <w:t xml:space="preserve">. Those who draft legislation do their best to create legislation that </w:t>
      </w:r>
      <w:r w:rsidR="00821C6A" w:rsidRPr="00790EA9">
        <w:rPr>
          <w:rFonts w:ascii="Arial" w:hAnsi="Arial" w:cs="Arial"/>
          <w:sz w:val="24"/>
          <w:szCs w:val="24"/>
        </w:rPr>
        <w:t>has a sense of</w:t>
      </w:r>
      <w:r w:rsidRPr="00790EA9">
        <w:rPr>
          <w:rFonts w:ascii="Arial" w:hAnsi="Arial" w:cs="Arial"/>
          <w:sz w:val="24"/>
          <w:szCs w:val="24"/>
        </w:rPr>
        <w:t xml:space="preserve"> cl</w:t>
      </w:r>
      <w:r w:rsidR="00821C6A" w:rsidRPr="00790EA9">
        <w:rPr>
          <w:rFonts w:ascii="Arial" w:hAnsi="Arial" w:cs="Arial"/>
          <w:sz w:val="24"/>
          <w:szCs w:val="24"/>
        </w:rPr>
        <w:t>arity</w:t>
      </w:r>
      <w:r w:rsidRPr="00790EA9">
        <w:rPr>
          <w:rFonts w:ascii="Arial" w:hAnsi="Arial" w:cs="Arial"/>
          <w:sz w:val="24"/>
          <w:szCs w:val="24"/>
        </w:rPr>
        <w:t xml:space="preserve"> and </w:t>
      </w:r>
      <w:r w:rsidR="00821C6A" w:rsidRPr="00790EA9">
        <w:rPr>
          <w:rFonts w:ascii="Arial" w:hAnsi="Arial" w:cs="Arial"/>
          <w:sz w:val="24"/>
          <w:szCs w:val="24"/>
        </w:rPr>
        <w:t xml:space="preserve">is </w:t>
      </w:r>
      <w:r w:rsidRPr="00790EA9">
        <w:rPr>
          <w:rFonts w:ascii="Arial" w:hAnsi="Arial" w:cs="Arial"/>
          <w:sz w:val="24"/>
          <w:szCs w:val="24"/>
        </w:rPr>
        <w:t>unambiguous within the framework of their extraordinary experience and drafting skills. In some</w:t>
      </w:r>
      <w:r w:rsidR="00821C6A" w:rsidRPr="00790EA9">
        <w:rPr>
          <w:rFonts w:ascii="Arial" w:hAnsi="Arial" w:cs="Arial"/>
          <w:sz w:val="24"/>
          <w:szCs w:val="24"/>
        </w:rPr>
        <w:t xml:space="preserve"> other</w:t>
      </w:r>
      <w:r w:rsidRPr="00790EA9">
        <w:rPr>
          <w:rFonts w:ascii="Arial" w:hAnsi="Arial" w:cs="Arial"/>
          <w:sz w:val="24"/>
          <w:szCs w:val="24"/>
        </w:rPr>
        <w:t xml:space="preserve"> cases, however, </w:t>
      </w:r>
      <w:proofErr w:type="gramStart"/>
      <w:r w:rsidRPr="00790EA9">
        <w:rPr>
          <w:rFonts w:ascii="Arial" w:hAnsi="Arial" w:cs="Arial"/>
          <w:sz w:val="24"/>
          <w:szCs w:val="24"/>
        </w:rPr>
        <w:t xml:space="preserve">the </w:t>
      </w:r>
      <w:r w:rsidR="00821C6A" w:rsidRPr="00790EA9">
        <w:rPr>
          <w:rFonts w:ascii="Arial" w:hAnsi="Arial" w:cs="Arial"/>
          <w:sz w:val="24"/>
          <w:szCs w:val="24"/>
        </w:rPr>
        <w:t>;aw</w:t>
      </w:r>
      <w:proofErr w:type="gramEnd"/>
      <w:r w:rsidR="00821C6A" w:rsidRPr="00790EA9">
        <w:rPr>
          <w:rFonts w:ascii="Arial" w:hAnsi="Arial" w:cs="Arial"/>
          <w:sz w:val="24"/>
          <w:szCs w:val="24"/>
        </w:rPr>
        <w:t xml:space="preserve"> which is written</w:t>
      </w:r>
      <w:r w:rsidRPr="00790EA9">
        <w:rPr>
          <w:rFonts w:ascii="Arial" w:hAnsi="Arial" w:cs="Arial"/>
          <w:sz w:val="24"/>
          <w:szCs w:val="24"/>
        </w:rPr>
        <w:t xml:space="preserve"> is not always clear.</w:t>
      </w:r>
      <w:r w:rsidR="00AE1317" w:rsidRPr="00790EA9">
        <w:rPr>
          <w:rFonts w:ascii="Arial" w:hAnsi="Arial" w:cs="Arial"/>
          <w:sz w:val="24"/>
          <w:szCs w:val="24"/>
        </w:rPr>
        <w:t xml:space="preserve"> </w:t>
      </w:r>
      <w:r w:rsidR="00AE1317" w:rsidRPr="00790EA9">
        <w:rPr>
          <w:rFonts w:ascii="Arial" w:hAnsi="Arial" w:cs="Arial"/>
          <w:sz w:val="24"/>
          <w:szCs w:val="24"/>
        </w:rPr>
        <w:t>Statutory interpretation is based on principles that do not appear in any statute. As a result of court decisions, they have developed</w:t>
      </w:r>
      <w:r w:rsidR="00AE1317" w:rsidRPr="00790EA9">
        <w:rPr>
          <w:rFonts w:ascii="Arial" w:hAnsi="Arial" w:cs="Arial"/>
          <w:sz w:val="24"/>
          <w:szCs w:val="24"/>
        </w:rPr>
        <w:t xml:space="preserve"> what s</w:t>
      </w:r>
      <w:r w:rsidR="00AE1317" w:rsidRPr="00790EA9">
        <w:rPr>
          <w:rFonts w:ascii="Arial" w:hAnsi="Arial" w:cs="Arial"/>
          <w:sz w:val="24"/>
          <w:szCs w:val="24"/>
        </w:rPr>
        <w:t>ome call these principles "rules", but they are more accurately described as different approaches to interpretation, which have received greater or lesser emphasis at different periods in our legal history.</w:t>
      </w:r>
      <w:r w:rsidR="00A7572C" w:rsidRPr="00790EA9">
        <w:rPr>
          <w:rFonts w:ascii="Arial" w:hAnsi="Arial" w:cs="Arial"/>
          <w:sz w:val="24"/>
          <w:szCs w:val="24"/>
        </w:rPr>
        <w:t xml:space="preserve"> </w:t>
      </w:r>
      <w:proofErr w:type="gramStart"/>
      <w:r w:rsidR="00A7572C" w:rsidRPr="00790EA9">
        <w:rPr>
          <w:rFonts w:ascii="Arial" w:hAnsi="Arial" w:cs="Arial"/>
          <w:sz w:val="24"/>
          <w:szCs w:val="24"/>
        </w:rPr>
        <w:t>In order for</w:t>
      </w:r>
      <w:proofErr w:type="gramEnd"/>
      <w:r w:rsidR="00A7572C" w:rsidRPr="00790EA9">
        <w:rPr>
          <w:rFonts w:ascii="Arial" w:hAnsi="Arial" w:cs="Arial"/>
          <w:sz w:val="24"/>
          <w:szCs w:val="24"/>
        </w:rPr>
        <w:t xml:space="preserve"> statutory interpretation to be effective, over time </w:t>
      </w:r>
      <w:r w:rsidR="00AE1317" w:rsidRPr="00790EA9">
        <w:rPr>
          <w:rFonts w:ascii="Arial" w:hAnsi="Arial" w:cs="Arial"/>
          <w:sz w:val="24"/>
          <w:szCs w:val="24"/>
        </w:rPr>
        <w:t xml:space="preserve">these </w:t>
      </w:r>
      <w:r w:rsidR="00A7572C" w:rsidRPr="00790EA9">
        <w:rPr>
          <w:rFonts w:ascii="Arial" w:hAnsi="Arial" w:cs="Arial"/>
          <w:sz w:val="24"/>
          <w:szCs w:val="24"/>
        </w:rPr>
        <w:t xml:space="preserve">three vital rules have been implemented in order for </w:t>
      </w:r>
      <w:r w:rsidR="00B671CB" w:rsidRPr="00790EA9">
        <w:rPr>
          <w:rFonts w:ascii="Arial" w:hAnsi="Arial" w:cs="Arial"/>
          <w:sz w:val="24"/>
          <w:szCs w:val="24"/>
        </w:rPr>
        <w:t>statutory interpretation to be effective. These rules consist of; the ‘Golden rule’, the ‘Literal rule’ and the ‘Mischief rule’</w:t>
      </w:r>
      <w:r w:rsidR="00900E71" w:rsidRPr="00790EA9">
        <w:rPr>
          <w:rFonts w:ascii="Arial" w:hAnsi="Arial" w:cs="Arial"/>
          <w:sz w:val="24"/>
          <w:szCs w:val="24"/>
        </w:rPr>
        <w:t xml:space="preserve">, stated by </w:t>
      </w:r>
      <w:r w:rsidR="00900E71" w:rsidRPr="00790EA9">
        <w:rPr>
          <w:rFonts w:ascii="Arial" w:hAnsi="Arial" w:cs="Arial"/>
          <w:sz w:val="24"/>
          <w:szCs w:val="24"/>
        </w:rPr>
        <w:t>Webley</w:t>
      </w:r>
      <w:r w:rsidR="00900E71" w:rsidRPr="00790EA9">
        <w:rPr>
          <w:rFonts w:ascii="Arial" w:hAnsi="Arial" w:cs="Arial"/>
          <w:sz w:val="24"/>
          <w:szCs w:val="24"/>
        </w:rPr>
        <w:t xml:space="preserve"> (</w:t>
      </w:r>
      <w:r w:rsidR="00900E71" w:rsidRPr="00790EA9">
        <w:rPr>
          <w:rFonts w:ascii="Arial" w:hAnsi="Arial" w:cs="Arial"/>
          <w:sz w:val="24"/>
          <w:szCs w:val="24"/>
        </w:rPr>
        <w:t>2015)</w:t>
      </w:r>
      <w:r w:rsidR="00900E71" w:rsidRPr="00790EA9">
        <w:rPr>
          <w:rFonts w:ascii="Arial" w:hAnsi="Arial" w:cs="Arial"/>
          <w:sz w:val="24"/>
          <w:szCs w:val="24"/>
        </w:rPr>
        <w:t>.</w:t>
      </w:r>
    </w:p>
    <w:p w14:paraId="195635DD" w14:textId="6F2C753A" w:rsidR="00A7572C" w:rsidRPr="00790EA9" w:rsidRDefault="00B671CB">
      <w:pPr>
        <w:rPr>
          <w:rFonts w:ascii="Arial" w:hAnsi="Arial" w:cs="Arial"/>
          <w:sz w:val="24"/>
          <w:szCs w:val="24"/>
        </w:rPr>
      </w:pPr>
      <w:r w:rsidRPr="00790EA9">
        <w:rPr>
          <w:rFonts w:ascii="Arial" w:hAnsi="Arial" w:cs="Arial"/>
          <w:sz w:val="24"/>
          <w:szCs w:val="24"/>
        </w:rPr>
        <w:t>In terms of the ‘Literal rule</w:t>
      </w:r>
      <w:r w:rsidR="003C68AE" w:rsidRPr="00790EA9">
        <w:rPr>
          <w:rFonts w:ascii="Arial" w:hAnsi="Arial" w:cs="Arial"/>
          <w:sz w:val="24"/>
          <w:szCs w:val="24"/>
        </w:rPr>
        <w:t>’, the</w:t>
      </w:r>
      <w:r w:rsidRPr="00790EA9">
        <w:rPr>
          <w:rFonts w:ascii="Arial" w:hAnsi="Arial" w:cs="Arial"/>
          <w:sz w:val="24"/>
          <w:szCs w:val="24"/>
        </w:rPr>
        <w:t xml:space="preserve"> words presented within statute are provided with their basic and ordinary meanings. They will be interpreted literally and will not require further analysis for different interpretations, disregarding the plain words of the legislation</w:t>
      </w:r>
      <w:r w:rsidR="003C68AE" w:rsidRPr="00790EA9">
        <w:rPr>
          <w:rFonts w:ascii="Arial" w:hAnsi="Arial" w:cs="Arial"/>
          <w:sz w:val="24"/>
          <w:szCs w:val="24"/>
        </w:rPr>
        <w:t xml:space="preserve">. However, this resulted in many cases like: Berriman case (1946), to have a harsh punishment as </w:t>
      </w:r>
      <w:proofErr w:type="gramStart"/>
      <w:r w:rsidR="003C68AE" w:rsidRPr="00790EA9">
        <w:rPr>
          <w:rFonts w:ascii="Arial" w:hAnsi="Arial" w:cs="Arial"/>
          <w:sz w:val="24"/>
          <w:szCs w:val="24"/>
        </w:rPr>
        <w:t>an end result</w:t>
      </w:r>
      <w:proofErr w:type="gramEnd"/>
      <w:r w:rsidR="003C68AE" w:rsidRPr="00790EA9">
        <w:rPr>
          <w:rFonts w:ascii="Arial" w:hAnsi="Arial" w:cs="Arial"/>
          <w:sz w:val="24"/>
          <w:szCs w:val="24"/>
        </w:rPr>
        <w:t xml:space="preserve"> due to simple factor of plain reading</w:t>
      </w:r>
      <w:r w:rsidR="005F53D4" w:rsidRPr="00790EA9">
        <w:rPr>
          <w:rFonts w:ascii="Arial" w:hAnsi="Arial" w:cs="Arial"/>
          <w:sz w:val="24"/>
          <w:szCs w:val="24"/>
        </w:rPr>
        <w:t>, Feldman (2014).</w:t>
      </w:r>
    </w:p>
    <w:p w14:paraId="4C24DB89" w14:textId="764C30C7" w:rsidR="00934C65" w:rsidRPr="00790EA9" w:rsidRDefault="00934C65">
      <w:pPr>
        <w:rPr>
          <w:rFonts w:ascii="Arial" w:hAnsi="Arial" w:cs="Arial"/>
          <w:sz w:val="24"/>
          <w:szCs w:val="24"/>
        </w:rPr>
      </w:pPr>
      <w:r w:rsidRPr="00790EA9">
        <w:rPr>
          <w:rFonts w:ascii="Arial" w:hAnsi="Arial" w:cs="Arial"/>
          <w:sz w:val="24"/>
          <w:szCs w:val="24"/>
        </w:rPr>
        <w:t>The next rule is the golden rule. As mentioned within</w:t>
      </w:r>
      <w:r w:rsidR="00B73A45" w:rsidRPr="00790EA9">
        <w:rPr>
          <w:rFonts w:ascii="Arial" w:hAnsi="Arial" w:cs="Arial"/>
          <w:sz w:val="24"/>
          <w:szCs w:val="24"/>
        </w:rPr>
        <w:t xml:space="preserve"> the source;</w:t>
      </w:r>
      <w:r w:rsidRPr="00790EA9">
        <w:rPr>
          <w:rFonts w:ascii="Arial" w:hAnsi="Arial" w:cs="Arial"/>
          <w:sz w:val="24"/>
          <w:szCs w:val="24"/>
        </w:rPr>
        <w:t xml:space="preserve"> </w:t>
      </w:r>
      <w:proofErr w:type="spellStart"/>
      <w:r w:rsidRPr="00790EA9">
        <w:rPr>
          <w:rFonts w:ascii="Arial" w:hAnsi="Arial" w:cs="Arial"/>
          <w:sz w:val="24"/>
          <w:szCs w:val="24"/>
        </w:rPr>
        <w:t>lawteacher</w:t>
      </w:r>
      <w:proofErr w:type="spellEnd"/>
      <w:r w:rsidRPr="00790EA9">
        <w:rPr>
          <w:rFonts w:ascii="Arial" w:hAnsi="Arial" w:cs="Arial"/>
          <w:sz w:val="24"/>
          <w:szCs w:val="24"/>
        </w:rPr>
        <w:t xml:space="preserve">, </w:t>
      </w:r>
      <w:r w:rsidR="00B73A45" w:rsidRPr="00790EA9">
        <w:rPr>
          <w:rFonts w:ascii="Arial" w:hAnsi="Arial" w:cs="Arial"/>
          <w:sz w:val="24"/>
          <w:szCs w:val="24"/>
        </w:rPr>
        <w:t>w</w:t>
      </w:r>
      <w:r w:rsidRPr="00790EA9">
        <w:rPr>
          <w:rFonts w:ascii="Arial" w:hAnsi="Arial" w:cs="Arial"/>
          <w:sz w:val="24"/>
          <w:szCs w:val="24"/>
        </w:rPr>
        <w:t xml:space="preserve">here the ordinary meaning of words leads to apparent absurdity, the natural meaning of the word may be modified, or an alternative definition chosen </w:t>
      </w:r>
      <w:proofErr w:type="gramStart"/>
      <w:r w:rsidRPr="00790EA9">
        <w:rPr>
          <w:rFonts w:ascii="Arial" w:hAnsi="Arial" w:cs="Arial"/>
          <w:sz w:val="24"/>
          <w:szCs w:val="24"/>
        </w:rPr>
        <w:t>in order to</w:t>
      </w:r>
      <w:proofErr w:type="gramEnd"/>
      <w:r w:rsidRPr="00790EA9">
        <w:rPr>
          <w:rFonts w:ascii="Arial" w:hAnsi="Arial" w:cs="Arial"/>
          <w:sz w:val="24"/>
          <w:szCs w:val="24"/>
        </w:rPr>
        <w:t xml:space="preserve"> avoid such absurdities. Ultimately, the golden rule is</w:t>
      </w:r>
      <w:r w:rsidR="00B73A45" w:rsidRPr="00790EA9">
        <w:rPr>
          <w:rFonts w:ascii="Arial" w:hAnsi="Arial" w:cs="Arial"/>
          <w:sz w:val="24"/>
          <w:szCs w:val="24"/>
        </w:rPr>
        <w:t xml:space="preserve"> somewhat a</w:t>
      </w:r>
      <w:r w:rsidRPr="00790EA9">
        <w:rPr>
          <w:rFonts w:ascii="Arial" w:hAnsi="Arial" w:cs="Arial"/>
          <w:sz w:val="24"/>
          <w:szCs w:val="24"/>
        </w:rPr>
        <w:t xml:space="preserve"> common-sense approach if judges are seeking to carry out parliament’s intent, since parliament could not have intended an absurd outcome. A different view </w:t>
      </w:r>
      <w:r w:rsidR="00B73A45" w:rsidRPr="00790EA9">
        <w:rPr>
          <w:rFonts w:ascii="Arial" w:hAnsi="Arial" w:cs="Arial"/>
          <w:sz w:val="24"/>
          <w:szCs w:val="24"/>
        </w:rPr>
        <w:t xml:space="preserve">would hold </w:t>
      </w:r>
      <w:r w:rsidRPr="00790EA9">
        <w:rPr>
          <w:rFonts w:ascii="Arial" w:hAnsi="Arial" w:cs="Arial"/>
          <w:sz w:val="24"/>
          <w:szCs w:val="24"/>
        </w:rPr>
        <w:t>that courts should not judge the absurdity of parliamentary legislation by applying it. An application of the golden rule approach is seen in Allen [1872], a case involving a charge of bigamy under OAPA 1861. In this way, the golden rule is closely related to the literal rule but allows for deviations from the literal rule where an interpretation would be repugnant, inconsistent with another section of the statute or</w:t>
      </w:r>
      <w:r w:rsidR="00834514" w:rsidRPr="00790EA9">
        <w:rPr>
          <w:rFonts w:ascii="Arial" w:hAnsi="Arial" w:cs="Arial"/>
          <w:sz w:val="24"/>
          <w:szCs w:val="24"/>
        </w:rPr>
        <w:t xml:space="preserve"> rather</w:t>
      </w:r>
      <w:r w:rsidRPr="00790EA9">
        <w:rPr>
          <w:rFonts w:ascii="Arial" w:hAnsi="Arial" w:cs="Arial"/>
          <w:sz w:val="24"/>
          <w:szCs w:val="24"/>
        </w:rPr>
        <w:t xml:space="preserve"> simply absurd</w:t>
      </w:r>
      <w:r w:rsidR="00FB507C" w:rsidRPr="00790EA9">
        <w:rPr>
          <w:rFonts w:ascii="Arial" w:hAnsi="Arial" w:cs="Arial"/>
          <w:sz w:val="24"/>
          <w:szCs w:val="24"/>
        </w:rPr>
        <w:t xml:space="preserve">, </w:t>
      </w:r>
      <w:r w:rsidR="00AA7BB3" w:rsidRPr="00790EA9">
        <w:rPr>
          <w:rFonts w:ascii="Arial" w:hAnsi="Arial" w:cs="Arial"/>
          <w:sz w:val="24"/>
          <w:szCs w:val="24"/>
        </w:rPr>
        <w:t xml:space="preserve">suggested by </w:t>
      </w:r>
      <w:r w:rsidR="00FB507C" w:rsidRPr="00790EA9">
        <w:rPr>
          <w:rFonts w:ascii="Arial" w:hAnsi="Arial" w:cs="Arial"/>
          <w:sz w:val="24"/>
          <w:szCs w:val="24"/>
        </w:rPr>
        <w:t>Styles (1994).</w:t>
      </w:r>
    </w:p>
    <w:p w14:paraId="0813023E" w14:textId="78009086" w:rsidR="00934C65" w:rsidRPr="00790EA9" w:rsidRDefault="00934C65">
      <w:pPr>
        <w:rPr>
          <w:rFonts w:ascii="Arial" w:hAnsi="Arial" w:cs="Arial"/>
          <w:sz w:val="24"/>
          <w:szCs w:val="24"/>
        </w:rPr>
      </w:pPr>
      <w:r w:rsidRPr="00790EA9">
        <w:rPr>
          <w:rFonts w:ascii="Arial" w:hAnsi="Arial" w:cs="Arial"/>
          <w:sz w:val="24"/>
          <w:szCs w:val="24"/>
        </w:rPr>
        <w:t>The</w:t>
      </w:r>
      <w:r w:rsidR="000C3E18" w:rsidRPr="00790EA9">
        <w:rPr>
          <w:rFonts w:ascii="Arial" w:hAnsi="Arial" w:cs="Arial"/>
          <w:sz w:val="24"/>
          <w:szCs w:val="24"/>
        </w:rPr>
        <w:t xml:space="preserve"> last of the three rules, the</w:t>
      </w:r>
      <w:r w:rsidRPr="00790EA9">
        <w:rPr>
          <w:rFonts w:ascii="Arial" w:hAnsi="Arial" w:cs="Arial"/>
          <w:sz w:val="24"/>
          <w:szCs w:val="24"/>
        </w:rPr>
        <w:t xml:space="preserve"> final rule within statutory interpretation </w:t>
      </w:r>
      <w:r w:rsidR="000C3E18" w:rsidRPr="00790EA9">
        <w:rPr>
          <w:rFonts w:ascii="Arial" w:hAnsi="Arial" w:cs="Arial"/>
          <w:sz w:val="24"/>
          <w:szCs w:val="24"/>
        </w:rPr>
        <w:t>would then be</w:t>
      </w:r>
      <w:r w:rsidR="00917544" w:rsidRPr="00790EA9">
        <w:rPr>
          <w:rFonts w:ascii="Arial" w:hAnsi="Arial" w:cs="Arial"/>
          <w:sz w:val="24"/>
          <w:szCs w:val="24"/>
        </w:rPr>
        <w:t xml:space="preserve"> the rule of </w:t>
      </w:r>
      <w:r w:rsidRPr="00790EA9">
        <w:rPr>
          <w:rFonts w:ascii="Arial" w:hAnsi="Arial" w:cs="Arial"/>
          <w:sz w:val="24"/>
          <w:szCs w:val="24"/>
        </w:rPr>
        <w:t xml:space="preserve">mischief. The mischief rule was first brought about </w:t>
      </w:r>
      <w:r w:rsidR="00917544" w:rsidRPr="00790EA9">
        <w:rPr>
          <w:rFonts w:ascii="Arial" w:hAnsi="Arial" w:cs="Arial"/>
          <w:sz w:val="24"/>
          <w:szCs w:val="24"/>
        </w:rPr>
        <w:t xml:space="preserve">and practised </w:t>
      </w:r>
      <w:r w:rsidRPr="00790EA9">
        <w:rPr>
          <w:rFonts w:ascii="Arial" w:hAnsi="Arial" w:cs="Arial"/>
          <w:sz w:val="24"/>
          <w:szCs w:val="24"/>
        </w:rPr>
        <w:t>within the case of Heydon [1584]. This rule requires judges to consider what parliament w</w:t>
      </w:r>
      <w:r w:rsidR="00A96842" w:rsidRPr="00790EA9">
        <w:rPr>
          <w:rFonts w:ascii="Arial" w:hAnsi="Arial" w:cs="Arial"/>
          <w:sz w:val="24"/>
          <w:szCs w:val="24"/>
        </w:rPr>
        <w:t>ould have been</w:t>
      </w:r>
      <w:r w:rsidRPr="00790EA9">
        <w:rPr>
          <w:rFonts w:ascii="Arial" w:hAnsi="Arial" w:cs="Arial"/>
          <w:sz w:val="24"/>
          <w:szCs w:val="24"/>
        </w:rPr>
        <w:t xml:space="preserve"> trying to accomplish by passing legislation. Any ambiguity within the act would be interpreted in such a way as to ensure that the intentions of parliament were achieved. Heydon’s case is a classic example of how to formulate this rule,</w:t>
      </w:r>
      <w:r w:rsidR="000D6F59" w:rsidRPr="00790EA9">
        <w:rPr>
          <w:rFonts w:ascii="Arial" w:hAnsi="Arial" w:cs="Arial"/>
          <w:sz w:val="24"/>
          <w:szCs w:val="24"/>
        </w:rPr>
        <w:t xml:space="preserve"> </w:t>
      </w:r>
      <w:r w:rsidR="00AA7BB3" w:rsidRPr="00790EA9">
        <w:rPr>
          <w:rFonts w:ascii="Arial" w:hAnsi="Arial" w:cs="Arial"/>
          <w:sz w:val="24"/>
          <w:szCs w:val="24"/>
        </w:rPr>
        <w:t>provided by</w:t>
      </w:r>
      <w:r w:rsidRPr="00790EA9">
        <w:rPr>
          <w:rFonts w:ascii="Arial" w:hAnsi="Arial" w:cs="Arial"/>
          <w:sz w:val="24"/>
          <w:szCs w:val="24"/>
        </w:rPr>
        <w:t xml:space="preserve"> Gov (2022).</w:t>
      </w:r>
      <w:r w:rsidR="00BB473D" w:rsidRPr="00790EA9">
        <w:rPr>
          <w:rFonts w:ascii="Arial" w:hAnsi="Arial" w:cs="Arial"/>
          <w:sz w:val="24"/>
          <w:szCs w:val="24"/>
        </w:rPr>
        <w:t xml:space="preserve"> Within the </w:t>
      </w:r>
      <w:r w:rsidR="004B307E" w:rsidRPr="00790EA9">
        <w:rPr>
          <w:rFonts w:ascii="Arial" w:hAnsi="Arial" w:cs="Arial"/>
          <w:sz w:val="24"/>
          <w:szCs w:val="24"/>
        </w:rPr>
        <w:t>mischief rule</w:t>
      </w:r>
      <w:r w:rsidR="004F04BB" w:rsidRPr="00790EA9">
        <w:rPr>
          <w:rFonts w:ascii="Arial" w:hAnsi="Arial" w:cs="Arial"/>
          <w:sz w:val="24"/>
          <w:szCs w:val="24"/>
        </w:rPr>
        <w:t xml:space="preserve"> j</w:t>
      </w:r>
      <w:r w:rsidR="004F04BB" w:rsidRPr="00790EA9">
        <w:rPr>
          <w:rFonts w:ascii="Arial" w:hAnsi="Arial" w:cs="Arial"/>
          <w:sz w:val="24"/>
          <w:szCs w:val="24"/>
        </w:rPr>
        <w:t xml:space="preserve">udges </w:t>
      </w:r>
      <w:r w:rsidR="00A16C59" w:rsidRPr="00790EA9">
        <w:rPr>
          <w:rFonts w:ascii="Arial" w:hAnsi="Arial" w:cs="Arial"/>
          <w:sz w:val="24"/>
          <w:szCs w:val="24"/>
        </w:rPr>
        <w:t xml:space="preserve">have become </w:t>
      </w:r>
      <w:r w:rsidR="004F04BB" w:rsidRPr="00790EA9">
        <w:rPr>
          <w:rFonts w:ascii="Arial" w:hAnsi="Arial" w:cs="Arial"/>
          <w:sz w:val="24"/>
          <w:szCs w:val="24"/>
        </w:rPr>
        <w:t>required to answer the following questions</w:t>
      </w:r>
      <w:r w:rsidR="00A16C59" w:rsidRPr="00790EA9">
        <w:rPr>
          <w:rFonts w:ascii="Arial" w:hAnsi="Arial" w:cs="Arial"/>
          <w:sz w:val="24"/>
          <w:szCs w:val="24"/>
        </w:rPr>
        <w:t>. Th</w:t>
      </w:r>
      <w:r w:rsidR="00B45A1D" w:rsidRPr="00790EA9">
        <w:rPr>
          <w:rFonts w:ascii="Arial" w:hAnsi="Arial" w:cs="Arial"/>
          <w:sz w:val="24"/>
          <w:szCs w:val="24"/>
        </w:rPr>
        <w:t xml:space="preserve">ese questions </w:t>
      </w:r>
      <w:proofErr w:type="gramStart"/>
      <w:r w:rsidR="00B45A1D" w:rsidRPr="00790EA9">
        <w:rPr>
          <w:rFonts w:ascii="Arial" w:hAnsi="Arial" w:cs="Arial"/>
          <w:sz w:val="24"/>
          <w:szCs w:val="24"/>
        </w:rPr>
        <w:t>being;</w:t>
      </w:r>
      <w:proofErr w:type="gramEnd"/>
      <w:r w:rsidR="00B45A1D" w:rsidRPr="00790EA9">
        <w:rPr>
          <w:rFonts w:ascii="Arial" w:hAnsi="Arial" w:cs="Arial"/>
          <w:sz w:val="24"/>
          <w:szCs w:val="24"/>
        </w:rPr>
        <w:t xml:space="preserve"> </w:t>
      </w:r>
      <w:r w:rsidR="004F04BB" w:rsidRPr="00790EA9">
        <w:rPr>
          <w:rFonts w:ascii="Arial" w:hAnsi="Arial" w:cs="Arial"/>
          <w:sz w:val="24"/>
          <w:szCs w:val="24"/>
        </w:rPr>
        <w:t xml:space="preserve">what was the </w:t>
      </w:r>
      <w:r w:rsidR="004F04BB" w:rsidRPr="00790EA9">
        <w:rPr>
          <w:rFonts w:ascii="Arial" w:hAnsi="Arial" w:cs="Arial"/>
          <w:sz w:val="24"/>
          <w:szCs w:val="24"/>
        </w:rPr>
        <w:lastRenderedPageBreak/>
        <w:t xml:space="preserve">common law before the making of the act? Where did the common law fail to provide for the mischief and defect? What remedy did parliament resolve and appoint “to cure the disease of the commonwealth (the state)”? for what real reason was it appointed? </w:t>
      </w:r>
    </w:p>
    <w:p w14:paraId="623C1A72" w14:textId="398DBF5A" w:rsidR="00150E0B" w:rsidRPr="00790EA9" w:rsidRDefault="004D28DC" w:rsidP="00150E0B">
      <w:pPr>
        <w:rPr>
          <w:rFonts w:ascii="Arial" w:hAnsi="Arial" w:cs="Arial"/>
          <w:sz w:val="24"/>
          <w:szCs w:val="24"/>
        </w:rPr>
      </w:pPr>
      <w:r w:rsidRPr="00790EA9">
        <w:rPr>
          <w:rFonts w:ascii="Arial" w:hAnsi="Arial" w:cs="Arial"/>
          <w:sz w:val="24"/>
          <w:szCs w:val="24"/>
        </w:rPr>
        <w:t xml:space="preserve">The purpose of statutory interpretation is to </w:t>
      </w:r>
      <w:r w:rsidR="00150E0B" w:rsidRPr="00790EA9">
        <w:rPr>
          <w:rFonts w:ascii="Arial" w:hAnsi="Arial" w:cs="Arial"/>
          <w:sz w:val="24"/>
          <w:szCs w:val="24"/>
        </w:rPr>
        <w:t xml:space="preserve">assist judges to </w:t>
      </w:r>
      <w:proofErr w:type="gramStart"/>
      <w:r w:rsidR="00150E0B" w:rsidRPr="00790EA9">
        <w:rPr>
          <w:rFonts w:ascii="Arial" w:hAnsi="Arial" w:cs="Arial"/>
          <w:sz w:val="24"/>
          <w:szCs w:val="24"/>
        </w:rPr>
        <w:t>make a decision</w:t>
      </w:r>
      <w:proofErr w:type="gramEnd"/>
      <w:r w:rsidR="00150E0B" w:rsidRPr="00790EA9">
        <w:rPr>
          <w:rFonts w:ascii="Arial" w:hAnsi="Arial" w:cs="Arial"/>
          <w:sz w:val="24"/>
          <w:szCs w:val="24"/>
        </w:rPr>
        <w:t xml:space="preserve"> when the acts or regulations of a case may be ambiguous or unclear. The judges, of course, will </w:t>
      </w:r>
      <w:r w:rsidR="009764B5" w:rsidRPr="00790EA9">
        <w:rPr>
          <w:rFonts w:ascii="Arial" w:hAnsi="Arial" w:cs="Arial"/>
          <w:sz w:val="24"/>
          <w:szCs w:val="24"/>
        </w:rPr>
        <w:t xml:space="preserve">then </w:t>
      </w:r>
      <w:r w:rsidR="00150E0B" w:rsidRPr="00790EA9">
        <w:rPr>
          <w:rFonts w:ascii="Arial" w:hAnsi="Arial" w:cs="Arial"/>
          <w:sz w:val="24"/>
          <w:szCs w:val="24"/>
        </w:rPr>
        <w:t xml:space="preserve">have to </w:t>
      </w:r>
      <w:proofErr w:type="gramStart"/>
      <w:r w:rsidR="00150E0B" w:rsidRPr="00790EA9">
        <w:rPr>
          <w:rFonts w:ascii="Arial" w:hAnsi="Arial" w:cs="Arial"/>
          <w:sz w:val="24"/>
          <w:szCs w:val="24"/>
        </w:rPr>
        <w:t>make a decision</w:t>
      </w:r>
      <w:proofErr w:type="gramEnd"/>
      <w:r w:rsidR="00150E0B" w:rsidRPr="00790EA9">
        <w:rPr>
          <w:rFonts w:ascii="Arial" w:hAnsi="Arial" w:cs="Arial"/>
          <w:sz w:val="24"/>
          <w:szCs w:val="24"/>
        </w:rPr>
        <w:t>, and this could differ the</w:t>
      </w:r>
      <w:r w:rsidR="009764B5" w:rsidRPr="00790EA9">
        <w:rPr>
          <w:rFonts w:ascii="Arial" w:hAnsi="Arial" w:cs="Arial"/>
          <w:sz w:val="24"/>
          <w:szCs w:val="24"/>
        </w:rPr>
        <w:t xml:space="preserve"> entire</w:t>
      </w:r>
      <w:r w:rsidR="00150E0B" w:rsidRPr="00790EA9">
        <w:rPr>
          <w:rFonts w:ascii="Arial" w:hAnsi="Arial" w:cs="Arial"/>
          <w:sz w:val="24"/>
          <w:szCs w:val="24"/>
        </w:rPr>
        <w:t xml:space="preserve"> case completely. However, within most cases the legislation and the wording to so will be clear, and the disputes between victim and defendant will be based on their differing accounts of the evidence and conflicting evidence as stated by Elliot and </w:t>
      </w:r>
      <w:proofErr w:type="gramStart"/>
      <w:r w:rsidR="00150E0B" w:rsidRPr="00790EA9">
        <w:rPr>
          <w:rFonts w:ascii="Arial" w:hAnsi="Arial" w:cs="Arial"/>
          <w:sz w:val="24"/>
          <w:szCs w:val="24"/>
        </w:rPr>
        <w:t>Quinn(</w:t>
      </w:r>
      <w:proofErr w:type="gramEnd"/>
      <w:r w:rsidR="00150E0B" w:rsidRPr="00790EA9">
        <w:rPr>
          <w:rFonts w:ascii="Arial" w:hAnsi="Arial" w:cs="Arial"/>
          <w:sz w:val="24"/>
          <w:szCs w:val="24"/>
        </w:rPr>
        <w:t xml:space="preserve">2016). </w:t>
      </w:r>
    </w:p>
    <w:p w14:paraId="6A5160CA" w14:textId="46F16D29" w:rsidR="00150E0B" w:rsidRPr="00790EA9" w:rsidRDefault="00150E0B" w:rsidP="00150E0B">
      <w:pPr>
        <w:rPr>
          <w:rFonts w:ascii="Arial" w:hAnsi="Arial" w:cs="Arial"/>
          <w:sz w:val="24"/>
          <w:szCs w:val="24"/>
        </w:rPr>
      </w:pPr>
      <w:r w:rsidRPr="00790EA9">
        <w:rPr>
          <w:rFonts w:ascii="Arial" w:hAnsi="Arial" w:cs="Arial"/>
          <w:sz w:val="24"/>
          <w:szCs w:val="24"/>
        </w:rPr>
        <w:t>Within statutory interpretation there are two elements</w:t>
      </w:r>
      <w:r w:rsidR="00754FB0" w:rsidRPr="00790EA9">
        <w:rPr>
          <w:rFonts w:ascii="Arial" w:hAnsi="Arial" w:cs="Arial"/>
          <w:sz w:val="24"/>
          <w:szCs w:val="24"/>
        </w:rPr>
        <w:t>. These two elements</w:t>
      </w:r>
      <w:r w:rsidRPr="00790EA9">
        <w:rPr>
          <w:rFonts w:ascii="Arial" w:hAnsi="Arial" w:cs="Arial"/>
          <w:sz w:val="24"/>
          <w:szCs w:val="24"/>
        </w:rPr>
        <w:t xml:space="preserve"> in which are</w:t>
      </w:r>
      <w:r w:rsidR="00754FB0" w:rsidRPr="00790EA9">
        <w:rPr>
          <w:rFonts w:ascii="Arial" w:hAnsi="Arial" w:cs="Arial"/>
          <w:sz w:val="24"/>
          <w:szCs w:val="24"/>
        </w:rPr>
        <w:t xml:space="preserve"> the</w:t>
      </w:r>
      <w:r w:rsidRPr="00790EA9">
        <w:rPr>
          <w:rFonts w:ascii="Arial" w:hAnsi="Arial" w:cs="Arial"/>
          <w:sz w:val="24"/>
          <w:szCs w:val="24"/>
        </w:rPr>
        <w:t xml:space="preserve"> literal and purposive approach. Both these approaches apply the purpose of determining how judges should go about determining the meaning of statute. The purposive approach is used greatly in interpreting the statutes rather than the literal approach. The purposive approach rejects strongly on </w:t>
      </w:r>
      <w:r w:rsidR="0032691A" w:rsidRPr="00790EA9">
        <w:rPr>
          <w:rFonts w:ascii="Arial" w:hAnsi="Arial" w:cs="Arial"/>
          <w:sz w:val="24"/>
          <w:szCs w:val="24"/>
        </w:rPr>
        <w:t xml:space="preserve">the </w:t>
      </w:r>
      <w:r w:rsidRPr="00790EA9">
        <w:rPr>
          <w:rFonts w:ascii="Arial" w:hAnsi="Arial" w:cs="Arial"/>
          <w:sz w:val="24"/>
          <w:szCs w:val="24"/>
        </w:rPr>
        <w:t>judges’ limitations on searching the meaning of the literal meaning of the word in the legislation itsel</w:t>
      </w:r>
      <w:r w:rsidR="002559AD" w:rsidRPr="00790EA9">
        <w:rPr>
          <w:rFonts w:ascii="Arial" w:hAnsi="Arial" w:cs="Arial"/>
          <w:sz w:val="24"/>
          <w:szCs w:val="24"/>
        </w:rPr>
        <w:t xml:space="preserve">f, which has been presented by </w:t>
      </w:r>
      <w:r w:rsidR="00AB086B" w:rsidRPr="00790EA9">
        <w:rPr>
          <w:rFonts w:ascii="Arial" w:hAnsi="Arial" w:cs="Arial"/>
          <w:sz w:val="24"/>
          <w:szCs w:val="24"/>
        </w:rPr>
        <w:t xml:space="preserve">Webley </w:t>
      </w:r>
      <w:r w:rsidR="00AB086B" w:rsidRPr="00790EA9">
        <w:rPr>
          <w:rFonts w:ascii="Arial" w:hAnsi="Arial" w:cs="Arial"/>
          <w:sz w:val="24"/>
          <w:szCs w:val="24"/>
        </w:rPr>
        <w:t>(</w:t>
      </w:r>
      <w:r w:rsidR="00AB086B" w:rsidRPr="00790EA9">
        <w:rPr>
          <w:rFonts w:ascii="Arial" w:hAnsi="Arial" w:cs="Arial"/>
          <w:sz w:val="24"/>
          <w:szCs w:val="24"/>
        </w:rPr>
        <w:t>2021)</w:t>
      </w:r>
      <w:r w:rsidR="002559AD" w:rsidRPr="00790EA9">
        <w:rPr>
          <w:rFonts w:ascii="Arial" w:hAnsi="Arial" w:cs="Arial"/>
          <w:sz w:val="24"/>
          <w:szCs w:val="24"/>
        </w:rPr>
        <w:t>.</w:t>
      </w:r>
    </w:p>
    <w:p w14:paraId="4EB398D9" w14:textId="46AB79E2" w:rsidR="00CA3DEA" w:rsidRPr="00790EA9" w:rsidRDefault="00CA3DEA" w:rsidP="00150E0B">
      <w:pPr>
        <w:rPr>
          <w:rFonts w:ascii="Arial" w:hAnsi="Arial" w:cs="Arial"/>
          <w:sz w:val="24"/>
          <w:szCs w:val="24"/>
        </w:rPr>
      </w:pPr>
      <w:r w:rsidRPr="00790EA9">
        <w:rPr>
          <w:rFonts w:ascii="Arial" w:hAnsi="Arial" w:cs="Arial"/>
          <w:sz w:val="24"/>
          <w:szCs w:val="24"/>
        </w:rPr>
        <w:t xml:space="preserve">It can somewhat be argued that statutory interpretation does in fact dimmish legislation as the primary source of law </w:t>
      </w:r>
      <w:r w:rsidR="00703BC0" w:rsidRPr="00790EA9">
        <w:rPr>
          <w:rFonts w:ascii="Arial" w:hAnsi="Arial" w:cs="Arial"/>
          <w:sz w:val="24"/>
          <w:szCs w:val="24"/>
        </w:rPr>
        <w:t xml:space="preserve">within the UK </w:t>
      </w:r>
      <w:r w:rsidRPr="00790EA9">
        <w:rPr>
          <w:rFonts w:ascii="Arial" w:hAnsi="Arial" w:cs="Arial"/>
          <w:sz w:val="24"/>
          <w:szCs w:val="24"/>
        </w:rPr>
        <w:t xml:space="preserve">and this can perhaps be </w:t>
      </w:r>
      <w:proofErr w:type="gramStart"/>
      <w:r w:rsidRPr="00790EA9">
        <w:rPr>
          <w:rFonts w:ascii="Arial" w:hAnsi="Arial" w:cs="Arial"/>
          <w:sz w:val="24"/>
          <w:szCs w:val="24"/>
        </w:rPr>
        <w:t>pin pointed</w:t>
      </w:r>
      <w:proofErr w:type="gramEnd"/>
      <w:r w:rsidRPr="00790EA9">
        <w:rPr>
          <w:rFonts w:ascii="Arial" w:hAnsi="Arial" w:cs="Arial"/>
          <w:sz w:val="24"/>
          <w:szCs w:val="24"/>
        </w:rPr>
        <w:t xml:space="preserve"> to the</w:t>
      </w:r>
      <w:r w:rsidR="00703BC0" w:rsidRPr="00790EA9">
        <w:rPr>
          <w:rFonts w:ascii="Arial" w:hAnsi="Arial" w:cs="Arial"/>
          <w:sz w:val="24"/>
          <w:szCs w:val="24"/>
        </w:rPr>
        <w:t xml:space="preserve"> exact</w:t>
      </w:r>
      <w:r w:rsidRPr="00790EA9">
        <w:rPr>
          <w:rFonts w:ascii="Arial" w:hAnsi="Arial" w:cs="Arial"/>
          <w:sz w:val="24"/>
          <w:szCs w:val="24"/>
        </w:rPr>
        <w:t xml:space="preserve"> fact that parliament should in fact be clearer in expressing their intentions via statute</w:t>
      </w:r>
      <w:r w:rsidR="00E12A3E" w:rsidRPr="00790EA9">
        <w:rPr>
          <w:rFonts w:ascii="Arial" w:hAnsi="Arial" w:cs="Arial"/>
          <w:sz w:val="24"/>
          <w:szCs w:val="24"/>
        </w:rPr>
        <w:t xml:space="preserve">. In this day in age, accessing our laws </w:t>
      </w:r>
      <w:r w:rsidR="006B0B8D" w:rsidRPr="00790EA9">
        <w:rPr>
          <w:rFonts w:ascii="Arial" w:hAnsi="Arial" w:cs="Arial"/>
          <w:sz w:val="24"/>
          <w:szCs w:val="24"/>
        </w:rPr>
        <w:t xml:space="preserve">is perhaps viewed as </w:t>
      </w:r>
      <w:r w:rsidR="00E12A3E" w:rsidRPr="00790EA9">
        <w:rPr>
          <w:rFonts w:ascii="Arial" w:hAnsi="Arial" w:cs="Arial"/>
          <w:sz w:val="24"/>
          <w:szCs w:val="24"/>
        </w:rPr>
        <w:t>simple and easy however, this does not mean that understanding our laws are simple and easy. Our laws can be described as intricate and intimidating</w:t>
      </w:r>
      <w:r w:rsidR="00F76AC7" w:rsidRPr="00790EA9">
        <w:rPr>
          <w:rFonts w:ascii="Arial" w:hAnsi="Arial" w:cs="Arial"/>
          <w:sz w:val="24"/>
          <w:szCs w:val="24"/>
        </w:rPr>
        <w:t xml:space="preserve">, these terms used to describe our laws, successfully highlights what our laws </w:t>
      </w:r>
      <w:proofErr w:type="gramStart"/>
      <w:r w:rsidR="00F76AC7" w:rsidRPr="00790EA9">
        <w:rPr>
          <w:rFonts w:ascii="Arial" w:hAnsi="Arial" w:cs="Arial"/>
          <w:sz w:val="24"/>
          <w:szCs w:val="24"/>
        </w:rPr>
        <w:t>actually are</w:t>
      </w:r>
      <w:proofErr w:type="gramEnd"/>
      <w:r w:rsidR="00F76AC7" w:rsidRPr="00790EA9">
        <w:rPr>
          <w:rFonts w:ascii="Arial" w:hAnsi="Arial" w:cs="Arial"/>
          <w:sz w:val="24"/>
          <w:szCs w:val="24"/>
        </w:rPr>
        <w:t xml:space="preserve"> and pinpoints exactly what our laws have accused to be for many years. It is common for even professional users to find law complex, complex to understand, and difficult to comply with due to the volume of legislation, its piecemeal structure, its level of detail, and frequent amendments. The fact that our laws are being described in this way suggests a large level of concern, as we should regard our current degree of difficulty within simply understanding our laws as somewhat unacceptable. However, there are several more reasons why we should be concerned about it. For example, individuals, businesses, and communities are burdened by excessive complexity, good government is obstructed by it and the rule of law is undermined by it</w:t>
      </w:r>
      <w:r w:rsidR="00F35180" w:rsidRPr="00790EA9">
        <w:rPr>
          <w:rFonts w:ascii="Arial" w:hAnsi="Arial" w:cs="Arial"/>
          <w:sz w:val="24"/>
          <w:szCs w:val="24"/>
        </w:rPr>
        <w:t>, however there are also some vital concerns within statutory interpretation</w:t>
      </w:r>
      <w:r w:rsidR="00544199" w:rsidRPr="00790EA9">
        <w:rPr>
          <w:rFonts w:ascii="Arial" w:hAnsi="Arial" w:cs="Arial"/>
          <w:sz w:val="24"/>
          <w:szCs w:val="24"/>
        </w:rPr>
        <w:t xml:space="preserve">, </w:t>
      </w:r>
      <w:proofErr w:type="gramStart"/>
      <w:r w:rsidR="00544199" w:rsidRPr="00790EA9">
        <w:rPr>
          <w:rFonts w:ascii="Arial" w:hAnsi="Arial" w:cs="Arial"/>
          <w:sz w:val="24"/>
          <w:szCs w:val="24"/>
        </w:rPr>
        <w:t>GOV(</w:t>
      </w:r>
      <w:proofErr w:type="gramEnd"/>
      <w:r w:rsidR="00544199" w:rsidRPr="00790EA9">
        <w:rPr>
          <w:rFonts w:ascii="Arial" w:hAnsi="Arial" w:cs="Arial"/>
          <w:sz w:val="24"/>
          <w:szCs w:val="24"/>
        </w:rPr>
        <w:t>2013).</w:t>
      </w:r>
    </w:p>
    <w:p w14:paraId="2E0175D9" w14:textId="5BBC968A" w:rsidR="00F35180" w:rsidRPr="00790EA9" w:rsidRDefault="00F35180" w:rsidP="00150E0B">
      <w:pPr>
        <w:rPr>
          <w:rFonts w:ascii="Arial" w:hAnsi="Arial" w:cs="Arial"/>
          <w:sz w:val="24"/>
          <w:szCs w:val="24"/>
        </w:rPr>
      </w:pPr>
      <w:r w:rsidRPr="00790EA9">
        <w:rPr>
          <w:rFonts w:ascii="Arial" w:hAnsi="Arial" w:cs="Arial"/>
          <w:sz w:val="24"/>
          <w:szCs w:val="24"/>
        </w:rPr>
        <w:t xml:space="preserve">As presented by </w:t>
      </w:r>
      <w:proofErr w:type="spellStart"/>
      <w:r w:rsidRPr="00790EA9">
        <w:rPr>
          <w:rFonts w:ascii="Arial" w:hAnsi="Arial" w:cs="Arial"/>
          <w:sz w:val="24"/>
          <w:szCs w:val="24"/>
        </w:rPr>
        <w:t>CieLawTutor</w:t>
      </w:r>
      <w:proofErr w:type="spellEnd"/>
      <w:r w:rsidRPr="00790EA9">
        <w:rPr>
          <w:rFonts w:ascii="Arial" w:hAnsi="Arial" w:cs="Arial"/>
          <w:sz w:val="24"/>
          <w:szCs w:val="24"/>
        </w:rPr>
        <w:t xml:space="preserve">, typical problems within statutory interpretation include a failure of legislation to address a specific point, ambiguity as to its meaning, drafting errors, new legal developments, and changes in language. Old statutes often use words that have different meanings today than they did in the 18th century. One of the many problems caused by statutory interpretation includes this within the literal rule. The main disadvantage of the literal rule is that there is little emphasis on </w:t>
      </w:r>
      <w:proofErr w:type="gramStart"/>
      <w:r w:rsidRPr="00790EA9">
        <w:rPr>
          <w:rFonts w:ascii="Arial" w:hAnsi="Arial" w:cs="Arial"/>
          <w:sz w:val="24"/>
          <w:szCs w:val="24"/>
        </w:rPr>
        <w:t>end result</w:t>
      </w:r>
      <w:proofErr w:type="gramEnd"/>
      <w:r w:rsidRPr="00790EA9">
        <w:rPr>
          <w:rFonts w:ascii="Arial" w:hAnsi="Arial" w:cs="Arial"/>
          <w:sz w:val="24"/>
          <w:szCs w:val="24"/>
        </w:rPr>
        <w:t xml:space="preserve">. This issue is emphasised within the case of Fisher V Bell. Fisher V Bell is a case in which refers to contractual definition of offer and selling things. The court </w:t>
      </w:r>
      <w:r w:rsidRPr="00790EA9">
        <w:rPr>
          <w:rFonts w:ascii="Arial" w:hAnsi="Arial" w:cs="Arial"/>
          <w:sz w:val="24"/>
          <w:szCs w:val="24"/>
        </w:rPr>
        <w:lastRenderedPageBreak/>
        <w:t>squashed the shop owners’ convictions because he merely gave ‘invitation to treat’ and did not ‘offer for sale’ the flick knife. This deems all Acts of Parliament using the words of ‘offer’ to be null since all parties can only give invitation to treat and not ‘offer for sale’ of anything</w:t>
      </w:r>
      <w:r w:rsidR="000D6F59" w:rsidRPr="00790EA9">
        <w:rPr>
          <w:rFonts w:ascii="Arial" w:hAnsi="Arial" w:cs="Arial"/>
          <w:sz w:val="24"/>
          <w:szCs w:val="24"/>
        </w:rPr>
        <w:t xml:space="preserve">, </w:t>
      </w:r>
      <w:proofErr w:type="spellStart"/>
      <w:r w:rsidR="000D6F59" w:rsidRPr="00790EA9">
        <w:rPr>
          <w:rFonts w:ascii="Arial" w:hAnsi="Arial" w:cs="Arial"/>
          <w:sz w:val="24"/>
          <w:szCs w:val="24"/>
        </w:rPr>
        <w:t>Mance</w:t>
      </w:r>
      <w:proofErr w:type="spellEnd"/>
      <w:r w:rsidR="000D6F59" w:rsidRPr="00790EA9">
        <w:rPr>
          <w:rFonts w:ascii="Arial" w:hAnsi="Arial" w:cs="Arial"/>
          <w:sz w:val="24"/>
          <w:szCs w:val="24"/>
        </w:rPr>
        <w:t xml:space="preserve"> (</w:t>
      </w:r>
      <w:r w:rsidR="000D6F59" w:rsidRPr="00790EA9">
        <w:rPr>
          <w:rFonts w:ascii="Arial" w:hAnsi="Arial" w:cs="Arial"/>
          <w:sz w:val="24"/>
          <w:szCs w:val="24"/>
        </w:rPr>
        <w:t>2011)</w:t>
      </w:r>
      <w:r w:rsidR="000D6F59" w:rsidRPr="00790EA9">
        <w:rPr>
          <w:rFonts w:ascii="Arial" w:hAnsi="Arial" w:cs="Arial"/>
          <w:sz w:val="24"/>
          <w:szCs w:val="24"/>
        </w:rPr>
        <w:t xml:space="preserve">. </w:t>
      </w:r>
    </w:p>
    <w:p w14:paraId="406C1530" w14:textId="481397E2" w:rsidR="00F35180" w:rsidRPr="00790EA9" w:rsidRDefault="00AF126A">
      <w:pPr>
        <w:rPr>
          <w:rFonts w:ascii="Arial" w:hAnsi="Arial" w:cs="Arial"/>
          <w:sz w:val="24"/>
          <w:szCs w:val="24"/>
        </w:rPr>
      </w:pPr>
      <w:r w:rsidRPr="00790EA9">
        <w:rPr>
          <w:rFonts w:ascii="Arial" w:hAnsi="Arial" w:cs="Arial"/>
          <w:sz w:val="24"/>
          <w:szCs w:val="24"/>
        </w:rPr>
        <w:t xml:space="preserve">In conclusion it is clear that statutory interpretation does </w:t>
      </w:r>
      <w:proofErr w:type="gramStart"/>
      <w:r w:rsidRPr="00790EA9">
        <w:rPr>
          <w:rFonts w:ascii="Arial" w:hAnsi="Arial" w:cs="Arial"/>
          <w:sz w:val="24"/>
          <w:szCs w:val="24"/>
        </w:rPr>
        <w:t>In</w:t>
      </w:r>
      <w:proofErr w:type="gramEnd"/>
      <w:r w:rsidRPr="00790EA9">
        <w:rPr>
          <w:rFonts w:ascii="Arial" w:hAnsi="Arial" w:cs="Arial"/>
          <w:sz w:val="24"/>
          <w:szCs w:val="24"/>
        </w:rPr>
        <w:t xml:space="preserve"> fact diminish </w:t>
      </w:r>
      <w:r w:rsidR="00EB1D2D" w:rsidRPr="00790EA9">
        <w:rPr>
          <w:rFonts w:ascii="Arial" w:hAnsi="Arial" w:cs="Arial"/>
          <w:sz w:val="24"/>
          <w:szCs w:val="24"/>
        </w:rPr>
        <w:t>legislation as the primary source of law within the UK. It is evidently clear to see that statutory interpretation</w:t>
      </w:r>
      <w:r w:rsidR="00DC2D33" w:rsidRPr="00790EA9">
        <w:rPr>
          <w:rFonts w:ascii="Arial" w:hAnsi="Arial" w:cs="Arial"/>
          <w:sz w:val="24"/>
          <w:szCs w:val="24"/>
        </w:rPr>
        <w:t xml:space="preserve"> is somewhat a tool for individuals who do not practice law to be bestowed with the ability to understand and determine what the law </w:t>
      </w:r>
      <w:proofErr w:type="gramStart"/>
      <w:r w:rsidR="00DC2D33" w:rsidRPr="00790EA9">
        <w:rPr>
          <w:rFonts w:ascii="Arial" w:hAnsi="Arial" w:cs="Arial"/>
          <w:sz w:val="24"/>
          <w:szCs w:val="24"/>
        </w:rPr>
        <w:t>actually states</w:t>
      </w:r>
      <w:proofErr w:type="gramEnd"/>
      <w:r w:rsidR="00DC2D33" w:rsidRPr="00790EA9">
        <w:rPr>
          <w:rFonts w:ascii="Arial" w:hAnsi="Arial" w:cs="Arial"/>
          <w:sz w:val="24"/>
          <w:szCs w:val="24"/>
        </w:rPr>
        <w:t xml:space="preserve">. </w:t>
      </w:r>
      <w:r w:rsidR="0017460E" w:rsidRPr="00790EA9">
        <w:rPr>
          <w:rFonts w:ascii="Arial" w:hAnsi="Arial" w:cs="Arial"/>
          <w:sz w:val="24"/>
          <w:szCs w:val="24"/>
        </w:rPr>
        <w:t xml:space="preserve">With statutory interpretation present the ability to understand all sectors of the law has </w:t>
      </w:r>
      <w:r w:rsidR="00CE2BAB" w:rsidRPr="00790EA9">
        <w:rPr>
          <w:rFonts w:ascii="Arial" w:hAnsi="Arial" w:cs="Arial"/>
          <w:sz w:val="24"/>
          <w:szCs w:val="24"/>
        </w:rPr>
        <w:t xml:space="preserve">and will be drastically increase for the foreseeable future. </w:t>
      </w:r>
      <w:r w:rsidR="004D0C98" w:rsidRPr="00790EA9">
        <w:rPr>
          <w:rFonts w:ascii="Arial" w:hAnsi="Arial" w:cs="Arial"/>
          <w:sz w:val="24"/>
          <w:szCs w:val="24"/>
        </w:rPr>
        <w:t xml:space="preserve">Not only does it allow individuals to understand our </w:t>
      </w:r>
      <w:proofErr w:type="gramStart"/>
      <w:r w:rsidR="004D0C98" w:rsidRPr="00790EA9">
        <w:rPr>
          <w:rFonts w:ascii="Arial" w:hAnsi="Arial" w:cs="Arial"/>
          <w:sz w:val="24"/>
          <w:szCs w:val="24"/>
        </w:rPr>
        <w:t>laws</w:t>
      </w:r>
      <w:proofErr w:type="gramEnd"/>
      <w:r w:rsidR="004D0C98" w:rsidRPr="00790EA9">
        <w:rPr>
          <w:rFonts w:ascii="Arial" w:hAnsi="Arial" w:cs="Arial"/>
          <w:sz w:val="24"/>
          <w:szCs w:val="24"/>
        </w:rPr>
        <w:t xml:space="preserve"> but it also provides </w:t>
      </w:r>
      <w:r w:rsidR="00E3150D" w:rsidRPr="00790EA9">
        <w:rPr>
          <w:rFonts w:ascii="Arial" w:hAnsi="Arial" w:cs="Arial"/>
          <w:sz w:val="24"/>
          <w:szCs w:val="24"/>
        </w:rPr>
        <w:t>society with a more broad knowledge of what certain laws include and the many reasons behind it, therefore providing more and more people with the increasing knowledge of illegal crimes which they may not have understood were illegal beforehand.</w:t>
      </w:r>
      <w:r w:rsidR="00402AA6" w:rsidRPr="00790EA9">
        <w:rPr>
          <w:rFonts w:ascii="Arial" w:hAnsi="Arial" w:cs="Arial"/>
          <w:sz w:val="24"/>
          <w:szCs w:val="24"/>
        </w:rPr>
        <w:t xml:space="preserve"> It is </w:t>
      </w:r>
      <w:r w:rsidR="006A709A" w:rsidRPr="00790EA9">
        <w:rPr>
          <w:rFonts w:ascii="Arial" w:hAnsi="Arial" w:cs="Arial"/>
          <w:sz w:val="24"/>
          <w:szCs w:val="24"/>
        </w:rPr>
        <w:t xml:space="preserve">undoubtable that our law makers should perhaps have more clarity through making our laws and it </w:t>
      </w:r>
      <w:r w:rsidR="00EE230C" w:rsidRPr="00790EA9">
        <w:rPr>
          <w:rFonts w:ascii="Arial" w:hAnsi="Arial" w:cs="Arial"/>
          <w:sz w:val="24"/>
          <w:szCs w:val="24"/>
        </w:rPr>
        <w:t xml:space="preserve">is clear to evaluate that although statutory interpretation does diminish </w:t>
      </w:r>
      <w:r w:rsidR="0019222D" w:rsidRPr="00790EA9">
        <w:rPr>
          <w:rFonts w:ascii="Arial" w:hAnsi="Arial" w:cs="Arial"/>
          <w:sz w:val="24"/>
          <w:szCs w:val="24"/>
        </w:rPr>
        <w:t>legislation as the primary source of law, it is in fact a necessity which we as a nation would suffer without</w:t>
      </w:r>
      <w:r w:rsidR="0055447E" w:rsidRPr="00790EA9">
        <w:rPr>
          <w:rFonts w:ascii="Arial" w:hAnsi="Arial" w:cs="Arial"/>
          <w:sz w:val="24"/>
          <w:szCs w:val="24"/>
        </w:rPr>
        <w:t xml:space="preserve">, supported by </w:t>
      </w:r>
      <w:r w:rsidR="0055447E" w:rsidRPr="00790EA9">
        <w:rPr>
          <w:rFonts w:ascii="Arial" w:hAnsi="Arial" w:cs="Arial"/>
          <w:sz w:val="24"/>
          <w:szCs w:val="24"/>
        </w:rPr>
        <w:t xml:space="preserve">Walton, </w:t>
      </w:r>
      <w:proofErr w:type="spellStart"/>
      <w:r w:rsidR="0055447E" w:rsidRPr="00790EA9">
        <w:rPr>
          <w:rFonts w:ascii="Arial" w:hAnsi="Arial" w:cs="Arial"/>
          <w:sz w:val="24"/>
          <w:szCs w:val="24"/>
        </w:rPr>
        <w:t>Macagno</w:t>
      </w:r>
      <w:proofErr w:type="spellEnd"/>
      <w:r w:rsidR="0055447E" w:rsidRPr="00790EA9">
        <w:rPr>
          <w:rFonts w:ascii="Arial" w:hAnsi="Arial" w:cs="Arial"/>
          <w:sz w:val="24"/>
          <w:szCs w:val="24"/>
        </w:rPr>
        <w:t xml:space="preserve"> and Sartor</w:t>
      </w:r>
      <w:r w:rsidR="0055447E" w:rsidRPr="00790EA9">
        <w:rPr>
          <w:rFonts w:ascii="Arial" w:hAnsi="Arial" w:cs="Arial"/>
          <w:sz w:val="24"/>
          <w:szCs w:val="24"/>
        </w:rPr>
        <w:t xml:space="preserve"> (</w:t>
      </w:r>
      <w:r w:rsidR="0055447E" w:rsidRPr="00790EA9">
        <w:rPr>
          <w:rFonts w:ascii="Arial" w:hAnsi="Arial" w:cs="Arial"/>
          <w:sz w:val="24"/>
          <w:szCs w:val="24"/>
        </w:rPr>
        <w:t>2022)</w:t>
      </w:r>
      <w:r w:rsidR="0055447E" w:rsidRPr="00790EA9">
        <w:rPr>
          <w:rFonts w:ascii="Arial" w:hAnsi="Arial" w:cs="Arial"/>
          <w:sz w:val="24"/>
          <w:szCs w:val="24"/>
        </w:rPr>
        <w:t>.</w:t>
      </w:r>
    </w:p>
    <w:p w14:paraId="471C41C8" w14:textId="77777777" w:rsidR="006B0B8D" w:rsidRPr="00790EA9" w:rsidRDefault="006B0B8D">
      <w:pPr>
        <w:rPr>
          <w:rFonts w:ascii="Arial" w:hAnsi="Arial" w:cs="Arial"/>
          <w:sz w:val="24"/>
          <w:szCs w:val="24"/>
        </w:rPr>
      </w:pPr>
    </w:p>
    <w:p w14:paraId="05DDC31D" w14:textId="77777777" w:rsidR="006B0B8D" w:rsidRPr="00790EA9" w:rsidRDefault="006B0B8D">
      <w:pPr>
        <w:rPr>
          <w:rFonts w:ascii="Arial" w:hAnsi="Arial" w:cs="Arial"/>
          <w:sz w:val="24"/>
          <w:szCs w:val="24"/>
        </w:rPr>
      </w:pPr>
    </w:p>
    <w:p w14:paraId="48B7204A" w14:textId="77777777" w:rsidR="006B0B8D" w:rsidRPr="00790EA9" w:rsidRDefault="006B0B8D">
      <w:pPr>
        <w:rPr>
          <w:rFonts w:ascii="Arial" w:hAnsi="Arial" w:cs="Arial"/>
          <w:sz w:val="24"/>
          <w:szCs w:val="24"/>
        </w:rPr>
      </w:pPr>
    </w:p>
    <w:p w14:paraId="29700B90" w14:textId="77777777" w:rsidR="006B0B8D" w:rsidRPr="00790EA9" w:rsidRDefault="006B0B8D">
      <w:pPr>
        <w:rPr>
          <w:rFonts w:ascii="Arial" w:hAnsi="Arial" w:cs="Arial"/>
          <w:sz w:val="24"/>
          <w:szCs w:val="24"/>
        </w:rPr>
      </w:pPr>
    </w:p>
    <w:p w14:paraId="081D2D0F" w14:textId="77777777" w:rsidR="006B0B8D" w:rsidRPr="00790EA9" w:rsidRDefault="006B0B8D">
      <w:pPr>
        <w:rPr>
          <w:rFonts w:ascii="Arial" w:hAnsi="Arial" w:cs="Arial"/>
          <w:sz w:val="24"/>
          <w:szCs w:val="24"/>
        </w:rPr>
      </w:pPr>
    </w:p>
    <w:p w14:paraId="26661558" w14:textId="77777777" w:rsidR="006B0B8D" w:rsidRPr="00790EA9" w:rsidRDefault="006B0B8D">
      <w:pPr>
        <w:rPr>
          <w:rFonts w:ascii="Arial" w:hAnsi="Arial" w:cs="Arial"/>
          <w:sz w:val="24"/>
          <w:szCs w:val="24"/>
        </w:rPr>
      </w:pPr>
    </w:p>
    <w:p w14:paraId="7EF5007F" w14:textId="77777777" w:rsidR="006B0B8D" w:rsidRPr="00790EA9" w:rsidRDefault="006B0B8D">
      <w:pPr>
        <w:rPr>
          <w:rFonts w:ascii="Arial" w:hAnsi="Arial" w:cs="Arial"/>
          <w:sz w:val="24"/>
          <w:szCs w:val="24"/>
        </w:rPr>
      </w:pPr>
    </w:p>
    <w:p w14:paraId="4829CDD4" w14:textId="77777777" w:rsidR="006B0B8D" w:rsidRPr="00790EA9" w:rsidRDefault="006B0B8D">
      <w:pPr>
        <w:rPr>
          <w:rFonts w:ascii="Arial" w:hAnsi="Arial" w:cs="Arial"/>
          <w:sz w:val="24"/>
          <w:szCs w:val="24"/>
        </w:rPr>
      </w:pPr>
    </w:p>
    <w:p w14:paraId="146082F2" w14:textId="77777777" w:rsidR="006B0B8D" w:rsidRPr="00790EA9" w:rsidRDefault="006B0B8D">
      <w:pPr>
        <w:rPr>
          <w:rFonts w:ascii="Arial" w:hAnsi="Arial" w:cs="Arial"/>
          <w:sz w:val="24"/>
          <w:szCs w:val="24"/>
        </w:rPr>
      </w:pPr>
    </w:p>
    <w:p w14:paraId="0029E5AA" w14:textId="77777777" w:rsidR="006B0B8D" w:rsidRPr="00790EA9" w:rsidRDefault="006B0B8D">
      <w:pPr>
        <w:rPr>
          <w:rFonts w:ascii="Arial" w:hAnsi="Arial" w:cs="Arial"/>
          <w:sz w:val="24"/>
          <w:szCs w:val="24"/>
        </w:rPr>
      </w:pPr>
    </w:p>
    <w:p w14:paraId="0E1C0404" w14:textId="77777777" w:rsidR="006B0B8D" w:rsidRPr="00790EA9" w:rsidRDefault="006B0B8D">
      <w:pPr>
        <w:rPr>
          <w:rFonts w:ascii="Arial" w:hAnsi="Arial" w:cs="Arial"/>
          <w:sz w:val="24"/>
          <w:szCs w:val="24"/>
        </w:rPr>
      </w:pPr>
    </w:p>
    <w:p w14:paraId="26742551" w14:textId="77777777" w:rsidR="006B0B8D" w:rsidRPr="00790EA9" w:rsidRDefault="006B0B8D">
      <w:pPr>
        <w:rPr>
          <w:rFonts w:ascii="Arial" w:hAnsi="Arial" w:cs="Arial"/>
          <w:sz w:val="24"/>
          <w:szCs w:val="24"/>
        </w:rPr>
      </w:pPr>
    </w:p>
    <w:p w14:paraId="3204B1DA" w14:textId="77777777" w:rsidR="006B0B8D" w:rsidRPr="00790EA9" w:rsidRDefault="006B0B8D">
      <w:pPr>
        <w:rPr>
          <w:rFonts w:ascii="Arial" w:hAnsi="Arial" w:cs="Arial"/>
          <w:sz w:val="24"/>
          <w:szCs w:val="24"/>
        </w:rPr>
      </w:pPr>
    </w:p>
    <w:p w14:paraId="088ECAFD" w14:textId="77777777" w:rsidR="006B0B8D" w:rsidRPr="00790EA9" w:rsidRDefault="006B0B8D">
      <w:pPr>
        <w:rPr>
          <w:rFonts w:ascii="Arial" w:hAnsi="Arial" w:cs="Arial"/>
          <w:sz w:val="24"/>
          <w:szCs w:val="24"/>
        </w:rPr>
      </w:pPr>
    </w:p>
    <w:p w14:paraId="576D5D42" w14:textId="77777777" w:rsidR="006B0B8D" w:rsidRPr="00790EA9" w:rsidRDefault="006B0B8D">
      <w:pPr>
        <w:rPr>
          <w:rFonts w:ascii="Arial" w:hAnsi="Arial" w:cs="Arial"/>
          <w:sz w:val="24"/>
          <w:szCs w:val="24"/>
        </w:rPr>
      </w:pPr>
    </w:p>
    <w:p w14:paraId="1AA47357" w14:textId="77777777" w:rsidR="006B0B8D" w:rsidRPr="00790EA9" w:rsidRDefault="006B0B8D">
      <w:pPr>
        <w:rPr>
          <w:rFonts w:ascii="Arial" w:hAnsi="Arial" w:cs="Arial"/>
          <w:sz w:val="24"/>
          <w:szCs w:val="24"/>
        </w:rPr>
      </w:pPr>
    </w:p>
    <w:p w14:paraId="65A27521" w14:textId="77777777" w:rsidR="006B0B8D" w:rsidRPr="00790EA9" w:rsidRDefault="006B0B8D">
      <w:pPr>
        <w:rPr>
          <w:rFonts w:ascii="Arial" w:hAnsi="Arial" w:cs="Arial"/>
          <w:sz w:val="24"/>
          <w:szCs w:val="24"/>
        </w:rPr>
      </w:pPr>
    </w:p>
    <w:p w14:paraId="1D94689A" w14:textId="77777777" w:rsidR="006B0B8D" w:rsidRPr="00790EA9" w:rsidRDefault="006B0B8D">
      <w:pPr>
        <w:rPr>
          <w:rFonts w:ascii="Arial" w:hAnsi="Arial" w:cs="Arial"/>
          <w:sz w:val="24"/>
          <w:szCs w:val="24"/>
        </w:rPr>
      </w:pPr>
    </w:p>
    <w:p w14:paraId="2C74CB8F" w14:textId="77777777" w:rsidR="006B0B8D" w:rsidRPr="00790EA9" w:rsidRDefault="006B0B8D">
      <w:pPr>
        <w:rPr>
          <w:rFonts w:ascii="Arial" w:hAnsi="Arial" w:cs="Arial"/>
          <w:sz w:val="24"/>
          <w:szCs w:val="24"/>
        </w:rPr>
      </w:pPr>
    </w:p>
    <w:p w14:paraId="20B327FA" w14:textId="66FB2C1A" w:rsidR="006B0B8D" w:rsidRPr="00790EA9" w:rsidRDefault="009370F5">
      <w:pPr>
        <w:rPr>
          <w:rFonts w:ascii="Arial" w:hAnsi="Arial" w:cs="Arial"/>
          <w:sz w:val="24"/>
          <w:szCs w:val="24"/>
        </w:rPr>
      </w:pPr>
      <w:r w:rsidRPr="00790EA9">
        <w:rPr>
          <w:rFonts w:ascii="Arial" w:hAnsi="Arial" w:cs="Arial"/>
          <w:sz w:val="24"/>
          <w:szCs w:val="24"/>
        </w:rPr>
        <w:t xml:space="preserve">Reference List: </w:t>
      </w:r>
    </w:p>
    <w:p w14:paraId="17992293" w14:textId="02642017" w:rsidR="009370F5" w:rsidRPr="00790EA9" w:rsidRDefault="009370F5" w:rsidP="00FB7251">
      <w:pPr>
        <w:pStyle w:val="ListParagraph"/>
        <w:numPr>
          <w:ilvl w:val="0"/>
          <w:numId w:val="1"/>
        </w:numPr>
        <w:rPr>
          <w:rFonts w:ascii="Arial" w:hAnsi="Arial" w:cs="Arial"/>
          <w:sz w:val="24"/>
          <w:szCs w:val="24"/>
        </w:rPr>
      </w:pPr>
      <w:proofErr w:type="spellStart"/>
      <w:r w:rsidRPr="00790EA9">
        <w:rPr>
          <w:rFonts w:ascii="Arial" w:hAnsi="Arial" w:cs="Arial"/>
          <w:sz w:val="24"/>
          <w:szCs w:val="24"/>
        </w:rPr>
        <w:t>CIElawTutor</w:t>
      </w:r>
      <w:proofErr w:type="spellEnd"/>
      <w:r w:rsidRPr="00790EA9">
        <w:rPr>
          <w:rFonts w:ascii="Arial" w:hAnsi="Arial" w:cs="Arial"/>
          <w:sz w:val="24"/>
          <w:szCs w:val="24"/>
        </w:rPr>
        <w:t>, Statutory interpretation. Available at: Statutory Interpretation (cielawtutor.com). Accessed on: 15</w:t>
      </w:r>
      <w:r w:rsidRPr="00790EA9">
        <w:rPr>
          <w:rFonts w:ascii="Arial" w:hAnsi="Arial" w:cs="Arial"/>
          <w:sz w:val="24"/>
          <w:szCs w:val="24"/>
        </w:rPr>
        <w:t xml:space="preserve"> </w:t>
      </w:r>
      <w:r w:rsidRPr="00790EA9">
        <w:rPr>
          <w:rFonts w:ascii="Arial" w:hAnsi="Arial" w:cs="Arial"/>
          <w:sz w:val="24"/>
          <w:szCs w:val="24"/>
        </w:rPr>
        <w:t>April</w:t>
      </w:r>
      <w:r w:rsidRPr="00790EA9">
        <w:rPr>
          <w:rFonts w:ascii="Arial" w:hAnsi="Arial" w:cs="Arial"/>
          <w:sz w:val="24"/>
          <w:szCs w:val="24"/>
        </w:rPr>
        <w:t xml:space="preserve"> (2022)</w:t>
      </w:r>
    </w:p>
    <w:p w14:paraId="68D027AF" w14:textId="77777777" w:rsidR="009370F5" w:rsidRPr="00790EA9" w:rsidRDefault="009370F5" w:rsidP="00FB7251">
      <w:pPr>
        <w:pStyle w:val="ListParagraph"/>
        <w:numPr>
          <w:ilvl w:val="0"/>
          <w:numId w:val="1"/>
        </w:numPr>
        <w:rPr>
          <w:rFonts w:ascii="Arial" w:hAnsi="Arial" w:cs="Arial"/>
          <w:sz w:val="24"/>
          <w:szCs w:val="24"/>
        </w:rPr>
      </w:pPr>
      <w:proofErr w:type="spellStart"/>
      <w:r w:rsidRPr="00790EA9">
        <w:rPr>
          <w:rFonts w:ascii="Arial" w:hAnsi="Arial" w:cs="Arial"/>
          <w:sz w:val="24"/>
          <w:szCs w:val="24"/>
        </w:rPr>
        <w:t>Albon</w:t>
      </w:r>
      <w:proofErr w:type="spellEnd"/>
      <w:r w:rsidRPr="00790EA9">
        <w:rPr>
          <w:rFonts w:ascii="Arial" w:hAnsi="Arial" w:cs="Arial"/>
          <w:sz w:val="24"/>
          <w:szCs w:val="24"/>
        </w:rPr>
        <w:t xml:space="preserve">. E and </w:t>
      </w:r>
      <w:proofErr w:type="spellStart"/>
      <w:r w:rsidRPr="00790EA9">
        <w:rPr>
          <w:rFonts w:ascii="Arial" w:hAnsi="Arial" w:cs="Arial"/>
          <w:sz w:val="24"/>
          <w:szCs w:val="24"/>
        </w:rPr>
        <w:t>Dua</w:t>
      </w:r>
      <w:proofErr w:type="spellEnd"/>
      <w:r w:rsidRPr="00790EA9">
        <w:rPr>
          <w:rFonts w:ascii="Arial" w:hAnsi="Arial" w:cs="Arial"/>
          <w:sz w:val="24"/>
          <w:szCs w:val="24"/>
        </w:rPr>
        <w:t xml:space="preserve">. S. K. (2016) Elliot and </w:t>
      </w:r>
      <w:proofErr w:type="spellStart"/>
      <w:r w:rsidRPr="00790EA9">
        <w:rPr>
          <w:rFonts w:ascii="Arial" w:hAnsi="Arial" w:cs="Arial"/>
          <w:sz w:val="24"/>
          <w:szCs w:val="24"/>
        </w:rPr>
        <w:t>Quinns</w:t>
      </w:r>
      <w:proofErr w:type="spellEnd"/>
      <w:r w:rsidRPr="00790EA9">
        <w:rPr>
          <w:rFonts w:ascii="Arial" w:hAnsi="Arial" w:cs="Arial"/>
          <w:sz w:val="24"/>
          <w:szCs w:val="24"/>
        </w:rPr>
        <w:t xml:space="preserve"> English Legal System, Twenty-First Edition. Pearson. </w:t>
      </w:r>
    </w:p>
    <w:p w14:paraId="148F4CF4" w14:textId="1C596A12" w:rsidR="009370F5" w:rsidRPr="00FB7251" w:rsidRDefault="009370F5" w:rsidP="00FB7251">
      <w:pPr>
        <w:pStyle w:val="ListParagraph"/>
        <w:numPr>
          <w:ilvl w:val="0"/>
          <w:numId w:val="1"/>
        </w:numPr>
        <w:rPr>
          <w:rFonts w:ascii="Arial" w:hAnsi="Arial" w:cs="Arial"/>
          <w:sz w:val="24"/>
          <w:szCs w:val="24"/>
        </w:rPr>
      </w:pPr>
      <w:r w:rsidRPr="00FB7251">
        <w:rPr>
          <w:rFonts w:ascii="Arial" w:hAnsi="Arial" w:cs="Arial"/>
          <w:sz w:val="24"/>
          <w:szCs w:val="24"/>
        </w:rPr>
        <w:t>GOV.UK. 2022. The interpretation of statutes. [online] Available at: &lt;https://www.gov.uk/government/publications/the-interpretation-of-statutes&gt; Accessed</w:t>
      </w:r>
      <w:r w:rsidR="00F5668F" w:rsidRPr="00FB7251">
        <w:rPr>
          <w:rFonts w:ascii="Arial" w:hAnsi="Arial" w:cs="Arial"/>
          <w:sz w:val="24"/>
          <w:szCs w:val="24"/>
        </w:rPr>
        <w:t xml:space="preserve"> on:</w:t>
      </w:r>
      <w:r w:rsidRPr="00FB7251">
        <w:rPr>
          <w:rFonts w:ascii="Arial" w:hAnsi="Arial" w:cs="Arial"/>
          <w:sz w:val="24"/>
          <w:szCs w:val="24"/>
        </w:rPr>
        <w:t xml:space="preserve"> 22 July </w:t>
      </w:r>
      <w:r w:rsidRPr="00FB7251">
        <w:rPr>
          <w:rFonts w:ascii="Arial" w:hAnsi="Arial" w:cs="Arial"/>
          <w:sz w:val="24"/>
          <w:szCs w:val="24"/>
        </w:rPr>
        <w:t>(</w:t>
      </w:r>
      <w:r w:rsidRPr="00FB7251">
        <w:rPr>
          <w:rFonts w:ascii="Arial" w:hAnsi="Arial" w:cs="Arial"/>
          <w:sz w:val="24"/>
          <w:szCs w:val="24"/>
        </w:rPr>
        <w:t>2022</w:t>
      </w:r>
      <w:r w:rsidRPr="00FB7251">
        <w:rPr>
          <w:rFonts w:ascii="Arial" w:hAnsi="Arial" w:cs="Arial"/>
          <w:sz w:val="24"/>
          <w:szCs w:val="24"/>
        </w:rPr>
        <w:t>)</w:t>
      </w:r>
      <w:r w:rsidRPr="00FB7251">
        <w:rPr>
          <w:rFonts w:ascii="Arial" w:hAnsi="Arial" w:cs="Arial"/>
          <w:sz w:val="24"/>
          <w:szCs w:val="24"/>
        </w:rPr>
        <w:t>.</w:t>
      </w:r>
    </w:p>
    <w:p w14:paraId="43257470" w14:textId="77777777" w:rsidR="00790EA9" w:rsidRDefault="00F5668F" w:rsidP="00790EA9">
      <w:pPr>
        <w:pStyle w:val="ListParagraph"/>
        <w:numPr>
          <w:ilvl w:val="0"/>
          <w:numId w:val="1"/>
        </w:numPr>
        <w:rPr>
          <w:rFonts w:ascii="Arial" w:hAnsi="Arial" w:cs="Arial"/>
          <w:sz w:val="24"/>
          <w:szCs w:val="24"/>
        </w:rPr>
      </w:pPr>
      <w:r w:rsidRPr="00FB7251">
        <w:rPr>
          <w:rFonts w:ascii="Arial" w:hAnsi="Arial" w:cs="Arial"/>
          <w:sz w:val="24"/>
          <w:szCs w:val="24"/>
        </w:rPr>
        <w:t>Lawteacher.net, The rules behind statutory interpretation. Available at: The Rules Behind Statutory Interpretation (lawteacher.net). Accessed on:</w:t>
      </w:r>
      <w:r w:rsidRPr="00FB7251">
        <w:rPr>
          <w:rFonts w:ascii="Arial" w:hAnsi="Arial" w:cs="Arial"/>
          <w:sz w:val="24"/>
          <w:szCs w:val="24"/>
        </w:rPr>
        <w:t xml:space="preserve"> </w:t>
      </w:r>
      <w:r w:rsidRPr="00FB7251">
        <w:rPr>
          <w:rFonts w:ascii="Arial" w:hAnsi="Arial" w:cs="Arial"/>
          <w:sz w:val="24"/>
          <w:szCs w:val="24"/>
        </w:rPr>
        <w:t>14</w:t>
      </w:r>
      <w:r w:rsidRPr="00FB7251">
        <w:rPr>
          <w:rFonts w:ascii="Arial" w:hAnsi="Arial" w:cs="Arial"/>
          <w:sz w:val="24"/>
          <w:szCs w:val="24"/>
        </w:rPr>
        <w:t xml:space="preserve"> </w:t>
      </w:r>
      <w:r w:rsidRPr="00FB7251">
        <w:rPr>
          <w:rFonts w:ascii="Arial" w:hAnsi="Arial" w:cs="Arial"/>
          <w:sz w:val="24"/>
          <w:szCs w:val="24"/>
        </w:rPr>
        <w:t>April</w:t>
      </w:r>
      <w:r w:rsidRPr="00FB7251">
        <w:rPr>
          <w:rFonts w:ascii="Arial" w:hAnsi="Arial" w:cs="Arial"/>
          <w:sz w:val="24"/>
          <w:szCs w:val="24"/>
        </w:rPr>
        <w:t xml:space="preserve"> (2022)</w:t>
      </w:r>
    </w:p>
    <w:p w14:paraId="627A08C7" w14:textId="47091989" w:rsidR="00FB7251" w:rsidRPr="00790EA9" w:rsidRDefault="00FB7251" w:rsidP="00790EA9">
      <w:pPr>
        <w:pStyle w:val="ListParagraph"/>
        <w:numPr>
          <w:ilvl w:val="0"/>
          <w:numId w:val="1"/>
        </w:numPr>
        <w:rPr>
          <w:rFonts w:ascii="Arial" w:hAnsi="Arial" w:cs="Arial"/>
          <w:sz w:val="24"/>
          <w:szCs w:val="24"/>
        </w:rPr>
      </w:pPr>
      <w:r w:rsidRPr="00790EA9">
        <w:rPr>
          <w:rFonts w:ascii="Arial" w:hAnsi="Arial" w:cs="Arial"/>
          <w:sz w:val="24"/>
          <w:szCs w:val="24"/>
        </w:rPr>
        <w:t>Feldman, D. (2014). Statutory Interpretation and Constitutional Legislation. www.repository.cam.ac.uk. [online] Available at: https://www.repository.cam.ac.uk/handle/1810/246176 [Accessed 2 Nov. 2020].</w:t>
      </w:r>
    </w:p>
    <w:p w14:paraId="30D58DE5" w14:textId="3DF21136" w:rsidR="00FB7251" w:rsidRPr="00790EA9" w:rsidRDefault="00FB7251" w:rsidP="00790EA9">
      <w:pPr>
        <w:pStyle w:val="ListParagraph"/>
        <w:numPr>
          <w:ilvl w:val="0"/>
          <w:numId w:val="1"/>
        </w:numPr>
        <w:rPr>
          <w:rFonts w:ascii="Arial" w:hAnsi="Arial" w:cs="Arial"/>
          <w:sz w:val="24"/>
          <w:szCs w:val="24"/>
        </w:rPr>
      </w:pPr>
      <w:r w:rsidRPr="00790EA9">
        <w:rPr>
          <w:rFonts w:ascii="Arial" w:hAnsi="Arial" w:cs="Arial"/>
          <w:sz w:val="24"/>
          <w:szCs w:val="24"/>
        </w:rPr>
        <w:t xml:space="preserve">GOV.UK. (2013). When laws become too complex. [online] Available at: </w:t>
      </w:r>
      <w:hyperlink r:id="rId5" w:history="1">
        <w:r w:rsidRPr="00790EA9">
          <w:rPr>
            <w:rStyle w:val="Hyperlink"/>
            <w:rFonts w:ascii="Arial" w:hAnsi="Arial" w:cs="Arial"/>
            <w:sz w:val="24"/>
            <w:szCs w:val="24"/>
          </w:rPr>
          <w:t>https://www.gov.uk/government/publications/when-laws-become-too-complex/when-laws-become-too-complex</w:t>
        </w:r>
      </w:hyperlink>
      <w:r w:rsidRPr="00790EA9">
        <w:rPr>
          <w:rFonts w:ascii="Arial" w:hAnsi="Arial" w:cs="Arial"/>
          <w:sz w:val="24"/>
          <w:szCs w:val="24"/>
        </w:rPr>
        <w:t>.</w:t>
      </w:r>
    </w:p>
    <w:p w14:paraId="79F2ADCD" w14:textId="01DE8245" w:rsidR="00FB7251" w:rsidRPr="00790EA9" w:rsidRDefault="00FB7251" w:rsidP="00790EA9">
      <w:pPr>
        <w:pStyle w:val="ListParagraph"/>
        <w:numPr>
          <w:ilvl w:val="0"/>
          <w:numId w:val="1"/>
        </w:numPr>
        <w:rPr>
          <w:rFonts w:ascii="Arial" w:hAnsi="Arial" w:cs="Arial"/>
          <w:sz w:val="24"/>
          <w:szCs w:val="24"/>
        </w:rPr>
      </w:pPr>
      <w:r w:rsidRPr="00790EA9">
        <w:rPr>
          <w:rFonts w:ascii="Arial" w:hAnsi="Arial" w:cs="Arial"/>
          <w:sz w:val="24"/>
          <w:szCs w:val="24"/>
        </w:rPr>
        <w:t xml:space="preserve">Laver, N. (2016). Statutory Interpretation - InBrief.co.uk. [online] InBrief.co.uk. Available at: </w:t>
      </w:r>
      <w:hyperlink r:id="rId6" w:history="1">
        <w:r w:rsidRPr="00790EA9">
          <w:rPr>
            <w:rStyle w:val="Hyperlink"/>
            <w:rFonts w:ascii="Arial" w:hAnsi="Arial" w:cs="Arial"/>
            <w:sz w:val="24"/>
            <w:szCs w:val="24"/>
          </w:rPr>
          <w:t>https://www.inbrief.co.uk/legal-system/statutory-interpretation/</w:t>
        </w:r>
      </w:hyperlink>
      <w:r w:rsidRPr="00790EA9">
        <w:rPr>
          <w:rFonts w:ascii="Arial" w:hAnsi="Arial" w:cs="Arial"/>
          <w:sz w:val="24"/>
          <w:szCs w:val="24"/>
        </w:rPr>
        <w:t>.</w:t>
      </w:r>
    </w:p>
    <w:p w14:paraId="48AE52CD" w14:textId="21FD86A0" w:rsidR="00FB7251" w:rsidRPr="00790EA9" w:rsidRDefault="00FB7251" w:rsidP="00790EA9">
      <w:pPr>
        <w:pStyle w:val="ListParagraph"/>
        <w:numPr>
          <w:ilvl w:val="0"/>
          <w:numId w:val="1"/>
        </w:numPr>
        <w:rPr>
          <w:rFonts w:ascii="Arial" w:hAnsi="Arial" w:cs="Arial"/>
          <w:sz w:val="24"/>
          <w:szCs w:val="24"/>
        </w:rPr>
      </w:pPr>
      <w:proofErr w:type="spellStart"/>
      <w:r w:rsidRPr="00790EA9">
        <w:rPr>
          <w:rFonts w:ascii="Arial" w:hAnsi="Arial" w:cs="Arial"/>
          <w:sz w:val="24"/>
          <w:szCs w:val="24"/>
        </w:rPr>
        <w:t>Mance</w:t>
      </w:r>
      <w:proofErr w:type="spellEnd"/>
      <w:r w:rsidRPr="00790EA9">
        <w:rPr>
          <w:rFonts w:ascii="Arial" w:hAnsi="Arial" w:cs="Arial"/>
          <w:sz w:val="24"/>
          <w:szCs w:val="24"/>
        </w:rPr>
        <w:t xml:space="preserve">, L. (2011). Should the law be certain? [online] Available at: </w:t>
      </w:r>
      <w:hyperlink r:id="rId7" w:history="1">
        <w:r w:rsidRPr="00790EA9">
          <w:rPr>
            <w:rStyle w:val="Hyperlink"/>
            <w:rFonts w:ascii="Arial" w:hAnsi="Arial" w:cs="Arial"/>
            <w:sz w:val="24"/>
            <w:szCs w:val="24"/>
          </w:rPr>
          <w:t>https://www.supremecourt.uk/docs/speech_111011.pdf</w:t>
        </w:r>
      </w:hyperlink>
      <w:r w:rsidRPr="00790EA9">
        <w:rPr>
          <w:rFonts w:ascii="Arial" w:hAnsi="Arial" w:cs="Arial"/>
          <w:sz w:val="24"/>
          <w:szCs w:val="24"/>
        </w:rPr>
        <w:t>.</w:t>
      </w:r>
    </w:p>
    <w:p w14:paraId="73EAB9DF" w14:textId="77777777" w:rsidR="00FB7251" w:rsidRPr="00790EA9" w:rsidRDefault="00FB7251" w:rsidP="00790EA9">
      <w:pPr>
        <w:pStyle w:val="ListParagraph"/>
        <w:numPr>
          <w:ilvl w:val="0"/>
          <w:numId w:val="1"/>
        </w:numPr>
        <w:rPr>
          <w:rFonts w:ascii="Arial" w:hAnsi="Arial" w:cs="Arial"/>
          <w:sz w:val="24"/>
          <w:szCs w:val="24"/>
        </w:rPr>
      </w:pPr>
      <w:r w:rsidRPr="00790EA9">
        <w:rPr>
          <w:rFonts w:ascii="Arial" w:hAnsi="Arial" w:cs="Arial"/>
          <w:sz w:val="24"/>
          <w:szCs w:val="24"/>
        </w:rPr>
        <w:t>Styles, S.C. (1994). The Rule of Parliament: Statutory Interpretation after Pepper v Hart. Oxford Journal of Legal Studies, [online] 14, p.151. Available at: https://heinonline.org/HOL/LandingPage?handle=hein.journals/oxfjls14&amp;div=18&amp;id=&amp;page= [Accessed 20 Feb. 2022].</w:t>
      </w:r>
    </w:p>
    <w:p w14:paraId="302D9856" w14:textId="77777777" w:rsidR="00FB7251" w:rsidRPr="00790EA9" w:rsidRDefault="00FB7251" w:rsidP="00790EA9">
      <w:pPr>
        <w:pStyle w:val="ListParagraph"/>
        <w:numPr>
          <w:ilvl w:val="0"/>
          <w:numId w:val="1"/>
        </w:numPr>
        <w:rPr>
          <w:rFonts w:ascii="Arial" w:hAnsi="Arial" w:cs="Arial"/>
          <w:sz w:val="24"/>
          <w:szCs w:val="24"/>
        </w:rPr>
      </w:pPr>
      <w:r w:rsidRPr="00790EA9">
        <w:rPr>
          <w:rFonts w:ascii="Arial" w:hAnsi="Arial" w:cs="Arial"/>
          <w:sz w:val="24"/>
          <w:szCs w:val="24"/>
        </w:rPr>
        <w:t xml:space="preserve">Walton, D., </w:t>
      </w:r>
      <w:proofErr w:type="spellStart"/>
      <w:r w:rsidRPr="00790EA9">
        <w:rPr>
          <w:rFonts w:ascii="Arial" w:hAnsi="Arial" w:cs="Arial"/>
          <w:sz w:val="24"/>
          <w:szCs w:val="24"/>
        </w:rPr>
        <w:t>Macagno</w:t>
      </w:r>
      <w:proofErr w:type="spellEnd"/>
      <w:r w:rsidRPr="00790EA9">
        <w:rPr>
          <w:rFonts w:ascii="Arial" w:hAnsi="Arial" w:cs="Arial"/>
          <w:sz w:val="24"/>
          <w:szCs w:val="24"/>
        </w:rPr>
        <w:t>, F. and Sartor, G. (2022). Statutory Interpretation: Pragmatics and Argumentation. Cambridge University Press.</w:t>
      </w:r>
    </w:p>
    <w:p w14:paraId="29E95EE6" w14:textId="77777777" w:rsidR="00FB7251" w:rsidRPr="00790EA9" w:rsidRDefault="00FB7251" w:rsidP="00790EA9">
      <w:pPr>
        <w:pStyle w:val="ListParagraph"/>
        <w:numPr>
          <w:ilvl w:val="0"/>
          <w:numId w:val="1"/>
        </w:numPr>
        <w:rPr>
          <w:rFonts w:ascii="Arial" w:hAnsi="Arial" w:cs="Arial"/>
          <w:sz w:val="24"/>
          <w:szCs w:val="24"/>
        </w:rPr>
      </w:pPr>
      <w:r w:rsidRPr="00790EA9">
        <w:rPr>
          <w:rFonts w:ascii="Arial" w:hAnsi="Arial" w:cs="Arial"/>
          <w:sz w:val="24"/>
          <w:szCs w:val="24"/>
        </w:rPr>
        <w:t xml:space="preserve">Webley, L. (2015). Complete public </w:t>
      </w:r>
      <w:proofErr w:type="gramStart"/>
      <w:r w:rsidRPr="00790EA9">
        <w:rPr>
          <w:rFonts w:ascii="Arial" w:hAnsi="Arial" w:cs="Arial"/>
          <w:sz w:val="24"/>
          <w:szCs w:val="24"/>
        </w:rPr>
        <w:t>law :</w:t>
      </w:r>
      <w:proofErr w:type="gramEnd"/>
      <w:r w:rsidRPr="00790EA9">
        <w:rPr>
          <w:rFonts w:ascii="Arial" w:hAnsi="Arial" w:cs="Arial"/>
          <w:sz w:val="24"/>
          <w:szCs w:val="24"/>
        </w:rPr>
        <w:t xml:space="preserve"> text, cases, and materials. 3rd edition ed. Oxford: Oxford University press.</w:t>
      </w:r>
    </w:p>
    <w:p w14:paraId="55BD8BBC" w14:textId="6039F142" w:rsidR="006B0B8D" w:rsidRPr="00790EA9" w:rsidRDefault="00FB7251" w:rsidP="00790EA9">
      <w:pPr>
        <w:pStyle w:val="ListParagraph"/>
        <w:numPr>
          <w:ilvl w:val="0"/>
          <w:numId w:val="1"/>
        </w:numPr>
        <w:rPr>
          <w:rFonts w:ascii="Arial" w:hAnsi="Arial" w:cs="Arial"/>
          <w:sz w:val="24"/>
          <w:szCs w:val="24"/>
        </w:rPr>
      </w:pPr>
      <w:r w:rsidRPr="00790EA9">
        <w:rPr>
          <w:rFonts w:ascii="Arial" w:hAnsi="Arial" w:cs="Arial"/>
          <w:sz w:val="24"/>
          <w:szCs w:val="24"/>
        </w:rPr>
        <w:t xml:space="preserve">Webley, L. (2021). Complete public </w:t>
      </w:r>
      <w:proofErr w:type="gramStart"/>
      <w:r w:rsidRPr="00790EA9">
        <w:rPr>
          <w:rFonts w:ascii="Arial" w:hAnsi="Arial" w:cs="Arial"/>
          <w:sz w:val="24"/>
          <w:szCs w:val="24"/>
        </w:rPr>
        <w:t>law :</w:t>
      </w:r>
      <w:proofErr w:type="gramEnd"/>
      <w:r w:rsidRPr="00790EA9">
        <w:rPr>
          <w:rFonts w:ascii="Arial" w:hAnsi="Arial" w:cs="Arial"/>
          <w:sz w:val="24"/>
          <w:szCs w:val="24"/>
        </w:rPr>
        <w:t xml:space="preserve"> text, cases, and materials. Fifth edition ed. Oxford: Oxford University Press.</w:t>
      </w:r>
    </w:p>
    <w:p w14:paraId="06769F94" w14:textId="77777777" w:rsidR="006B0B8D" w:rsidRDefault="006B0B8D">
      <w:pPr>
        <w:rPr>
          <w:rFonts w:ascii="Arial" w:hAnsi="Arial" w:cs="Arial"/>
          <w:sz w:val="24"/>
          <w:szCs w:val="24"/>
        </w:rPr>
      </w:pPr>
    </w:p>
    <w:p w14:paraId="6E76901F" w14:textId="77777777" w:rsidR="006B0B8D" w:rsidRPr="00183E47" w:rsidRDefault="006B0B8D">
      <w:pPr>
        <w:rPr>
          <w:rFonts w:ascii="Arial" w:hAnsi="Arial" w:cs="Arial"/>
          <w:sz w:val="24"/>
          <w:szCs w:val="24"/>
        </w:rPr>
      </w:pPr>
    </w:p>
    <w:sectPr w:rsidR="006B0B8D" w:rsidRPr="00183E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76EC0"/>
    <w:multiLevelType w:val="hybridMultilevel"/>
    <w:tmpl w:val="2444C3FC"/>
    <w:lvl w:ilvl="0" w:tplc="0972A8A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3E62AE"/>
    <w:multiLevelType w:val="hybridMultilevel"/>
    <w:tmpl w:val="98765182"/>
    <w:lvl w:ilvl="0" w:tplc="0972A8A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2051887">
    <w:abstractNumId w:val="1"/>
  </w:num>
  <w:num w:numId="2" w16cid:durableId="1309088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E47"/>
    <w:rsid w:val="00000727"/>
    <w:rsid w:val="00076E06"/>
    <w:rsid w:val="000C3E18"/>
    <w:rsid w:val="000D6F59"/>
    <w:rsid w:val="00150E0B"/>
    <w:rsid w:val="0017460E"/>
    <w:rsid w:val="00183E47"/>
    <w:rsid w:val="0019222D"/>
    <w:rsid w:val="002559AD"/>
    <w:rsid w:val="0030747E"/>
    <w:rsid w:val="0032543D"/>
    <w:rsid w:val="0032691A"/>
    <w:rsid w:val="003A7535"/>
    <w:rsid w:val="003C68AE"/>
    <w:rsid w:val="003C6DAA"/>
    <w:rsid w:val="00402AA6"/>
    <w:rsid w:val="004B307E"/>
    <w:rsid w:val="004D0C98"/>
    <w:rsid w:val="004D28DC"/>
    <w:rsid w:val="004F04BB"/>
    <w:rsid w:val="00544199"/>
    <w:rsid w:val="0055447E"/>
    <w:rsid w:val="005F53D4"/>
    <w:rsid w:val="006A709A"/>
    <w:rsid w:val="006B0B8D"/>
    <w:rsid w:val="00703BC0"/>
    <w:rsid w:val="00754FB0"/>
    <w:rsid w:val="00790EA9"/>
    <w:rsid w:val="00821C6A"/>
    <w:rsid w:val="00834514"/>
    <w:rsid w:val="00900E71"/>
    <w:rsid w:val="00917544"/>
    <w:rsid w:val="00934C65"/>
    <w:rsid w:val="009370F5"/>
    <w:rsid w:val="00960242"/>
    <w:rsid w:val="009764B5"/>
    <w:rsid w:val="00A16C59"/>
    <w:rsid w:val="00A7572C"/>
    <w:rsid w:val="00A96842"/>
    <w:rsid w:val="00AA7BB3"/>
    <w:rsid w:val="00AB086B"/>
    <w:rsid w:val="00AE1317"/>
    <w:rsid w:val="00AF126A"/>
    <w:rsid w:val="00B45A1D"/>
    <w:rsid w:val="00B671CB"/>
    <w:rsid w:val="00B73A45"/>
    <w:rsid w:val="00B84FB8"/>
    <w:rsid w:val="00BB473D"/>
    <w:rsid w:val="00BD07D8"/>
    <w:rsid w:val="00CA3DEA"/>
    <w:rsid w:val="00CE2BAB"/>
    <w:rsid w:val="00DC2D33"/>
    <w:rsid w:val="00E12A3E"/>
    <w:rsid w:val="00E3150D"/>
    <w:rsid w:val="00EB1D2D"/>
    <w:rsid w:val="00EE230C"/>
    <w:rsid w:val="00F35180"/>
    <w:rsid w:val="00F5668F"/>
    <w:rsid w:val="00F76AC7"/>
    <w:rsid w:val="00FB507C"/>
    <w:rsid w:val="00FB7251"/>
    <w:rsid w:val="00FD7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52890"/>
  <w15:chartTrackingRefBased/>
  <w15:docId w15:val="{84631013-293B-49AB-8147-F93BBD8D6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70F5"/>
    <w:pPr>
      <w:ind w:left="720"/>
      <w:contextualSpacing/>
    </w:pPr>
  </w:style>
  <w:style w:type="character" w:styleId="Hyperlink">
    <w:name w:val="Hyperlink"/>
    <w:basedOn w:val="DefaultParagraphFont"/>
    <w:uiPriority w:val="99"/>
    <w:unhideWhenUsed/>
    <w:rsid w:val="00960242"/>
    <w:rPr>
      <w:color w:val="0563C1" w:themeColor="hyperlink"/>
      <w:u w:val="single"/>
    </w:rPr>
  </w:style>
  <w:style w:type="character" w:styleId="UnresolvedMention">
    <w:name w:val="Unresolved Mention"/>
    <w:basedOn w:val="DefaultParagraphFont"/>
    <w:uiPriority w:val="99"/>
    <w:semiHidden/>
    <w:unhideWhenUsed/>
    <w:rsid w:val="00960242"/>
    <w:rPr>
      <w:color w:val="605E5C"/>
      <w:shd w:val="clear" w:color="auto" w:fill="E1DFDD"/>
    </w:rPr>
  </w:style>
  <w:style w:type="paragraph" w:styleId="NormalWeb">
    <w:name w:val="Normal (Web)"/>
    <w:basedOn w:val="Normal"/>
    <w:uiPriority w:val="99"/>
    <w:unhideWhenUsed/>
    <w:rsid w:val="00FB725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29425">
      <w:bodyDiv w:val="1"/>
      <w:marLeft w:val="0"/>
      <w:marRight w:val="0"/>
      <w:marTop w:val="0"/>
      <w:marBottom w:val="0"/>
      <w:divBdr>
        <w:top w:val="none" w:sz="0" w:space="0" w:color="auto"/>
        <w:left w:val="none" w:sz="0" w:space="0" w:color="auto"/>
        <w:bottom w:val="none" w:sz="0" w:space="0" w:color="auto"/>
        <w:right w:val="none" w:sz="0" w:space="0" w:color="auto"/>
      </w:divBdr>
      <w:divsChild>
        <w:div w:id="11087407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upremecourt.uk/docs/speech_11101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brief.co.uk/legal-system/statutory-interpretation/" TargetMode="External"/><Relationship Id="rId5" Type="http://schemas.openxmlformats.org/officeDocument/2006/relationships/hyperlink" Target="https://www.gov.uk/government/publications/when-laws-become-too-complex/when-laws-become-too-complex"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4</Pages>
  <Words>1567</Words>
  <Characters>8936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meigonpeters123@icloud.com</dc:creator>
  <cp:keywords/>
  <dc:description/>
  <cp:lastModifiedBy>meigonpeters123@icloud.com</cp:lastModifiedBy>
  <cp:revision>49</cp:revision>
  <dcterms:created xsi:type="dcterms:W3CDTF">2022-12-04T12:52:00Z</dcterms:created>
  <dcterms:modified xsi:type="dcterms:W3CDTF">2022-12-05T17:25:00Z</dcterms:modified>
</cp:coreProperties>
</file>