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707CB" w14:textId="77777777" w:rsidR="001B7DB2" w:rsidRDefault="001B7DB2" w:rsidP="00130213">
      <w:pPr>
        <w:spacing w:line="360" w:lineRule="auto"/>
        <w:rPr>
          <w:rFonts w:ascii="Arial" w:hAnsi="Arial" w:cs="Arial"/>
          <w:b/>
          <w:bCs/>
          <w:sz w:val="24"/>
          <w:szCs w:val="24"/>
          <w:u w:val="single"/>
        </w:rPr>
      </w:pPr>
    </w:p>
    <w:p w14:paraId="6A46BFA9" w14:textId="0E4FA5C4" w:rsidR="001B7DB2" w:rsidRDefault="001B7DB2" w:rsidP="001B7DB2">
      <w:pPr>
        <w:jc w:val="center"/>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17FDE">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BM5005_BIRM Introduction to Research</w:t>
      </w:r>
      <w:r w:rsidR="000031E4">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Component 2</w:t>
      </w:r>
      <w:r w:rsidRPr="00E17FDE">
        <w:rPr>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3733ADE8" w14:textId="77777777" w:rsidR="001B7DB2" w:rsidRDefault="001B7DB2" w:rsidP="001B7DB2">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4A36C41" w14:textId="77777777" w:rsidR="001B7DB2" w:rsidRDefault="001B7DB2" w:rsidP="001B7DB2">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C7CE4B0" w14:textId="77777777" w:rsidR="001B7DB2" w:rsidRPr="00E17FDE" w:rsidRDefault="001B7DB2" w:rsidP="001B7DB2">
      <w:pPr>
        <w:jc w:val="center"/>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17FDE">
        <w:rPr>
          <w:b/>
          <w:bCs/>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To explore the impact/causes of Serious Youth Violence and to investigate its relationship with gang affiliation and Adverse Childhood Experiences</w:t>
      </w:r>
    </w:p>
    <w:p w14:paraId="202FBA19" w14:textId="77777777" w:rsidR="001B7DB2" w:rsidRDefault="001B7DB2" w:rsidP="00130213">
      <w:pPr>
        <w:spacing w:line="360" w:lineRule="auto"/>
        <w:rPr>
          <w:rFonts w:ascii="Arial" w:hAnsi="Arial" w:cs="Arial"/>
          <w:b/>
          <w:bCs/>
          <w:sz w:val="24"/>
          <w:szCs w:val="24"/>
          <w:u w:val="single"/>
        </w:rPr>
      </w:pPr>
    </w:p>
    <w:p w14:paraId="2D7B9DF4" w14:textId="77777777" w:rsidR="001B7DB2" w:rsidRDefault="001B7DB2" w:rsidP="00130213">
      <w:pPr>
        <w:spacing w:line="360" w:lineRule="auto"/>
        <w:rPr>
          <w:rFonts w:ascii="Arial" w:hAnsi="Arial" w:cs="Arial"/>
          <w:b/>
          <w:bCs/>
          <w:sz w:val="24"/>
          <w:szCs w:val="24"/>
          <w:u w:val="single"/>
        </w:rPr>
      </w:pPr>
    </w:p>
    <w:p w14:paraId="3A0B5C1B" w14:textId="7E5DFD10" w:rsidR="000202C6" w:rsidRPr="00130213" w:rsidRDefault="000202C6" w:rsidP="00130213">
      <w:pPr>
        <w:spacing w:line="360" w:lineRule="auto"/>
        <w:rPr>
          <w:rFonts w:ascii="Arial" w:hAnsi="Arial" w:cs="Arial"/>
          <w:b/>
          <w:bCs/>
          <w:sz w:val="24"/>
          <w:szCs w:val="24"/>
          <w:u w:val="single"/>
        </w:rPr>
      </w:pPr>
      <w:r w:rsidRPr="00130213">
        <w:rPr>
          <w:rFonts w:ascii="Arial" w:hAnsi="Arial" w:cs="Arial"/>
          <w:b/>
          <w:bCs/>
          <w:sz w:val="24"/>
          <w:szCs w:val="24"/>
          <w:u w:val="single"/>
        </w:rPr>
        <w:lastRenderedPageBreak/>
        <w:t xml:space="preserve">Context of literature </w:t>
      </w:r>
    </w:p>
    <w:p w14:paraId="1BFCF3A3" w14:textId="45EA4EB1" w:rsidR="00173A0A" w:rsidRPr="00130213" w:rsidRDefault="00F6435C" w:rsidP="00130213">
      <w:pPr>
        <w:spacing w:line="360" w:lineRule="auto"/>
        <w:rPr>
          <w:rFonts w:ascii="Arial" w:hAnsi="Arial" w:cs="Arial"/>
          <w:color w:val="2C3E50"/>
          <w:sz w:val="24"/>
          <w:szCs w:val="24"/>
          <w:shd w:val="clear" w:color="auto" w:fill="FFFFFF"/>
        </w:rPr>
      </w:pPr>
      <w:r w:rsidRPr="00130213">
        <w:rPr>
          <w:rFonts w:ascii="Arial" w:hAnsi="Arial" w:cs="Arial"/>
          <w:sz w:val="24"/>
          <w:szCs w:val="24"/>
        </w:rPr>
        <w:t xml:space="preserve">As mentioned in the Literature Review there are rising concerns pertaining to Serious Youth Violence (SYV) around the United Kingdom, but particular focus is laid upon those </w:t>
      </w:r>
      <w:r w:rsidR="007800A1" w:rsidRPr="00130213">
        <w:rPr>
          <w:rFonts w:ascii="Arial" w:hAnsi="Arial" w:cs="Arial"/>
          <w:sz w:val="24"/>
          <w:szCs w:val="24"/>
        </w:rPr>
        <w:t>s</w:t>
      </w:r>
      <w:r w:rsidRPr="00130213">
        <w:rPr>
          <w:rFonts w:ascii="Arial" w:hAnsi="Arial" w:cs="Arial"/>
          <w:sz w:val="24"/>
          <w:szCs w:val="24"/>
        </w:rPr>
        <w:t xml:space="preserve">erious incidents which have taken place in Birmingham. Another area focus is to pay attention to the contribution that Adverse Childhood Experiences (ACES) have upon young people which may well cause them to become involved in gangs, criminal activity and SYV. In 2018 this was a pivotal point in which we seen a rise in SYV around the country </w:t>
      </w:r>
      <w:r w:rsidR="00173A0A" w:rsidRPr="00130213">
        <w:rPr>
          <w:rFonts w:ascii="Arial" w:hAnsi="Arial" w:cs="Arial"/>
          <w:sz w:val="24"/>
          <w:szCs w:val="24"/>
        </w:rPr>
        <w:t xml:space="preserve">with </w:t>
      </w:r>
      <w:r w:rsidR="00173A0A" w:rsidRPr="00130213">
        <w:rPr>
          <w:rFonts w:ascii="Arial" w:hAnsi="Arial" w:cs="Arial"/>
          <w:color w:val="2C3E50"/>
          <w:sz w:val="24"/>
          <w:szCs w:val="24"/>
          <w:shd w:val="clear" w:color="auto" w:fill="FFFFFF"/>
        </w:rPr>
        <w:t>Densley, Deuchar and Harding</w:t>
      </w:r>
      <w:r w:rsidR="00173A0A" w:rsidRPr="00130213">
        <w:rPr>
          <w:rFonts w:ascii="Arial" w:hAnsi="Arial" w:cs="Arial"/>
          <w:color w:val="2C3E50"/>
          <w:sz w:val="24"/>
          <w:szCs w:val="24"/>
          <w:shd w:val="clear" w:color="auto" w:fill="FFFFFF"/>
        </w:rPr>
        <w:t xml:space="preserve"> (2020) recommending that work on this special issue commenced in 2018 describing the issues around SYV as a ‘watershed year.’ It became clear at this point that the victim and perpetrators of SYV were becoming younger and young with the level of injuries seen to be getting more violent. According to the statistics by HM Government (2018) it was stated that as the offences became more serious including knife crime offence, homicide etc it the violence appeared to be male on male crime as opposed to violence against women and girls.  Although there is a vast issue in the United Kingdom as it relates to SYV, Birmingham undoubtedly</w:t>
      </w:r>
      <w:r w:rsidR="009B297B" w:rsidRPr="00130213">
        <w:rPr>
          <w:rFonts w:ascii="Arial" w:hAnsi="Arial" w:cs="Arial"/>
          <w:color w:val="2C3E50"/>
          <w:sz w:val="24"/>
          <w:szCs w:val="24"/>
          <w:shd w:val="clear" w:color="auto" w:fill="FFFFFF"/>
        </w:rPr>
        <w:t xml:space="preserve"> recorded the greatest number of youth deaths. Due to the increase of SYV public have lost trust in the police to ensure the safety of victims and their families </w:t>
      </w:r>
      <w:r w:rsidR="00173A0A" w:rsidRPr="00130213">
        <w:rPr>
          <w:rFonts w:ascii="Arial" w:hAnsi="Arial" w:cs="Arial"/>
          <w:sz w:val="24"/>
          <w:szCs w:val="24"/>
        </w:rPr>
        <w:t>(FitzGerald, 2018)</w:t>
      </w:r>
      <w:r w:rsidR="009B297B" w:rsidRPr="00130213">
        <w:rPr>
          <w:rFonts w:ascii="Arial" w:hAnsi="Arial" w:cs="Arial"/>
          <w:sz w:val="24"/>
          <w:szCs w:val="24"/>
        </w:rPr>
        <w:t xml:space="preserve"> due to this then came the Serious Youth Violence Strategy which aimed to reduce the levels on SYV across the country</w:t>
      </w:r>
      <w:r w:rsidR="00173A0A" w:rsidRPr="00130213">
        <w:rPr>
          <w:rFonts w:ascii="Arial" w:hAnsi="Arial" w:cs="Arial"/>
          <w:sz w:val="24"/>
          <w:szCs w:val="24"/>
        </w:rPr>
        <w:t xml:space="preserve"> (HM Government, 2018).</w:t>
      </w:r>
    </w:p>
    <w:p w14:paraId="5F59AC11" w14:textId="6F7CCDE9" w:rsidR="00173A0A" w:rsidRDefault="00173A0A" w:rsidP="00130213">
      <w:pPr>
        <w:spacing w:line="360" w:lineRule="auto"/>
        <w:rPr>
          <w:rFonts w:ascii="Arial" w:hAnsi="Arial" w:cs="Arial"/>
          <w:sz w:val="24"/>
          <w:szCs w:val="24"/>
        </w:rPr>
      </w:pPr>
      <w:r w:rsidRPr="00130213">
        <w:rPr>
          <w:rFonts w:ascii="Arial" w:hAnsi="Arial" w:cs="Arial"/>
          <w:color w:val="2C3E50"/>
          <w:sz w:val="24"/>
          <w:szCs w:val="24"/>
          <w:shd w:val="clear" w:color="auto" w:fill="FFFFFF"/>
        </w:rPr>
        <w:t xml:space="preserve">Moreover, </w:t>
      </w:r>
      <w:r w:rsidR="009B297B" w:rsidRPr="00130213">
        <w:rPr>
          <w:rFonts w:ascii="Arial" w:hAnsi="Arial" w:cs="Arial"/>
          <w:color w:val="2C3E50"/>
          <w:sz w:val="24"/>
          <w:szCs w:val="24"/>
          <w:shd w:val="clear" w:color="auto" w:fill="FFFFFF"/>
        </w:rPr>
        <w:t xml:space="preserve">SYV in a form of exploitation which is seeing a number of young people being coerced and controlled to commit serious offence along with country line drug dealing which again influences serious youth violence as the drugs require protection. </w:t>
      </w:r>
      <w:r w:rsidR="00D4531F" w:rsidRPr="00130213">
        <w:rPr>
          <w:rFonts w:ascii="Arial" w:hAnsi="Arial" w:cs="Arial"/>
          <w:color w:val="2C3E50"/>
          <w:sz w:val="24"/>
          <w:szCs w:val="24"/>
          <w:shd w:val="clear" w:color="auto" w:fill="FFFFFF"/>
        </w:rPr>
        <w:t xml:space="preserve">When we consider how ACES and SYV interconnect it is quite apparent that ACE’s play a significant part when explaining what constitutes violence. </w:t>
      </w:r>
      <w:r w:rsidR="007E7ED7" w:rsidRPr="00130213">
        <w:rPr>
          <w:rFonts w:ascii="Arial" w:hAnsi="Arial" w:cs="Arial"/>
          <w:color w:val="2C3E50"/>
          <w:sz w:val="24"/>
          <w:szCs w:val="24"/>
          <w:shd w:val="clear" w:color="auto" w:fill="FFFFFF"/>
        </w:rPr>
        <w:t xml:space="preserve">A large amount of research has been devoted to examining the relationship between destructive and violent behaviour alone with trauma  </w:t>
      </w:r>
      <w:r w:rsidR="007E7ED7" w:rsidRPr="00130213">
        <w:rPr>
          <w:rFonts w:ascii="Arial" w:hAnsi="Arial" w:cs="Arial"/>
          <w:sz w:val="24"/>
          <w:szCs w:val="24"/>
        </w:rPr>
        <w:t>(Crimmins et al., 2000; Fox et al., 2015; Orth &amp; Wieland, 2006; Taft et al., 2011; Wolfe et al., 2004).</w:t>
      </w:r>
      <w:r w:rsidR="007E7ED7" w:rsidRPr="00130213">
        <w:rPr>
          <w:rFonts w:ascii="Arial" w:hAnsi="Arial" w:cs="Arial"/>
          <w:sz w:val="24"/>
          <w:szCs w:val="24"/>
        </w:rPr>
        <w:t xml:space="preserve">ACEs makes it difficult for individuals to regulate their emotions especially those who have been affected by their experiences. A s a result of being unable to regulate their emotions, individuals begin to display reactive aggression this is in fact validated by </w:t>
      </w:r>
      <w:r w:rsidR="007E7ED7" w:rsidRPr="00130213">
        <w:rPr>
          <w:rFonts w:ascii="Arial" w:hAnsi="Arial" w:cs="Arial"/>
          <w:sz w:val="24"/>
          <w:szCs w:val="24"/>
        </w:rPr>
        <w:t>Ford (2002)</w:t>
      </w:r>
      <w:r w:rsidR="007E7ED7" w:rsidRPr="00130213">
        <w:rPr>
          <w:rFonts w:ascii="Arial" w:hAnsi="Arial" w:cs="Arial"/>
          <w:sz w:val="24"/>
          <w:szCs w:val="24"/>
        </w:rPr>
        <w:t xml:space="preserve"> who contends that if one is impacted in early childhood with distressing </w:t>
      </w:r>
      <w:r w:rsidR="00550694" w:rsidRPr="00130213">
        <w:rPr>
          <w:rFonts w:ascii="Arial" w:hAnsi="Arial" w:cs="Arial"/>
          <w:sz w:val="24"/>
          <w:szCs w:val="24"/>
        </w:rPr>
        <w:t>experiences,</w:t>
      </w:r>
      <w:r w:rsidR="007E7ED7" w:rsidRPr="00130213">
        <w:rPr>
          <w:rFonts w:ascii="Arial" w:hAnsi="Arial" w:cs="Arial"/>
          <w:sz w:val="24"/>
          <w:szCs w:val="24"/>
        </w:rPr>
        <w:t xml:space="preserve"> it then affects central aspects of the brain as well as </w:t>
      </w:r>
      <w:r w:rsidR="00317888" w:rsidRPr="00130213">
        <w:rPr>
          <w:rFonts w:ascii="Arial" w:hAnsi="Arial" w:cs="Arial"/>
          <w:sz w:val="24"/>
          <w:szCs w:val="24"/>
        </w:rPr>
        <w:t>one’s</w:t>
      </w:r>
      <w:r w:rsidR="007E7ED7" w:rsidRPr="00130213">
        <w:rPr>
          <w:rFonts w:ascii="Arial" w:hAnsi="Arial" w:cs="Arial"/>
          <w:sz w:val="24"/>
          <w:szCs w:val="24"/>
        </w:rPr>
        <w:t xml:space="preserve"> personality development exacerbating their inability to self-regulate. </w:t>
      </w:r>
      <w:r w:rsidR="00B16527" w:rsidRPr="00130213">
        <w:rPr>
          <w:rFonts w:ascii="Arial" w:hAnsi="Arial" w:cs="Arial"/>
          <w:sz w:val="24"/>
          <w:szCs w:val="24"/>
        </w:rPr>
        <w:t xml:space="preserve">Pollak and colleagues (2000) further support this claim by proposing reasoning that those ACEs which include emotional neglect and/or physical harm it can result in individuals being consumed by hyperactivity and also making them more susceptible to having difficulties in discriminating emotive expressions. In </w:t>
      </w:r>
      <w:r w:rsidR="00DE3619" w:rsidRPr="00130213">
        <w:rPr>
          <w:rFonts w:ascii="Arial" w:hAnsi="Arial" w:cs="Arial"/>
          <w:sz w:val="24"/>
          <w:szCs w:val="24"/>
        </w:rPr>
        <w:t>addition,</w:t>
      </w:r>
      <w:r w:rsidR="00B16527" w:rsidRPr="00130213">
        <w:rPr>
          <w:rFonts w:ascii="Arial" w:hAnsi="Arial" w:cs="Arial"/>
          <w:sz w:val="24"/>
          <w:szCs w:val="24"/>
        </w:rPr>
        <w:t xml:space="preserve"> Spinazzola et al (2005) points out that due to being unable to regulate or understand their emotions, individuals tend up become reliant on their detection of anger which can explain their involvement with criminal activity and SYV. </w:t>
      </w:r>
    </w:p>
    <w:p w14:paraId="21F44F3E" w14:textId="1DE7CAF9" w:rsidR="00784B1F" w:rsidRDefault="00784B1F" w:rsidP="00130213">
      <w:pPr>
        <w:spacing w:line="360" w:lineRule="auto"/>
        <w:rPr>
          <w:rFonts w:ascii="Arial" w:hAnsi="Arial" w:cs="Arial"/>
          <w:color w:val="2C3E50"/>
          <w:sz w:val="24"/>
          <w:szCs w:val="24"/>
          <w:shd w:val="clear" w:color="auto" w:fill="FFFFFF"/>
        </w:rPr>
      </w:pPr>
      <w:r w:rsidRPr="00A87AA0">
        <w:rPr>
          <w:rFonts w:ascii="Arial" w:hAnsi="Arial" w:cs="Arial"/>
          <w:color w:val="2C3E50"/>
          <w:sz w:val="24"/>
          <w:szCs w:val="24"/>
          <w:shd w:val="clear" w:color="auto" w:fill="FFFFFF"/>
        </w:rPr>
        <w:t xml:space="preserve">Deriving </w:t>
      </w:r>
      <w:r>
        <w:rPr>
          <w:rFonts w:ascii="Arial" w:hAnsi="Arial" w:cs="Arial"/>
          <w:color w:val="2C3E50"/>
          <w:sz w:val="24"/>
          <w:szCs w:val="24"/>
          <w:shd w:val="clear" w:color="auto" w:fill="FFFFFF"/>
        </w:rPr>
        <w:t xml:space="preserve">from the literature it became apparent that a number of strategies have been put in place to address the concerns around </w:t>
      </w:r>
      <w:proofErr w:type="gramStart"/>
      <w:r>
        <w:rPr>
          <w:rFonts w:ascii="Arial" w:hAnsi="Arial" w:cs="Arial"/>
          <w:color w:val="2C3E50"/>
          <w:sz w:val="24"/>
          <w:szCs w:val="24"/>
          <w:shd w:val="clear" w:color="auto" w:fill="FFFFFF"/>
        </w:rPr>
        <w:t>SYV</w:t>
      </w:r>
      <w:proofErr w:type="gramEnd"/>
      <w:r>
        <w:rPr>
          <w:rFonts w:ascii="Arial" w:hAnsi="Arial" w:cs="Arial"/>
          <w:color w:val="2C3E50"/>
          <w:sz w:val="24"/>
          <w:szCs w:val="24"/>
          <w:shd w:val="clear" w:color="auto" w:fill="FFFFFF"/>
        </w:rPr>
        <w:t xml:space="preserve"> but it appears that the rates are increasing exceedingly high. There have been on going debates as to how best to address these concerns thinking of the best ways to intervene in a hope to prevent the violence from intensifying further </w:t>
      </w:r>
      <w:bookmarkStart w:id="0" w:name="_Hlk130211523"/>
      <w:r>
        <w:rPr>
          <w:rFonts w:ascii="Arial" w:hAnsi="Arial" w:cs="Arial"/>
          <w:color w:val="2C3E50"/>
          <w:sz w:val="24"/>
          <w:szCs w:val="24"/>
          <w:shd w:val="clear" w:color="auto" w:fill="FFFFFF"/>
        </w:rPr>
        <w:t>(</w:t>
      </w:r>
      <w:r w:rsidRPr="00130213">
        <w:rPr>
          <w:rFonts w:ascii="Arial" w:hAnsi="Arial" w:cs="Arial"/>
          <w:color w:val="2C3E50"/>
          <w:sz w:val="24"/>
          <w:szCs w:val="24"/>
          <w:shd w:val="clear" w:color="auto" w:fill="FFFFFF"/>
        </w:rPr>
        <w:t>Densley, Deuchar and Harding</w:t>
      </w:r>
      <w:r>
        <w:rPr>
          <w:rFonts w:ascii="Arial" w:hAnsi="Arial" w:cs="Arial"/>
          <w:color w:val="2C3E50"/>
          <w:sz w:val="24"/>
          <w:szCs w:val="24"/>
          <w:shd w:val="clear" w:color="auto" w:fill="FFFFFF"/>
        </w:rPr>
        <w:t xml:space="preserve">, </w:t>
      </w:r>
      <w:r w:rsidRPr="00130213">
        <w:rPr>
          <w:rFonts w:ascii="Arial" w:hAnsi="Arial" w:cs="Arial"/>
          <w:color w:val="2C3E50"/>
          <w:sz w:val="24"/>
          <w:szCs w:val="24"/>
          <w:shd w:val="clear" w:color="auto" w:fill="FFFFFF"/>
        </w:rPr>
        <w:t>2020)</w:t>
      </w:r>
      <w:r>
        <w:rPr>
          <w:rFonts w:ascii="Arial" w:hAnsi="Arial" w:cs="Arial"/>
          <w:color w:val="2C3E50"/>
          <w:sz w:val="24"/>
          <w:szCs w:val="24"/>
          <w:shd w:val="clear" w:color="auto" w:fill="FFFFFF"/>
        </w:rPr>
        <w:t xml:space="preserve">. </w:t>
      </w:r>
      <w:bookmarkEnd w:id="0"/>
      <w:r>
        <w:rPr>
          <w:rFonts w:ascii="Arial" w:hAnsi="Arial" w:cs="Arial"/>
          <w:color w:val="2C3E50"/>
          <w:sz w:val="24"/>
          <w:szCs w:val="24"/>
          <w:shd w:val="clear" w:color="auto" w:fill="FFFFFF"/>
        </w:rPr>
        <w:t>It is worth noting that in order to help to reduce the concerns around SYV collections from police gang data bases have been obtains b a number of researchers in order to collate information to introduce better responses through such things as harm reduction and contextual safeguarding strategies (</w:t>
      </w:r>
      <w:r w:rsidRPr="00130213">
        <w:rPr>
          <w:rFonts w:ascii="Arial" w:hAnsi="Arial" w:cs="Arial"/>
          <w:color w:val="2C3E50"/>
          <w:sz w:val="24"/>
          <w:szCs w:val="24"/>
          <w:shd w:val="clear" w:color="auto" w:fill="FFFFFF"/>
        </w:rPr>
        <w:t>Densley, Deuchar and Harding</w:t>
      </w:r>
      <w:r>
        <w:rPr>
          <w:rFonts w:ascii="Arial" w:hAnsi="Arial" w:cs="Arial"/>
          <w:color w:val="2C3E50"/>
          <w:sz w:val="24"/>
          <w:szCs w:val="24"/>
          <w:shd w:val="clear" w:color="auto" w:fill="FFFFFF"/>
        </w:rPr>
        <w:t xml:space="preserve">, </w:t>
      </w:r>
      <w:r w:rsidRPr="00130213">
        <w:rPr>
          <w:rFonts w:ascii="Arial" w:hAnsi="Arial" w:cs="Arial"/>
          <w:color w:val="2C3E50"/>
          <w:sz w:val="24"/>
          <w:szCs w:val="24"/>
          <w:shd w:val="clear" w:color="auto" w:fill="FFFFFF"/>
        </w:rPr>
        <w:t>2020)</w:t>
      </w:r>
      <w:r>
        <w:rPr>
          <w:rFonts w:ascii="Arial" w:hAnsi="Arial" w:cs="Arial"/>
          <w:color w:val="2C3E50"/>
          <w:sz w:val="24"/>
          <w:szCs w:val="24"/>
          <w:shd w:val="clear" w:color="auto" w:fill="FFFFFF"/>
        </w:rPr>
        <w:t xml:space="preserve">. The important factors to also consider whilst thinking of prevention strategies is to also take into consideration individuals mental health and discussions around desistance factors. </w:t>
      </w:r>
    </w:p>
    <w:p w14:paraId="6062761E" w14:textId="5A00A98D" w:rsidR="000031E4" w:rsidRPr="000031E4" w:rsidRDefault="000031E4" w:rsidP="00130213">
      <w:pPr>
        <w:spacing w:line="360" w:lineRule="auto"/>
        <w:rPr>
          <w:rFonts w:ascii="Arial" w:hAnsi="Arial" w:cs="Arial"/>
          <w:b/>
          <w:bCs/>
          <w:color w:val="2C3E50"/>
          <w:sz w:val="24"/>
          <w:szCs w:val="24"/>
          <w:u w:val="single"/>
          <w:shd w:val="clear" w:color="auto" w:fill="FFFFFF"/>
        </w:rPr>
      </w:pPr>
      <w:r w:rsidRPr="000031E4">
        <w:rPr>
          <w:rFonts w:ascii="Arial" w:hAnsi="Arial" w:cs="Arial"/>
          <w:b/>
          <w:bCs/>
          <w:color w:val="2C3E50"/>
          <w:sz w:val="24"/>
          <w:szCs w:val="24"/>
          <w:u w:val="single"/>
          <w:shd w:val="clear" w:color="auto" w:fill="FFFFFF"/>
        </w:rPr>
        <w:t xml:space="preserve">Method and Methodology </w:t>
      </w:r>
    </w:p>
    <w:p w14:paraId="1B9531BC" w14:textId="0F2682CC" w:rsidR="0028019E" w:rsidRDefault="007800A1" w:rsidP="00130213">
      <w:pPr>
        <w:spacing w:line="360" w:lineRule="auto"/>
        <w:rPr>
          <w:rFonts w:ascii="Arial" w:hAnsi="Arial" w:cs="Arial"/>
          <w:color w:val="2C3E50"/>
          <w:sz w:val="24"/>
          <w:szCs w:val="24"/>
          <w:shd w:val="clear" w:color="auto" w:fill="FFFFFF"/>
        </w:rPr>
      </w:pPr>
      <w:r w:rsidRPr="00130213">
        <w:rPr>
          <w:rFonts w:ascii="Arial" w:hAnsi="Arial" w:cs="Arial"/>
          <w:color w:val="2C3E50"/>
          <w:sz w:val="24"/>
          <w:szCs w:val="24"/>
          <w:shd w:val="clear" w:color="auto" w:fill="FFFFFF"/>
        </w:rPr>
        <w:t>Essentially, the methodological approach used ensures that primary research is utilised through the use of qualitative analysis. The need for semi structured interview within this type of study is imperative as it allows for further subject and knowledge about the given research question. It also allows for those participants to be able to have a safe space to share their lived experiences.</w:t>
      </w:r>
      <w:r w:rsidR="00130213" w:rsidRPr="00130213">
        <w:rPr>
          <w:rFonts w:ascii="Arial" w:hAnsi="Arial" w:cs="Arial"/>
          <w:color w:val="2C3E50"/>
          <w:sz w:val="24"/>
          <w:szCs w:val="24"/>
          <w:shd w:val="clear" w:color="auto" w:fill="FFFFFF"/>
        </w:rPr>
        <w:t xml:space="preserve"> When allowing participants to be naturistic in the way in which they answer the questions as it relates to the research study it enables them to focus on their experiences while it is the researchers job to interpret and analyse the information provided </w:t>
      </w:r>
      <w:r w:rsidR="00130213" w:rsidRPr="00130213">
        <w:rPr>
          <w:rFonts w:ascii="Arial" w:hAnsi="Arial" w:cs="Arial"/>
          <w:sz w:val="24"/>
          <w:szCs w:val="24"/>
        </w:rPr>
        <w:t>Warren C</w:t>
      </w:r>
      <w:r w:rsidR="00130213" w:rsidRPr="00130213">
        <w:rPr>
          <w:rFonts w:ascii="Arial" w:hAnsi="Arial" w:cs="Arial"/>
          <w:sz w:val="24"/>
          <w:szCs w:val="24"/>
        </w:rPr>
        <w:t>., &amp;</w:t>
      </w:r>
      <w:r w:rsidR="00130213" w:rsidRPr="00130213">
        <w:rPr>
          <w:rFonts w:ascii="Arial" w:hAnsi="Arial" w:cs="Arial"/>
          <w:sz w:val="24"/>
          <w:szCs w:val="24"/>
        </w:rPr>
        <w:t xml:space="preserve"> </w:t>
      </w:r>
      <w:proofErr w:type="spellStart"/>
      <w:r w:rsidR="00130213" w:rsidRPr="00130213">
        <w:rPr>
          <w:rFonts w:ascii="Arial" w:hAnsi="Arial" w:cs="Arial"/>
          <w:sz w:val="24"/>
          <w:szCs w:val="24"/>
        </w:rPr>
        <w:t>Karner</w:t>
      </w:r>
      <w:proofErr w:type="spellEnd"/>
      <w:r w:rsidR="00130213" w:rsidRPr="00130213">
        <w:rPr>
          <w:rFonts w:ascii="Arial" w:hAnsi="Arial" w:cs="Arial"/>
          <w:sz w:val="24"/>
          <w:szCs w:val="24"/>
        </w:rPr>
        <w:t xml:space="preserve"> T.</w:t>
      </w:r>
      <w:r w:rsidR="00130213" w:rsidRPr="00130213">
        <w:rPr>
          <w:rFonts w:ascii="Arial" w:hAnsi="Arial" w:cs="Arial"/>
          <w:sz w:val="24"/>
          <w:szCs w:val="24"/>
        </w:rPr>
        <w:t xml:space="preserve"> (2005).</w:t>
      </w:r>
      <w:r w:rsidRPr="00130213">
        <w:rPr>
          <w:rFonts w:ascii="Arial" w:hAnsi="Arial" w:cs="Arial"/>
          <w:color w:val="2C3E50"/>
          <w:sz w:val="24"/>
          <w:szCs w:val="24"/>
          <w:shd w:val="clear" w:color="auto" w:fill="FFFFFF"/>
        </w:rPr>
        <w:t xml:space="preserve"> It appears that one of the most recognizable ways of undertaking qualitative research is through semi structured interviews (</w:t>
      </w:r>
      <w:r w:rsidRPr="00130213">
        <w:rPr>
          <w:rFonts w:ascii="Arial" w:hAnsi="Arial" w:cs="Arial"/>
          <w:color w:val="2C3E50"/>
          <w:sz w:val="24"/>
          <w:szCs w:val="24"/>
          <w:shd w:val="clear" w:color="auto" w:fill="FFFFFF"/>
        </w:rPr>
        <w:t>DiCicco-Bloom and Crabtree, 2006</w:t>
      </w:r>
      <w:r w:rsidRPr="00130213">
        <w:rPr>
          <w:rFonts w:ascii="Arial" w:hAnsi="Arial" w:cs="Arial"/>
          <w:color w:val="2C3E50"/>
          <w:sz w:val="24"/>
          <w:szCs w:val="24"/>
          <w:shd w:val="clear" w:color="auto" w:fill="FFFFFF"/>
        </w:rPr>
        <w:t xml:space="preserve">). </w:t>
      </w:r>
      <w:r w:rsidR="00130213" w:rsidRPr="00130213">
        <w:rPr>
          <w:rFonts w:ascii="Arial" w:hAnsi="Arial" w:cs="Arial"/>
          <w:color w:val="2C3E50"/>
          <w:sz w:val="24"/>
          <w:szCs w:val="24"/>
          <w:shd w:val="clear" w:color="auto" w:fill="FFFFFF"/>
        </w:rPr>
        <w:t xml:space="preserve">Meanwhile Bryman (2012) recognises that by allowing for participants to speak of their lived experience it permits the researcher to obtain a more emblematic stance through the use of qualitative data collection.  </w:t>
      </w:r>
    </w:p>
    <w:p w14:paraId="53749670" w14:textId="2DFEFCEB" w:rsidR="00313BB0" w:rsidRDefault="00313BB0" w:rsidP="00130213">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The method used to disseminate the date is outlined below:- </w:t>
      </w:r>
    </w:p>
    <w:p w14:paraId="1C7F8738" w14:textId="5AA37A3C" w:rsidR="00313BB0" w:rsidRPr="00130213" w:rsidRDefault="000C62FD" w:rsidP="00130213">
      <w:pPr>
        <w:spacing w:line="360" w:lineRule="auto"/>
        <w:rPr>
          <w:rFonts w:ascii="Arial" w:hAnsi="Arial" w:cs="Arial"/>
          <w:color w:val="2C3E50"/>
          <w:sz w:val="24"/>
          <w:szCs w:val="24"/>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7456" behindDoc="0" locked="0" layoutInCell="1" allowOverlap="1" wp14:anchorId="4C952D28" wp14:editId="2F436C1E">
                <wp:simplePos x="0" y="0"/>
                <wp:positionH relativeFrom="column">
                  <wp:posOffset>1771650</wp:posOffset>
                </wp:positionH>
                <wp:positionV relativeFrom="paragraph">
                  <wp:posOffset>306705</wp:posOffset>
                </wp:positionV>
                <wp:extent cx="381000" cy="6350"/>
                <wp:effectExtent l="0" t="57150" r="38100" b="88900"/>
                <wp:wrapNone/>
                <wp:docPr id="9" name="Straight Arrow Connector 9"/>
                <wp:cNvGraphicFramePr/>
                <a:graphic xmlns:a="http://schemas.openxmlformats.org/drawingml/2006/main">
                  <a:graphicData uri="http://schemas.microsoft.com/office/word/2010/wordprocessingShape">
                    <wps:wsp>
                      <wps:cNvCnPr/>
                      <wps:spPr>
                        <a:xfrm>
                          <a:off x="0" y="0"/>
                          <a:ext cx="38100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9DDCA04" id="_x0000_t32" coordsize="21600,21600" o:spt="32" o:oned="t" path="m,l21600,21600e" filled="f">
                <v:path arrowok="t" fillok="f" o:connecttype="none"/>
                <o:lock v:ext="edit" shapetype="t"/>
              </v:shapetype>
              <v:shape id="Straight Arrow Connector 9" o:spid="_x0000_s1026" type="#_x0000_t32" style="position:absolute;margin-left:139.5pt;margin-top:24.15pt;width:30pt;height:.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" strokecolor="#4579b8 [3044]">
                <v:stroke endarrow="block"/>
              </v:shape>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0288" behindDoc="0" locked="0" layoutInCell="1" allowOverlap="1" wp14:anchorId="2E9DD2E8" wp14:editId="59C05B1A">
                <wp:simplePos x="0" y="0"/>
                <wp:positionH relativeFrom="column">
                  <wp:posOffset>2209800</wp:posOffset>
                </wp:positionH>
                <wp:positionV relativeFrom="paragraph">
                  <wp:posOffset>33655</wp:posOffset>
                </wp:positionV>
                <wp:extent cx="1758950" cy="50165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1758950" cy="501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B909D7" w14:textId="593BEFDF" w:rsidR="000C62FD" w:rsidRDefault="000C62FD" w:rsidP="000C62FD">
                            <w:pPr>
                              <w:jc w:val="center"/>
                            </w:pPr>
                            <w:r>
                              <w:t>Planning - To establish the research audience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9DD2E8" id="Rectangle 2" o:spid="_x0000_s1026" style="position:absolute;margin-left:174pt;margin-top:2.65pt;width:138.5pt;height:3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" fillcolor="#4f81bd [3204]" strokecolor="#243f60 [1604]" strokeweight="2pt">
                <v:textbox>
                  <w:txbxContent>
                    <w:p w14:paraId="54B909D7" w14:textId="593BEFDF" w:rsidR="000C62FD" w:rsidRDefault="000C62FD" w:rsidP="000C62FD">
                      <w:pPr>
                        <w:jc w:val="center"/>
                      </w:pPr>
                      <w:r>
                        <w:t>Planning - To establish the research audience</w:t>
                      </w:r>
                    </w:p>
                  </w:txbxContent>
                </v:textbox>
              </v:rect>
            </w:pict>
          </mc:Fallback>
        </mc:AlternateContent>
      </w:r>
      <w:r w:rsidR="00313BB0">
        <w:rPr>
          <w:rFonts w:ascii="Arial" w:hAnsi="Arial" w:cs="Arial"/>
          <w:noProof/>
          <w:color w:val="2C3E50"/>
          <w:sz w:val="24"/>
          <w:szCs w:val="24"/>
        </w:rPr>
        <mc:AlternateContent>
          <mc:Choice Requires="wps">
            <w:drawing>
              <wp:anchor distT="0" distB="0" distL="114300" distR="114300" simplePos="0" relativeHeight="251659264" behindDoc="0" locked="0" layoutInCell="1" allowOverlap="1" wp14:anchorId="45400ACF" wp14:editId="5559B9FE">
                <wp:simplePos x="0" y="0"/>
                <wp:positionH relativeFrom="column">
                  <wp:posOffset>69850</wp:posOffset>
                </wp:positionH>
                <wp:positionV relativeFrom="paragraph">
                  <wp:posOffset>40005</wp:posOffset>
                </wp:positionV>
                <wp:extent cx="1657350" cy="4953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65735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46CA35" w14:textId="504864F0" w:rsidR="000C62FD" w:rsidRDefault="000C62FD" w:rsidP="000C62FD">
                            <w:pPr>
                              <w:jc w:val="center"/>
                            </w:pPr>
                            <w:r>
                              <w:t xml:space="preserve">Planning – To identify the purpose of the study </w:t>
                            </w:r>
                          </w:p>
                          <w:p w14:paraId="5574E894" w14:textId="77777777" w:rsidR="000C62FD" w:rsidRDefault="000C62FD" w:rsidP="000C62FD"/>
                          <w:p w14:paraId="70B7C6FD" w14:textId="2C9D4097" w:rsidR="000C62FD" w:rsidRDefault="000C62FD" w:rsidP="000C62FD">
                            <w:r>
                              <w:t xml:space="preserve"> </w:t>
                            </w:r>
                          </w:p>
                          <w:p w14:paraId="7E02F618" w14:textId="77777777" w:rsidR="000C62FD" w:rsidRDefault="000C62FD" w:rsidP="000C62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400ACF" id="Rectangle 1" o:spid="_x0000_s1027" style="position:absolute;margin-left:5.5pt;margin-top:3.15pt;width:130.5pt;height: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" fillcolor="#4f81bd [3204]" strokecolor="#243f60 [1604]" strokeweight="2pt">
                <v:textbox>
                  <w:txbxContent>
                    <w:p w14:paraId="0B46CA35" w14:textId="504864F0" w:rsidR="000C62FD" w:rsidRDefault="000C62FD" w:rsidP="000C62FD">
                      <w:pPr>
                        <w:jc w:val="center"/>
                      </w:pPr>
                      <w:r>
                        <w:t xml:space="preserve">Planning – To identify the purpose of the study </w:t>
                      </w:r>
                    </w:p>
                    <w:p w14:paraId="5574E894" w14:textId="77777777" w:rsidR="000C62FD" w:rsidRDefault="000C62FD" w:rsidP="000C62FD"/>
                    <w:p w14:paraId="70B7C6FD" w14:textId="2C9D4097" w:rsidR="000C62FD" w:rsidRDefault="000C62FD" w:rsidP="000C62FD">
                      <w:r>
                        <w:t xml:space="preserve"> </w:t>
                      </w:r>
                    </w:p>
                    <w:p w14:paraId="7E02F618" w14:textId="77777777" w:rsidR="000C62FD" w:rsidRDefault="000C62FD" w:rsidP="000C62FD">
                      <w:pPr>
                        <w:jc w:val="center"/>
                      </w:pPr>
                    </w:p>
                  </w:txbxContent>
                </v:textbox>
              </v:rect>
            </w:pict>
          </mc:Fallback>
        </mc:AlternateContent>
      </w:r>
    </w:p>
    <w:p w14:paraId="0AB271F6" w14:textId="2CF8FC2F" w:rsidR="00550694" w:rsidRPr="00130213" w:rsidRDefault="00550694" w:rsidP="00130213">
      <w:pPr>
        <w:spacing w:line="360" w:lineRule="auto"/>
        <w:rPr>
          <w:rFonts w:ascii="Arial" w:hAnsi="Arial" w:cs="Arial"/>
          <w:b/>
          <w:bCs/>
          <w:color w:val="2C3E50"/>
          <w:sz w:val="24"/>
          <w:szCs w:val="24"/>
          <w:u w:val="single"/>
          <w:shd w:val="clear" w:color="auto" w:fill="FFFFFF"/>
        </w:rPr>
      </w:pPr>
    </w:p>
    <w:p w14:paraId="22FA5788" w14:textId="66EF5A5C" w:rsidR="00550694" w:rsidRPr="00130213" w:rsidRDefault="000C62FD" w:rsidP="00130213">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9504" behindDoc="0" locked="0" layoutInCell="1" allowOverlap="1" wp14:anchorId="3C003F55" wp14:editId="2A125DFC">
                <wp:simplePos x="0" y="0"/>
                <wp:positionH relativeFrom="column">
                  <wp:posOffset>1758950</wp:posOffset>
                </wp:positionH>
                <wp:positionV relativeFrom="paragraph">
                  <wp:posOffset>298450</wp:posOffset>
                </wp:positionV>
                <wp:extent cx="381000" cy="6350"/>
                <wp:effectExtent l="0" t="57150" r="38100" b="88900"/>
                <wp:wrapNone/>
                <wp:docPr id="10" name="Straight Arrow Connector 10"/>
                <wp:cNvGraphicFramePr/>
                <a:graphic xmlns:a="http://schemas.openxmlformats.org/drawingml/2006/main">
                  <a:graphicData uri="http://schemas.microsoft.com/office/word/2010/wordprocessingShape">
                    <wps:wsp>
                      <wps:cNvCnPr/>
                      <wps:spPr>
                        <a:xfrm>
                          <a:off x="0" y="0"/>
                          <a:ext cx="381000" cy="63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23969481" id="Straight Arrow Connector 10" o:spid="_x0000_s1026" type="#_x0000_t32" style="position:absolute;margin-left:138.5pt;margin-top:23.5pt;width:30pt;height:.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" strokecolor="#4a7ebb">
                <v:stroke endarrow="block"/>
              </v:shape>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2336" behindDoc="0" locked="0" layoutInCell="1" allowOverlap="1" wp14:anchorId="27FAF15D" wp14:editId="4A183A84">
                <wp:simplePos x="0" y="0"/>
                <wp:positionH relativeFrom="column">
                  <wp:posOffset>2190750</wp:posOffset>
                </wp:positionH>
                <wp:positionV relativeFrom="paragraph">
                  <wp:posOffset>28575</wp:posOffset>
                </wp:positionV>
                <wp:extent cx="1784350" cy="482600"/>
                <wp:effectExtent l="0" t="0" r="25400" b="12700"/>
                <wp:wrapNone/>
                <wp:docPr id="4" name="Rectangle 4"/>
                <wp:cNvGraphicFramePr/>
                <a:graphic xmlns:a="http://schemas.openxmlformats.org/drawingml/2006/main">
                  <a:graphicData uri="http://schemas.microsoft.com/office/word/2010/wordprocessingShape">
                    <wps:wsp>
                      <wps:cNvSpPr/>
                      <wps:spPr>
                        <a:xfrm>
                          <a:off x="0" y="0"/>
                          <a:ext cx="1784350" cy="482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6BB863" w14:textId="4F62AC45" w:rsidR="000C62FD" w:rsidRDefault="000C62FD" w:rsidP="000C62FD">
                            <w:pPr>
                              <w:jc w:val="center"/>
                            </w:pPr>
                            <w:r>
                              <w:t xml:space="preserve">Selection – Ethical considerations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FAF15D" id="Rectangle 4" o:spid="_x0000_s1028" style="position:absolute;margin-left:172.5pt;margin-top:2.25pt;width:140.5pt;height: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" fillcolor="#4f81bd [3204]" strokecolor="#243f60 [1604]" strokeweight="2pt">
                <v:textbox>
                  <w:txbxContent>
                    <w:p w14:paraId="326BB863" w14:textId="4F62AC45" w:rsidR="000C62FD" w:rsidRDefault="000C62FD" w:rsidP="000C62FD">
                      <w:pPr>
                        <w:jc w:val="center"/>
                      </w:pPr>
                      <w:r>
                        <w:t xml:space="preserve">Selection – Ethical considerations </w:t>
                      </w:r>
                    </w:p>
                  </w:txbxContent>
                </v:textbox>
              </v:rect>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1312" behindDoc="0" locked="0" layoutInCell="1" allowOverlap="1" wp14:anchorId="23A7DDDD" wp14:editId="351F8131">
                <wp:simplePos x="0" y="0"/>
                <wp:positionH relativeFrom="column">
                  <wp:posOffset>69850</wp:posOffset>
                </wp:positionH>
                <wp:positionV relativeFrom="paragraph">
                  <wp:posOffset>9525</wp:posOffset>
                </wp:positionV>
                <wp:extent cx="1638300" cy="488950"/>
                <wp:effectExtent l="0" t="0" r="19050" b="25400"/>
                <wp:wrapNone/>
                <wp:docPr id="3" name="Rectangle 3"/>
                <wp:cNvGraphicFramePr/>
                <a:graphic xmlns:a="http://schemas.openxmlformats.org/drawingml/2006/main">
                  <a:graphicData uri="http://schemas.microsoft.com/office/word/2010/wordprocessingShape">
                    <wps:wsp>
                      <wps:cNvSpPr/>
                      <wps:spPr>
                        <a:xfrm>
                          <a:off x="0" y="0"/>
                          <a:ext cx="1638300" cy="488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CFE2E1" w14:textId="46FAF75C" w:rsidR="000C62FD" w:rsidRDefault="000C62FD" w:rsidP="000C62FD">
                            <w:pPr>
                              <w:jc w:val="center"/>
                            </w:pPr>
                            <w:r>
                              <w:t xml:space="preserve">Selection – Review of the literature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7DDDD" id="Rectangle 3" o:spid="_x0000_s1029" style="position:absolute;margin-left:5.5pt;margin-top:.75pt;width:129pt;height:3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" fillcolor="#4f81bd [3204]" strokecolor="#243f60 [1604]" strokeweight="2pt">
                <v:textbox>
                  <w:txbxContent>
                    <w:p w14:paraId="1BCFE2E1" w14:textId="46FAF75C" w:rsidR="000C62FD" w:rsidRDefault="000C62FD" w:rsidP="000C62FD">
                      <w:pPr>
                        <w:jc w:val="center"/>
                      </w:pPr>
                      <w:r>
                        <w:t xml:space="preserve">Selection – Review of the literature </w:t>
                      </w:r>
                    </w:p>
                  </w:txbxContent>
                </v:textbox>
              </v:rect>
            </w:pict>
          </mc:Fallback>
        </mc:AlternateContent>
      </w:r>
    </w:p>
    <w:p w14:paraId="407E0314" w14:textId="27FBDBCB" w:rsidR="00DE3619" w:rsidRPr="00130213" w:rsidRDefault="000C62FD" w:rsidP="00130213">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3360" behindDoc="0" locked="0" layoutInCell="1" allowOverlap="1" wp14:anchorId="10DA59B5" wp14:editId="60DA8B75">
                <wp:simplePos x="0" y="0"/>
                <wp:positionH relativeFrom="column">
                  <wp:posOffset>44450</wp:posOffset>
                </wp:positionH>
                <wp:positionV relativeFrom="paragraph">
                  <wp:posOffset>320040</wp:posOffset>
                </wp:positionV>
                <wp:extent cx="1733550" cy="863600"/>
                <wp:effectExtent l="0" t="0" r="19050" b="12700"/>
                <wp:wrapNone/>
                <wp:docPr id="5" name="Rectangle 5"/>
                <wp:cNvGraphicFramePr/>
                <a:graphic xmlns:a="http://schemas.openxmlformats.org/drawingml/2006/main">
                  <a:graphicData uri="http://schemas.microsoft.com/office/word/2010/wordprocessingShape">
                    <wps:wsp>
                      <wps:cNvSpPr/>
                      <wps:spPr>
                        <a:xfrm>
                          <a:off x="0" y="0"/>
                          <a:ext cx="1733550" cy="863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CF4A06" w14:textId="4DE80DF3" w:rsidR="000C62FD" w:rsidRDefault="000C62FD" w:rsidP="000C62FD">
                            <w:pPr>
                              <w:jc w:val="center"/>
                            </w:pPr>
                            <w:r>
                              <w:t xml:space="preserve">Extraction of the information from the literature </w:t>
                            </w:r>
                            <w:r w:rsidR="00431975">
                              <w:t xml:space="preserve"> and thematic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DA59B5" id="Rectangle 5" o:spid="_x0000_s1030" style="position:absolute;margin-left:3.5pt;margin-top:25.2pt;width:136.5pt;height: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" fillcolor="#4f81bd [3204]" strokecolor="#243f60 [1604]" strokeweight="2pt">
                <v:textbox>
                  <w:txbxContent>
                    <w:p w14:paraId="02CF4A06" w14:textId="4DE80DF3" w:rsidR="000C62FD" w:rsidRDefault="000C62FD" w:rsidP="000C62FD">
                      <w:pPr>
                        <w:jc w:val="center"/>
                      </w:pPr>
                      <w:r>
                        <w:t xml:space="preserve">Extraction of the information from the literature </w:t>
                      </w:r>
                      <w:r w:rsidR="00431975">
                        <w:t xml:space="preserve"> and thematic analysis </w:t>
                      </w:r>
                    </w:p>
                  </w:txbxContent>
                </v:textbox>
              </v:rect>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4384" behindDoc="0" locked="0" layoutInCell="1" allowOverlap="1" wp14:anchorId="23A353E6" wp14:editId="47000B76">
                <wp:simplePos x="0" y="0"/>
                <wp:positionH relativeFrom="column">
                  <wp:posOffset>2209800</wp:posOffset>
                </wp:positionH>
                <wp:positionV relativeFrom="paragraph">
                  <wp:posOffset>337185</wp:posOffset>
                </wp:positionV>
                <wp:extent cx="1809750" cy="501650"/>
                <wp:effectExtent l="0" t="0" r="19050" b="12700"/>
                <wp:wrapNone/>
                <wp:docPr id="6" name="Rectangle 6"/>
                <wp:cNvGraphicFramePr/>
                <a:graphic xmlns:a="http://schemas.openxmlformats.org/drawingml/2006/main">
                  <a:graphicData uri="http://schemas.microsoft.com/office/word/2010/wordprocessingShape">
                    <wps:wsp>
                      <wps:cNvSpPr/>
                      <wps:spPr>
                        <a:xfrm>
                          <a:off x="0" y="0"/>
                          <a:ext cx="1809750" cy="501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F0CD48" w14:textId="7E61750E" w:rsidR="000C62FD" w:rsidRDefault="000C62FD" w:rsidP="000C62FD">
                            <w:pPr>
                              <w:jc w:val="center"/>
                            </w:pPr>
                            <w:r>
                              <w:t xml:space="preserve">Extraction - Formulating an argument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A353E6" id="Rectangle 6" o:spid="_x0000_s1031" style="position:absolute;margin-left:174pt;margin-top:26.55pt;width:142.5pt;height:3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" fillcolor="#4f81bd [3204]" strokecolor="#243f60 [1604]" strokeweight="2pt">
                <v:textbox>
                  <w:txbxContent>
                    <w:p w14:paraId="0EF0CD48" w14:textId="7E61750E" w:rsidR="000C62FD" w:rsidRDefault="000C62FD" w:rsidP="000C62FD">
                      <w:pPr>
                        <w:jc w:val="center"/>
                      </w:pPr>
                      <w:r>
                        <w:t xml:space="preserve">Extraction - Formulating an argument </w:t>
                      </w:r>
                    </w:p>
                  </w:txbxContent>
                </v:textbox>
              </v:rect>
            </w:pict>
          </mc:Fallback>
        </mc:AlternateContent>
      </w:r>
    </w:p>
    <w:p w14:paraId="786B68FE" w14:textId="097E4673" w:rsidR="00130213" w:rsidRDefault="000C62FD" w:rsidP="00130213">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71552" behindDoc="0" locked="0" layoutInCell="1" allowOverlap="1" wp14:anchorId="4C616E56" wp14:editId="03095311">
                <wp:simplePos x="0" y="0"/>
                <wp:positionH relativeFrom="column">
                  <wp:posOffset>1816100</wp:posOffset>
                </wp:positionH>
                <wp:positionV relativeFrom="paragraph">
                  <wp:posOffset>177800</wp:posOffset>
                </wp:positionV>
                <wp:extent cx="381000" cy="6350"/>
                <wp:effectExtent l="0" t="57150" r="38100" b="88900"/>
                <wp:wrapNone/>
                <wp:docPr id="11" name="Straight Arrow Connector 11"/>
                <wp:cNvGraphicFramePr/>
                <a:graphic xmlns:a="http://schemas.openxmlformats.org/drawingml/2006/main">
                  <a:graphicData uri="http://schemas.microsoft.com/office/word/2010/wordprocessingShape">
                    <wps:wsp>
                      <wps:cNvCnPr/>
                      <wps:spPr>
                        <a:xfrm>
                          <a:off x="0" y="0"/>
                          <a:ext cx="381000" cy="63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679D541D" id="Straight Arrow Connector 11" o:spid="_x0000_s1026" type="#_x0000_t32" style="position:absolute;margin-left:143pt;margin-top:14pt;width:30pt;height:.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" strokecolor="#4a7ebb">
                <v:stroke endarrow="block"/>
              </v:shape>
            </w:pict>
          </mc:Fallback>
        </mc:AlternateContent>
      </w:r>
    </w:p>
    <w:p w14:paraId="01FA688E" w14:textId="78D61C3D" w:rsidR="00130213" w:rsidRDefault="00130213" w:rsidP="00130213">
      <w:pPr>
        <w:spacing w:line="360" w:lineRule="auto"/>
        <w:rPr>
          <w:rFonts w:ascii="Arial" w:hAnsi="Arial" w:cs="Arial"/>
          <w:b/>
          <w:bCs/>
          <w:color w:val="2C3E50"/>
          <w:sz w:val="24"/>
          <w:szCs w:val="24"/>
          <w:u w:val="single"/>
          <w:shd w:val="clear" w:color="auto" w:fill="FFFFFF"/>
        </w:rPr>
      </w:pPr>
    </w:p>
    <w:p w14:paraId="53AFD8AE" w14:textId="50FD16E2" w:rsidR="000C62FD" w:rsidRDefault="00431975" w:rsidP="00130213">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6432" behindDoc="0" locked="0" layoutInCell="1" allowOverlap="1" wp14:anchorId="487D6056" wp14:editId="78D823FB">
                <wp:simplePos x="0" y="0"/>
                <wp:positionH relativeFrom="column">
                  <wp:posOffset>2203450</wp:posOffset>
                </wp:positionH>
                <wp:positionV relativeFrom="paragraph">
                  <wp:posOffset>215265</wp:posOffset>
                </wp:positionV>
                <wp:extent cx="1797050" cy="508000"/>
                <wp:effectExtent l="0" t="0" r="12700" b="25400"/>
                <wp:wrapNone/>
                <wp:docPr id="8" name="Rectangle 8"/>
                <wp:cNvGraphicFramePr/>
                <a:graphic xmlns:a="http://schemas.openxmlformats.org/drawingml/2006/main">
                  <a:graphicData uri="http://schemas.microsoft.com/office/word/2010/wordprocessingShape">
                    <wps:wsp>
                      <wps:cNvSpPr/>
                      <wps:spPr>
                        <a:xfrm>
                          <a:off x="0" y="0"/>
                          <a:ext cx="1797050" cy="508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847FDC" w14:textId="70C2791A" w:rsidR="000C62FD" w:rsidRDefault="000C62FD" w:rsidP="000C62FD">
                            <w:pPr>
                              <w:jc w:val="center"/>
                            </w:pPr>
                            <w:r>
                              <w:t xml:space="preserve">Execution – Conclusion and recommendations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7D6056" id="Rectangle 8" o:spid="_x0000_s1032" style="position:absolute;margin-left:173.5pt;margin-top:16.95pt;width:141.5pt;height:40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" fillcolor="#4f81bd [3204]" strokecolor="#243f60 [1604]" strokeweight="2pt">
                <v:textbox>
                  <w:txbxContent>
                    <w:p w14:paraId="4D847FDC" w14:textId="70C2791A" w:rsidR="000C62FD" w:rsidRDefault="000C62FD" w:rsidP="000C62FD">
                      <w:pPr>
                        <w:jc w:val="center"/>
                      </w:pPr>
                      <w:r>
                        <w:t xml:space="preserve">Execution – Conclusion and recommendations </w:t>
                      </w:r>
                    </w:p>
                  </w:txbxContent>
                </v:textbox>
              </v:rect>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5408" behindDoc="0" locked="0" layoutInCell="1" allowOverlap="1" wp14:anchorId="1E9E83A4" wp14:editId="4ADB0B73">
                <wp:simplePos x="0" y="0"/>
                <wp:positionH relativeFrom="margin">
                  <wp:posOffset>25400</wp:posOffset>
                </wp:positionH>
                <wp:positionV relativeFrom="paragraph">
                  <wp:posOffset>240665</wp:posOffset>
                </wp:positionV>
                <wp:extent cx="1752600" cy="5143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752600"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53BDDC" w14:textId="77777777" w:rsidR="000C62FD" w:rsidRDefault="000C62FD" w:rsidP="000C62FD">
                            <w:pPr>
                              <w:jc w:val="center"/>
                            </w:pPr>
                            <w:r>
                              <w:t>Execution -</w:t>
                            </w:r>
                            <w:r>
                              <w:t>– Siving through results and findings</w:t>
                            </w:r>
                          </w:p>
                          <w:p w14:paraId="62D13AA1" w14:textId="15A77153" w:rsidR="000C62FD" w:rsidRDefault="000C62FD" w:rsidP="000C62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9E83A4" id="Rectangle 7" o:spid="_x0000_s1033" style="position:absolute;margin-left:2pt;margin-top:18.95pt;width:138pt;height:40.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" fillcolor="#4f81bd [3204]" strokecolor="#243f60 [1604]" strokeweight="2pt">
                <v:textbox>
                  <w:txbxContent>
                    <w:p w14:paraId="4653BDDC" w14:textId="77777777" w:rsidR="000C62FD" w:rsidRDefault="000C62FD" w:rsidP="000C62FD">
                      <w:pPr>
                        <w:jc w:val="center"/>
                      </w:pPr>
                      <w:r>
                        <w:t>Execution -</w:t>
                      </w:r>
                      <w:r>
                        <w:t>– Siving through results and findings</w:t>
                      </w:r>
                    </w:p>
                    <w:p w14:paraId="62D13AA1" w14:textId="15A77153" w:rsidR="000C62FD" w:rsidRDefault="000C62FD" w:rsidP="000C62FD">
                      <w:pPr>
                        <w:jc w:val="center"/>
                      </w:pPr>
                    </w:p>
                  </w:txbxContent>
                </v:textbox>
                <w10:wrap anchorx="margin"/>
              </v:rect>
            </w:pict>
          </mc:Fallback>
        </mc:AlternateContent>
      </w:r>
    </w:p>
    <w:p w14:paraId="18528C18" w14:textId="1863B3FF" w:rsidR="00A87AA0" w:rsidRDefault="00431975" w:rsidP="00130213">
      <w:pPr>
        <w:spacing w:line="360" w:lineRule="auto"/>
        <w:rPr>
          <w:rFonts w:ascii="Arial" w:hAnsi="Arial" w:cs="Arial"/>
          <w:color w:val="2C3E50"/>
          <w:sz w:val="24"/>
          <w:szCs w:val="24"/>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73600" behindDoc="0" locked="0" layoutInCell="1" allowOverlap="1" wp14:anchorId="63E24F01" wp14:editId="60CAED79">
                <wp:simplePos x="0" y="0"/>
                <wp:positionH relativeFrom="column">
                  <wp:posOffset>1809750</wp:posOffset>
                </wp:positionH>
                <wp:positionV relativeFrom="paragraph">
                  <wp:posOffset>35560</wp:posOffset>
                </wp:positionV>
                <wp:extent cx="381000" cy="6350"/>
                <wp:effectExtent l="0" t="57150" r="38100" b="88900"/>
                <wp:wrapNone/>
                <wp:docPr id="12" name="Straight Arrow Connector 12"/>
                <wp:cNvGraphicFramePr/>
                <a:graphic xmlns:a="http://schemas.openxmlformats.org/drawingml/2006/main">
                  <a:graphicData uri="http://schemas.microsoft.com/office/word/2010/wordprocessingShape">
                    <wps:wsp>
                      <wps:cNvCnPr/>
                      <wps:spPr>
                        <a:xfrm>
                          <a:off x="0" y="0"/>
                          <a:ext cx="381000" cy="63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3A9AD04E" id="Straight Arrow Connector 12" o:spid="_x0000_s1026" type="#_x0000_t32" style="position:absolute;margin-left:142.5pt;margin-top:2.8pt;width:30pt;height:.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" strokecolor="#4a7ebb">
                <v:stroke endarrow="block"/>
              </v:shape>
            </w:pict>
          </mc:Fallback>
        </mc:AlternateContent>
      </w:r>
    </w:p>
    <w:p w14:paraId="440018BD" w14:textId="77777777" w:rsidR="00A87AA0" w:rsidRDefault="00A87AA0" w:rsidP="00130213">
      <w:pPr>
        <w:spacing w:line="360" w:lineRule="auto"/>
        <w:rPr>
          <w:rFonts w:ascii="Arial" w:hAnsi="Arial" w:cs="Arial"/>
          <w:b/>
          <w:bCs/>
          <w:color w:val="2C3E50"/>
          <w:sz w:val="24"/>
          <w:szCs w:val="24"/>
          <w:u w:val="single"/>
          <w:shd w:val="clear" w:color="auto" w:fill="FFFFFF"/>
        </w:rPr>
      </w:pPr>
    </w:p>
    <w:p w14:paraId="08280F5C" w14:textId="10CD30ED" w:rsidR="00A87AA0" w:rsidRPr="00B3237C" w:rsidRDefault="00B3237C" w:rsidP="00130213">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When we consider the method of thematic analysis the study seeks to analyse through coding the data that is being interpreted. Thematic analysis is good because it allows the researcher to identify key themes allowing specific colours to be associated with the chosen themes to provide clarity. By utilising NVivo it allows the coding process to become enhanced providing more understanding around transcribing which will assist with thematic analysis. Bryman (2012; p595) highlights that “coding is accomplished through nodes explaining that “nodes are the route by which coding is undertaken” (Bryman 2012; p596). </w:t>
      </w:r>
    </w:p>
    <w:p w14:paraId="0DF3B9C6" w14:textId="77777777" w:rsidR="00A87AA0" w:rsidRDefault="00A87AA0" w:rsidP="00130213">
      <w:pPr>
        <w:spacing w:line="360" w:lineRule="auto"/>
        <w:rPr>
          <w:rFonts w:ascii="Arial" w:hAnsi="Arial" w:cs="Arial"/>
          <w:b/>
          <w:bCs/>
          <w:color w:val="2C3E50"/>
          <w:sz w:val="24"/>
          <w:szCs w:val="24"/>
          <w:u w:val="single"/>
          <w:shd w:val="clear" w:color="auto" w:fill="FFFFFF"/>
        </w:rPr>
      </w:pPr>
    </w:p>
    <w:p w14:paraId="2E3E8EF2" w14:textId="77777777" w:rsidR="00A87AA0" w:rsidRDefault="00A87AA0" w:rsidP="00130213">
      <w:pPr>
        <w:spacing w:line="360" w:lineRule="auto"/>
        <w:rPr>
          <w:rFonts w:ascii="Arial" w:hAnsi="Arial" w:cs="Arial"/>
          <w:b/>
          <w:bCs/>
          <w:color w:val="2C3E50"/>
          <w:sz w:val="24"/>
          <w:szCs w:val="24"/>
          <w:u w:val="single"/>
          <w:shd w:val="clear" w:color="auto" w:fill="FFFFFF"/>
        </w:rPr>
      </w:pPr>
    </w:p>
    <w:p w14:paraId="359EEC28" w14:textId="77777777" w:rsidR="00A87AA0" w:rsidRDefault="00A87AA0" w:rsidP="00130213">
      <w:pPr>
        <w:spacing w:line="360" w:lineRule="auto"/>
        <w:rPr>
          <w:rFonts w:ascii="Arial" w:hAnsi="Arial" w:cs="Arial"/>
          <w:b/>
          <w:bCs/>
          <w:color w:val="2C3E50"/>
          <w:sz w:val="24"/>
          <w:szCs w:val="24"/>
          <w:u w:val="single"/>
          <w:shd w:val="clear" w:color="auto" w:fill="FFFFFF"/>
        </w:rPr>
      </w:pPr>
    </w:p>
    <w:p w14:paraId="3FAAAAD0" w14:textId="77777777" w:rsidR="00A87AA0" w:rsidRDefault="00A87AA0" w:rsidP="00130213">
      <w:pPr>
        <w:spacing w:line="360" w:lineRule="auto"/>
        <w:rPr>
          <w:rFonts w:ascii="Arial" w:hAnsi="Arial" w:cs="Arial"/>
          <w:b/>
          <w:bCs/>
          <w:color w:val="2C3E50"/>
          <w:sz w:val="24"/>
          <w:szCs w:val="24"/>
          <w:u w:val="single"/>
          <w:shd w:val="clear" w:color="auto" w:fill="FFFFFF"/>
        </w:rPr>
      </w:pPr>
    </w:p>
    <w:p w14:paraId="54933503" w14:textId="77777777" w:rsidR="00A87AA0" w:rsidRDefault="00A87AA0" w:rsidP="00130213">
      <w:pPr>
        <w:spacing w:line="360" w:lineRule="auto"/>
        <w:rPr>
          <w:rFonts w:ascii="Arial" w:hAnsi="Arial" w:cs="Arial"/>
          <w:b/>
          <w:bCs/>
          <w:color w:val="2C3E50"/>
          <w:sz w:val="24"/>
          <w:szCs w:val="24"/>
          <w:u w:val="single"/>
          <w:shd w:val="clear" w:color="auto" w:fill="FFFFFF"/>
        </w:rPr>
      </w:pPr>
    </w:p>
    <w:p w14:paraId="65D5A074" w14:textId="6366F7E3" w:rsidR="0028019E" w:rsidRPr="00130213" w:rsidRDefault="0028019E" w:rsidP="00130213">
      <w:pPr>
        <w:spacing w:line="360" w:lineRule="auto"/>
        <w:rPr>
          <w:rFonts w:ascii="Arial" w:hAnsi="Arial" w:cs="Arial"/>
          <w:b/>
          <w:bCs/>
          <w:color w:val="2C3E50"/>
          <w:sz w:val="24"/>
          <w:szCs w:val="24"/>
          <w:u w:val="single"/>
          <w:shd w:val="clear" w:color="auto" w:fill="FFFFFF"/>
        </w:rPr>
      </w:pPr>
      <w:r w:rsidRPr="00130213">
        <w:rPr>
          <w:rFonts w:ascii="Arial" w:hAnsi="Arial" w:cs="Arial"/>
          <w:b/>
          <w:bCs/>
          <w:color w:val="2C3E50"/>
          <w:sz w:val="24"/>
          <w:szCs w:val="24"/>
          <w:u w:val="single"/>
          <w:shd w:val="clear" w:color="auto" w:fill="FFFFFF"/>
        </w:rPr>
        <w:t xml:space="preserve">References </w:t>
      </w:r>
    </w:p>
    <w:p w14:paraId="3B24C62B" w14:textId="77777777" w:rsidR="00130213" w:rsidRPr="00130213" w:rsidRDefault="00130213" w:rsidP="00130213">
      <w:pPr>
        <w:spacing w:line="360" w:lineRule="auto"/>
        <w:rPr>
          <w:rFonts w:ascii="Arial" w:hAnsi="Arial" w:cs="Arial"/>
          <w:sz w:val="24"/>
          <w:szCs w:val="24"/>
        </w:rPr>
      </w:pPr>
      <w:r w:rsidRPr="00130213">
        <w:rPr>
          <w:rFonts w:ascii="Arial" w:hAnsi="Arial" w:cs="Arial"/>
          <w:sz w:val="24"/>
          <w:szCs w:val="24"/>
        </w:rPr>
        <w:t xml:space="preserve">Bryman, A. (2008). </w:t>
      </w:r>
      <w:r w:rsidRPr="00130213">
        <w:rPr>
          <w:rFonts w:ascii="Arial" w:hAnsi="Arial" w:cs="Arial"/>
          <w:i/>
          <w:iCs/>
          <w:sz w:val="24"/>
          <w:szCs w:val="24"/>
        </w:rPr>
        <w:t xml:space="preserve">Social research method. </w:t>
      </w:r>
      <w:r w:rsidRPr="00130213">
        <w:rPr>
          <w:rFonts w:ascii="Arial" w:hAnsi="Arial" w:cs="Arial"/>
          <w:sz w:val="24"/>
          <w:szCs w:val="24"/>
        </w:rPr>
        <w:t>4</w:t>
      </w:r>
      <w:r w:rsidRPr="00130213">
        <w:rPr>
          <w:rFonts w:ascii="Arial" w:hAnsi="Arial" w:cs="Arial"/>
          <w:sz w:val="24"/>
          <w:szCs w:val="24"/>
          <w:vertAlign w:val="superscript"/>
        </w:rPr>
        <w:t>th</w:t>
      </w:r>
      <w:r w:rsidRPr="00130213">
        <w:rPr>
          <w:rFonts w:ascii="Arial" w:hAnsi="Arial" w:cs="Arial"/>
          <w:sz w:val="24"/>
          <w:szCs w:val="24"/>
        </w:rPr>
        <w:t xml:space="preserve"> edn. New York: Oxford University Press. </w:t>
      </w:r>
    </w:p>
    <w:p w14:paraId="387054C6" w14:textId="54D4CDAA" w:rsidR="00550694" w:rsidRPr="00130213" w:rsidRDefault="00550694" w:rsidP="00130213">
      <w:pPr>
        <w:spacing w:line="360" w:lineRule="auto"/>
        <w:rPr>
          <w:rFonts w:ascii="Arial" w:hAnsi="Arial" w:cs="Arial"/>
          <w:b/>
          <w:bCs/>
          <w:color w:val="2C3E50"/>
          <w:sz w:val="24"/>
          <w:szCs w:val="24"/>
          <w:u w:val="single"/>
          <w:shd w:val="clear" w:color="auto" w:fill="FFFFFF"/>
        </w:rPr>
      </w:pPr>
      <w:r w:rsidRPr="00130213">
        <w:rPr>
          <w:rFonts w:ascii="Arial" w:hAnsi="Arial" w:cs="Arial"/>
          <w:sz w:val="24"/>
          <w:szCs w:val="24"/>
        </w:rPr>
        <w:t xml:space="preserve">Crimmins, S. M., Cleary, S. D., Brownstein, H. H., </w:t>
      </w:r>
      <w:proofErr w:type="spellStart"/>
      <w:r w:rsidRPr="00130213">
        <w:rPr>
          <w:rFonts w:ascii="Arial" w:hAnsi="Arial" w:cs="Arial"/>
          <w:sz w:val="24"/>
          <w:szCs w:val="24"/>
        </w:rPr>
        <w:t>Spunt</w:t>
      </w:r>
      <w:proofErr w:type="spellEnd"/>
      <w:r w:rsidRPr="00130213">
        <w:rPr>
          <w:rFonts w:ascii="Arial" w:hAnsi="Arial" w:cs="Arial"/>
          <w:sz w:val="24"/>
          <w:szCs w:val="24"/>
        </w:rPr>
        <w:t>, B. J., &amp; Warley, R. M. (2000). Trauma, drugs and violence among juvenile offenders. Journal of Psychoactive Drugs, 32(1), 43–54</w:t>
      </w:r>
    </w:p>
    <w:p w14:paraId="5BB1447A" w14:textId="0C9CAA8A" w:rsidR="0028019E" w:rsidRPr="00130213" w:rsidRDefault="0028019E" w:rsidP="00130213">
      <w:pPr>
        <w:spacing w:line="360" w:lineRule="auto"/>
        <w:rPr>
          <w:rFonts w:ascii="Arial" w:hAnsi="Arial" w:cs="Arial"/>
          <w:sz w:val="24"/>
          <w:szCs w:val="24"/>
        </w:rPr>
      </w:pPr>
      <w:r w:rsidRPr="00130213">
        <w:rPr>
          <w:rFonts w:ascii="Arial" w:hAnsi="Arial" w:cs="Arial"/>
          <w:sz w:val="24"/>
          <w:szCs w:val="24"/>
        </w:rPr>
        <w:t>Densley, J., Deuchar, R. and Harding, S. (2020). An Introduction to Gangs and Serious Youth Violence in the United Kingdom. </w:t>
      </w:r>
      <w:r w:rsidRPr="00130213">
        <w:rPr>
          <w:rFonts w:ascii="Arial" w:hAnsi="Arial" w:cs="Arial"/>
          <w:i/>
          <w:iCs/>
          <w:sz w:val="24"/>
          <w:szCs w:val="24"/>
        </w:rPr>
        <w:t>Youth Justice</w:t>
      </w:r>
      <w:r w:rsidRPr="00130213">
        <w:rPr>
          <w:rFonts w:ascii="Arial" w:hAnsi="Arial" w:cs="Arial"/>
          <w:sz w:val="24"/>
          <w:szCs w:val="24"/>
        </w:rPr>
        <w:t xml:space="preserve">, [online] 20(1-2), pp.3–10. Available at: </w:t>
      </w:r>
      <w:hyperlink r:id="rId6" w:history="1">
        <w:r w:rsidRPr="00130213">
          <w:rPr>
            <w:rStyle w:val="Hyperlink"/>
            <w:rFonts w:ascii="Arial" w:hAnsi="Arial" w:cs="Arial"/>
            <w:sz w:val="24"/>
            <w:szCs w:val="24"/>
          </w:rPr>
          <w:t>https://journals.sagepub.com/doi/full/10.1177/1473225420902848</w:t>
        </w:r>
      </w:hyperlink>
      <w:r w:rsidRPr="00130213">
        <w:rPr>
          <w:rFonts w:ascii="Arial" w:hAnsi="Arial" w:cs="Arial"/>
          <w:sz w:val="24"/>
          <w:szCs w:val="24"/>
        </w:rPr>
        <w:t>.</w:t>
      </w:r>
    </w:p>
    <w:p w14:paraId="71473224" w14:textId="0E081386" w:rsidR="007800A1" w:rsidRPr="00130213" w:rsidRDefault="007800A1" w:rsidP="00130213">
      <w:pPr>
        <w:spacing w:line="360" w:lineRule="auto"/>
        <w:rPr>
          <w:rFonts w:ascii="Arial" w:hAnsi="Arial" w:cs="Arial"/>
          <w:sz w:val="24"/>
          <w:szCs w:val="24"/>
        </w:rPr>
      </w:pPr>
      <w:r w:rsidRPr="00130213">
        <w:rPr>
          <w:rFonts w:ascii="Arial" w:hAnsi="Arial" w:cs="Arial"/>
          <w:sz w:val="24"/>
          <w:szCs w:val="24"/>
        </w:rPr>
        <w:t xml:space="preserve">DiCicco-Bloom, B. and Crabtree, B.F. (2006). The qualitative research </w:t>
      </w:r>
      <w:proofErr w:type="gramStart"/>
      <w:r w:rsidRPr="00130213">
        <w:rPr>
          <w:rFonts w:ascii="Arial" w:hAnsi="Arial" w:cs="Arial"/>
          <w:sz w:val="24"/>
          <w:szCs w:val="24"/>
        </w:rPr>
        <w:t>interview</w:t>
      </w:r>
      <w:proofErr w:type="gramEnd"/>
      <w:r w:rsidRPr="00130213">
        <w:rPr>
          <w:rFonts w:ascii="Arial" w:hAnsi="Arial" w:cs="Arial"/>
          <w:sz w:val="24"/>
          <w:szCs w:val="24"/>
        </w:rPr>
        <w:t>. </w:t>
      </w:r>
      <w:r w:rsidRPr="00130213">
        <w:rPr>
          <w:rFonts w:ascii="Arial" w:hAnsi="Arial" w:cs="Arial"/>
          <w:i/>
          <w:iCs/>
          <w:sz w:val="24"/>
          <w:szCs w:val="24"/>
        </w:rPr>
        <w:t>Medical Education</w:t>
      </w:r>
      <w:r w:rsidRPr="00130213">
        <w:rPr>
          <w:rFonts w:ascii="Arial" w:hAnsi="Arial" w:cs="Arial"/>
          <w:sz w:val="24"/>
          <w:szCs w:val="24"/>
        </w:rPr>
        <w:t>, 40(4), pp.314–321.</w:t>
      </w:r>
    </w:p>
    <w:p w14:paraId="28BEE691" w14:textId="408ACC4A" w:rsidR="0028019E" w:rsidRPr="00130213" w:rsidRDefault="0028019E" w:rsidP="00130213">
      <w:pPr>
        <w:spacing w:line="360" w:lineRule="auto"/>
        <w:rPr>
          <w:rFonts w:ascii="Arial" w:hAnsi="Arial" w:cs="Arial"/>
          <w:sz w:val="24"/>
          <w:szCs w:val="24"/>
        </w:rPr>
      </w:pPr>
      <w:r w:rsidRPr="00130213">
        <w:rPr>
          <w:rFonts w:ascii="Arial" w:hAnsi="Arial" w:cs="Arial"/>
          <w:sz w:val="24"/>
          <w:szCs w:val="24"/>
        </w:rPr>
        <w:t>FitzGerald M (2018) A policing paradox: as crime rises, detection rates of those responsible fall. The Con</w:t>
      </w:r>
      <w:r w:rsidRPr="00130213">
        <w:rPr>
          <w:rFonts w:ascii="Arial" w:hAnsi="Arial" w:cs="Arial"/>
          <w:sz w:val="24"/>
          <w:szCs w:val="24"/>
        </w:rPr>
        <w:t xml:space="preserve">versation. </w:t>
      </w:r>
      <w:r w:rsidRPr="00130213">
        <w:rPr>
          <w:rFonts w:ascii="Arial" w:hAnsi="Arial" w:cs="Arial"/>
          <w:sz w:val="24"/>
          <w:szCs w:val="24"/>
        </w:rPr>
        <w:t>[</w:t>
      </w:r>
      <w:r w:rsidRPr="00130213">
        <w:rPr>
          <w:rFonts w:ascii="Arial" w:hAnsi="Arial" w:cs="Arial"/>
          <w:sz w:val="24"/>
          <w:szCs w:val="24"/>
        </w:rPr>
        <w:t>Available</w:t>
      </w:r>
      <w:r w:rsidRPr="00130213">
        <w:rPr>
          <w:rFonts w:ascii="Arial" w:hAnsi="Arial" w:cs="Arial"/>
          <w:sz w:val="24"/>
          <w:szCs w:val="24"/>
        </w:rPr>
        <w:t>]</w:t>
      </w:r>
      <w:r w:rsidRPr="00130213">
        <w:rPr>
          <w:rFonts w:ascii="Arial" w:hAnsi="Arial" w:cs="Arial"/>
          <w:sz w:val="24"/>
          <w:szCs w:val="24"/>
        </w:rPr>
        <w:t xml:space="preserve"> at: https://theconversation.com/a-policing-paradox-as-crime-rises-detection-rates</w:t>
      </w:r>
      <w:r w:rsidRPr="00130213">
        <w:rPr>
          <w:rFonts w:ascii="Arial" w:hAnsi="Arial" w:cs="Arial"/>
          <w:sz w:val="24"/>
          <w:szCs w:val="24"/>
        </w:rPr>
        <w:t xml:space="preserve">of-those-responsible-fall-103193 </w:t>
      </w:r>
      <w:r w:rsidRPr="00130213">
        <w:rPr>
          <w:rFonts w:ascii="Arial" w:hAnsi="Arial" w:cs="Arial"/>
          <w:sz w:val="24"/>
          <w:szCs w:val="24"/>
        </w:rPr>
        <w:t>[Accessed</w:t>
      </w:r>
      <w:r w:rsidRPr="00130213">
        <w:rPr>
          <w:rFonts w:ascii="Arial" w:hAnsi="Arial" w:cs="Arial"/>
          <w:sz w:val="24"/>
          <w:szCs w:val="24"/>
        </w:rPr>
        <w:t xml:space="preserve"> </w:t>
      </w:r>
      <w:r w:rsidRPr="00130213">
        <w:rPr>
          <w:rFonts w:ascii="Arial" w:hAnsi="Arial" w:cs="Arial"/>
          <w:sz w:val="24"/>
          <w:szCs w:val="24"/>
        </w:rPr>
        <w:t>on 17</w:t>
      </w:r>
      <w:r w:rsidRPr="00130213">
        <w:rPr>
          <w:rFonts w:ascii="Arial" w:hAnsi="Arial" w:cs="Arial"/>
          <w:sz w:val="24"/>
          <w:szCs w:val="24"/>
        </w:rPr>
        <w:t xml:space="preserve"> </w:t>
      </w:r>
      <w:r w:rsidRPr="00130213">
        <w:rPr>
          <w:rFonts w:ascii="Arial" w:hAnsi="Arial" w:cs="Arial"/>
          <w:sz w:val="24"/>
          <w:szCs w:val="24"/>
        </w:rPr>
        <w:t>March 2023</w:t>
      </w:r>
      <w:r w:rsidRPr="00130213">
        <w:rPr>
          <w:rFonts w:ascii="Arial" w:hAnsi="Arial" w:cs="Arial"/>
          <w:sz w:val="24"/>
          <w:szCs w:val="24"/>
        </w:rPr>
        <w:t>).</w:t>
      </w:r>
    </w:p>
    <w:p w14:paraId="27CC0DFF" w14:textId="02E2DA76" w:rsidR="00550694" w:rsidRPr="00130213" w:rsidRDefault="00550694" w:rsidP="00130213">
      <w:pPr>
        <w:spacing w:line="360" w:lineRule="auto"/>
        <w:rPr>
          <w:rFonts w:ascii="Arial" w:hAnsi="Arial" w:cs="Arial"/>
          <w:sz w:val="24"/>
          <w:szCs w:val="24"/>
        </w:rPr>
      </w:pPr>
      <w:r w:rsidRPr="00130213">
        <w:rPr>
          <w:rFonts w:ascii="Arial" w:hAnsi="Arial" w:cs="Arial"/>
          <w:sz w:val="24"/>
          <w:szCs w:val="24"/>
        </w:rPr>
        <w:t xml:space="preserve">Ford, J. D. (2002). Traumatic victimization in childhood and persistent problems with </w:t>
      </w:r>
      <w:proofErr w:type="gramStart"/>
      <w:r w:rsidRPr="00130213">
        <w:rPr>
          <w:rFonts w:ascii="Arial" w:hAnsi="Arial" w:cs="Arial"/>
          <w:sz w:val="24"/>
          <w:szCs w:val="24"/>
        </w:rPr>
        <w:t>oppositional-defiance</w:t>
      </w:r>
      <w:proofErr w:type="gramEnd"/>
      <w:r w:rsidRPr="00130213">
        <w:rPr>
          <w:rFonts w:ascii="Arial" w:hAnsi="Arial" w:cs="Arial"/>
          <w:sz w:val="24"/>
          <w:szCs w:val="24"/>
        </w:rPr>
        <w:t>. Journal of Trauma, Maltreatment, and Aggression, 11, 25–58.</w:t>
      </w:r>
    </w:p>
    <w:p w14:paraId="53E3A354" w14:textId="42F5B650" w:rsidR="00550694" w:rsidRPr="00130213" w:rsidRDefault="00550694" w:rsidP="00130213">
      <w:pPr>
        <w:spacing w:line="360" w:lineRule="auto"/>
        <w:rPr>
          <w:rFonts w:ascii="Arial" w:hAnsi="Arial" w:cs="Arial"/>
          <w:sz w:val="24"/>
          <w:szCs w:val="24"/>
        </w:rPr>
      </w:pPr>
      <w:r w:rsidRPr="00130213">
        <w:rPr>
          <w:rFonts w:ascii="Arial" w:hAnsi="Arial" w:cs="Arial"/>
          <w:sz w:val="24"/>
          <w:szCs w:val="24"/>
        </w:rPr>
        <w:t>Fox, B. H., Perez, N., Cass, E., Baglivio, M. T., &amp; Epps, N. (2015). Trauma changes everything: Examining the relationship between adverse childhood experiences and serious, violent, and chronic juvenile offenders. Child Abuse &amp; Neglect, 46, 163–173. http://dx.doi.org/10.1016/j.chiabu.2015.01.011</w:t>
      </w:r>
    </w:p>
    <w:p w14:paraId="1BF2EFE6" w14:textId="675FF8B9" w:rsidR="0028019E" w:rsidRPr="00130213" w:rsidRDefault="0028019E" w:rsidP="00130213">
      <w:pPr>
        <w:spacing w:line="360" w:lineRule="auto"/>
        <w:rPr>
          <w:rFonts w:ascii="Arial" w:hAnsi="Arial" w:cs="Arial"/>
          <w:sz w:val="24"/>
          <w:szCs w:val="24"/>
        </w:rPr>
      </w:pPr>
      <w:r w:rsidRPr="00130213">
        <w:rPr>
          <w:rFonts w:ascii="Arial" w:hAnsi="Arial" w:cs="Arial"/>
          <w:sz w:val="24"/>
          <w:szCs w:val="24"/>
        </w:rPr>
        <w:t xml:space="preserve">HM Government (2018) Serious Violence Strategy. </w:t>
      </w:r>
      <w:r w:rsidRPr="00130213">
        <w:rPr>
          <w:rFonts w:ascii="Arial" w:hAnsi="Arial" w:cs="Arial"/>
          <w:sz w:val="24"/>
          <w:szCs w:val="24"/>
        </w:rPr>
        <w:t>[</w:t>
      </w:r>
      <w:r w:rsidRPr="00130213">
        <w:rPr>
          <w:rFonts w:ascii="Arial" w:hAnsi="Arial" w:cs="Arial"/>
          <w:sz w:val="24"/>
          <w:szCs w:val="24"/>
        </w:rPr>
        <w:t>Available</w:t>
      </w:r>
      <w:r w:rsidRPr="00130213">
        <w:rPr>
          <w:rFonts w:ascii="Arial" w:hAnsi="Arial" w:cs="Arial"/>
          <w:sz w:val="24"/>
          <w:szCs w:val="24"/>
        </w:rPr>
        <w:t>]</w:t>
      </w:r>
      <w:r w:rsidRPr="00130213">
        <w:rPr>
          <w:rFonts w:ascii="Arial" w:hAnsi="Arial" w:cs="Arial"/>
          <w:sz w:val="24"/>
          <w:szCs w:val="24"/>
        </w:rPr>
        <w:t xml:space="preserve"> at: https://www.gov.uk/government/publica</w:t>
      </w:r>
      <w:r w:rsidRPr="00130213">
        <w:rPr>
          <w:rFonts w:ascii="Arial" w:hAnsi="Arial" w:cs="Arial"/>
          <w:sz w:val="24"/>
          <w:szCs w:val="24"/>
        </w:rPr>
        <w:t/>
      </w:r>
      <w:proofErr w:type="spellStart"/>
      <w:r w:rsidRPr="00130213">
        <w:rPr>
          <w:rFonts w:ascii="Arial" w:hAnsi="Arial" w:cs="Arial"/>
          <w:sz w:val="24"/>
          <w:szCs w:val="24"/>
        </w:rPr>
        <w:t>tions</w:t>
      </w:r>
      <w:proofErr w:type="spellEnd"/>
      <w:r w:rsidRPr="00130213">
        <w:rPr>
          <w:rFonts w:ascii="Arial" w:hAnsi="Arial" w:cs="Arial"/>
          <w:sz w:val="24"/>
          <w:szCs w:val="24"/>
        </w:rPr>
        <w:t xml:space="preserve">/serious-violence-strategy </w:t>
      </w:r>
      <w:r w:rsidRPr="00130213">
        <w:rPr>
          <w:rFonts w:ascii="Arial" w:hAnsi="Arial" w:cs="Arial"/>
          <w:sz w:val="24"/>
          <w:szCs w:val="24"/>
        </w:rPr>
        <w:t>[A</w:t>
      </w:r>
      <w:r w:rsidRPr="00130213">
        <w:rPr>
          <w:rFonts w:ascii="Arial" w:hAnsi="Arial" w:cs="Arial"/>
          <w:sz w:val="24"/>
          <w:szCs w:val="24"/>
        </w:rPr>
        <w:t xml:space="preserve">ccessed </w:t>
      </w:r>
      <w:r w:rsidRPr="00130213">
        <w:rPr>
          <w:rFonts w:ascii="Arial" w:hAnsi="Arial" w:cs="Arial"/>
          <w:sz w:val="24"/>
          <w:szCs w:val="24"/>
        </w:rPr>
        <w:t>18</w:t>
      </w:r>
      <w:r w:rsidRPr="00130213">
        <w:rPr>
          <w:rFonts w:ascii="Arial" w:hAnsi="Arial" w:cs="Arial"/>
          <w:sz w:val="24"/>
          <w:szCs w:val="24"/>
          <w:vertAlign w:val="superscript"/>
        </w:rPr>
        <w:t>th</w:t>
      </w:r>
      <w:r w:rsidRPr="00130213">
        <w:rPr>
          <w:rFonts w:ascii="Arial" w:hAnsi="Arial" w:cs="Arial"/>
          <w:sz w:val="24"/>
          <w:szCs w:val="24"/>
        </w:rPr>
        <w:t xml:space="preserve"> March 2023]</w:t>
      </w:r>
    </w:p>
    <w:p w14:paraId="67D5ACFE" w14:textId="087675E3" w:rsidR="00550694" w:rsidRPr="00130213" w:rsidRDefault="00550694" w:rsidP="00130213">
      <w:pPr>
        <w:spacing w:line="360" w:lineRule="auto"/>
        <w:rPr>
          <w:rFonts w:ascii="Arial" w:hAnsi="Arial" w:cs="Arial"/>
          <w:sz w:val="24"/>
          <w:szCs w:val="24"/>
        </w:rPr>
      </w:pPr>
      <w:r w:rsidRPr="00130213">
        <w:rPr>
          <w:rFonts w:ascii="Arial" w:hAnsi="Arial" w:cs="Arial"/>
          <w:sz w:val="24"/>
          <w:szCs w:val="24"/>
        </w:rPr>
        <w:t>Orth, U., &amp; Wieland, E. (2006). Anger, hostility, and posttraumatic stress disorder in trauma-exposed adults: A meta-analysis. Journal of Consulting and Clinical Psychology, 74(4), 698.</w:t>
      </w:r>
    </w:p>
    <w:p w14:paraId="43952862" w14:textId="2AFD9192" w:rsidR="00DE3619" w:rsidRPr="00130213" w:rsidRDefault="00DE3619" w:rsidP="00130213">
      <w:pPr>
        <w:spacing w:line="360" w:lineRule="auto"/>
        <w:rPr>
          <w:rFonts w:ascii="Arial" w:hAnsi="Arial" w:cs="Arial"/>
          <w:sz w:val="24"/>
          <w:szCs w:val="24"/>
        </w:rPr>
      </w:pPr>
      <w:r w:rsidRPr="00130213">
        <w:rPr>
          <w:rFonts w:ascii="Arial" w:hAnsi="Arial" w:cs="Arial"/>
          <w:sz w:val="24"/>
          <w:szCs w:val="24"/>
        </w:rPr>
        <w:t>Pollak, S. D., Cicchetti, D., Hornung, K., &amp; Reed, A. (2000). Recognizing emotion in faces: Developmental effects of child abuse and neglect. Developmental Psychology, 36(5), 679.</w:t>
      </w:r>
    </w:p>
    <w:p w14:paraId="272AB309" w14:textId="23046FC2" w:rsidR="00B16527" w:rsidRPr="00130213" w:rsidRDefault="00B16527" w:rsidP="00130213">
      <w:pPr>
        <w:spacing w:line="360" w:lineRule="auto"/>
        <w:rPr>
          <w:rFonts w:ascii="Arial" w:hAnsi="Arial" w:cs="Arial"/>
          <w:sz w:val="24"/>
          <w:szCs w:val="24"/>
        </w:rPr>
      </w:pPr>
      <w:r w:rsidRPr="00130213">
        <w:rPr>
          <w:rFonts w:ascii="Arial" w:hAnsi="Arial" w:cs="Arial"/>
          <w:sz w:val="24"/>
          <w:szCs w:val="24"/>
        </w:rPr>
        <w:t xml:space="preserve">Spinazzola, J., Ford, J. D., Zucker, M., van der Kolk, B., Silva, S., Smith, S., &amp; </w:t>
      </w:r>
      <w:proofErr w:type="spellStart"/>
      <w:r w:rsidRPr="00130213">
        <w:rPr>
          <w:rFonts w:ascii="Arial" w:hAnsi="Arial" w:cs="Arial"/>
          <w:sz w:val="24"/>
          <w:szCs w:val="24"/>
        </w:rPr>
        <w:t>Blaustein</w:t>
      </w:r>
      <w:proofErr w:type="spellEnd"/>
      <w:r w:rsidRPr="00130213">
        <w:rPr>
          <w:rFonts w:ascii="Arial" w:hAnsi="Arial" w:cs="Arial"/>
          <w:sz w:val="24"/>
          <w:szCs w:val="24"/>
        </w:rPr>
        <w:t>, M. (2005). National survey of complex trauma exposure, outcome, and intervention for children and adolescents. Psychiatric Annals, 35(5), 433–439.</w:t>
      </w:r>
    </w:p>
    <w:p w14:paraId="3D803314" w14:textId="5557A591" w:rsidR="00550694" w:rsidRPr="00130213" w:rsidRDefault="00550694" w:rsidP="00130213">
      <w:pPr>
        <w:spacing w:line="360" w:lineRule="auto"/>
        <w:rPr>
          <w:rFonts w:ascii="Arial" w:hAnsi="Arial" w:cs="Arial"/>
          <w:sz w:val="24"/>
          <w:szCs w:val="24"/>
        </w:rPr>
      </w:pPr>
      <w:r w:rsidRPr="00130213">
        <w:rPr>
          <w:rFonts w:ascii="Arial" w:hAnsi="Arial" w:cs="Arial"/>
          <w:sz w:val="24"/>
          <w:szCs w:val="24"/>
        </w:rPr>
        <w:t>Taft, C. T., Watkins, L. E., Stafford, J., Street, A. E., &amp; Monson, C. M. (2011). Posttraumatic stress disorder and intimate relationship problems: A meta-analysis. Journal of Consulting and Clinical Psychology, 79(1), 22.</w:t>
      </w:r>
    </w:p>
    <w:p w14:paraId="1E779780" w14:textId="0744D227" w:rsidR="00130213" w:rsidRPr="00130213" w:rsidRDefault="00130213" w:rsidP="00130213">
      <w:pPr>
        <w:spacing w:line="360" w:lineRule="auto"/>
        <w:rPr>
          <w:rFonts w:ascii="Arial" w:hAnsi="Arial" w:cs="Arial"/>
          <w:sz w:val="24"/>
          <w:szCs w:val="24"/>
        </w:rPr>
      </w:pPr>
      <w:r w:rsidRPr="00130213">
        <w:rPr>
          <w:rFonts w:ascii="Arial" w:hAnsi="Arial" w:cs="Arial"/>
          <w:sz w:val="24"/>
          <w:szCs w:val="24"/>
        </w:rPr>
        <w:t xml:space="preserve">Warren C, </w:t>
      </w:r>
      <w:proofErr w:type="spellStart"/>
      <w:r w:rsidRPr="00130213">
        <w:rPr>
          <w:rFonts w:ascii="Arial" w:hAnsi="Arial" w:cs="Arial"/>
          <w:sz w:val="24"/>
          <w:szCs w:val="24"/>
        </w:rPr>
        <w:t>Karner</w:t>
      </w:r>
      <w:proofErr w:type="spellEnd"/>
      <w:r w:rsidRPr="00130213">
        <w:rPr>
          <w:rFonts w:ascii="Arial" w:hAnsi="Arial" w:cs="Arial"/>
          <w:sz w:val="24"/>
          <w:szCs w:val="24"/>
        </w:rPr>
        <w:t xml:space="preserve"> T. The Interview. Discovering </w:t>
      </w:r>
      <w:proofErr w:type="spellStart"/>
      <w:r w:rsidRPr="00130213">
        <w:rPr>
          <w:rFonts w:ascii="Arial" w:hAnsi="Arial" w:cs="Arial"/>
          <w:sz w:val="24"/>
          <w:szCs w:val="24"/>
        </w:rPr>
        <w:t>Qualit</w:t>
      </w:r>
      <w:proofErr w:type="spellEnd"/>
      <w:r w:rsidRPr="00130213">
        <w:rPr>
          <w:rFonts w:ascii="Arial" w:hAnsi="Arial" w:cs="Arial"/>
          <w:sz w:val="24"/>
          <w:szCs w:val="24"/>
        </w:rPr>
        <w:t/>
      </w:r>
      <w:proofErr w:type="spellStart"/>
      <w:r w:rsidRPr="00130213">
        <w:rPr>
          <w:rFonts w:ascii="Arial" w:hAnsi="Arial" w:cs="Arial"/>
          <w:sz w:val="24"/>
          <w:szCs w:val="24"/>
        </w:rPr>
        <w:t>ative</w:t>
      </w:r>
      <w:proofErr w:type="spellEnd"/>
      <w:r w:rsidRPr="00130213">
        <w:rPr>
          <w:rFonts w:ascii="Arial" w:hAnsi="Arial" w:cs="Arial"/>
          <w:sz w:val="24"/>
          <w:szCs w:val="24"/>
        </w:rPr>
        <w:t xml:space="preserve"> Methods: Field Research, Interviews and Analysis. Los Angeles: Roxbury 2005;115–35</w:t>
      </w:r>
    </w:p>
    <w:p w14:paraId="6CB72B5F" w14:textId="6D5E2BD2" w:rsidR="0028019E" w:rsidRPr="00130213" w:rsidRDefault="00550694" w:rsidP="00130213">
      <w:pPr>
        <w:spacing w:line="360" w:lineRule="auto"/>
        <w:rPr>
          <w:rFonts w:ascii="Arial" w:hAnsi="Arial" w:cs="Arial"/>
          <w:sz w:val="24"/>
          <w:szCs w:val="24"/>
        </w:rPr>
      </w:pPr>
      <w:r w:rsidRPr="00130213">
        <w:rPr>
          <w:rFonts w:ascii="Arial" w:hAnsi="Arial" w:cs="Arial"/>
          <w:sz w:val="24"/>
          <w:szCs w:val="24"/>
        </w:rPr>
        <w:t xml:space="preserve">Wolfe, D. A., Wekerle, C., Scott, K., </w:t>
      </w:r>
      <w:proofErr w:type="spellStart"/>
      <w:r w:rsidRPr="00130213">
        <w:rPr>
          <w:rFonts w:ascii="Arial" w:hAnsi="Arial" w:cs="Arial"/>
          <w:sz w:val="24"/>
          <w:szCs w:val="24"/>
        </w:rPr>
        <w:t>Straatman</w:t>
      </w:r>
      <w:proofErr w:type="spellEnd"/>
      <w:r w:rsidRPr="00130213">
        <w:rPr>
          <w:rFonts w:ascii="Arial" w:hAnsi="Arial" w:cs="Arial"/>
          <w:sz w:val="24"/>
          <w:szCs w:val="24"/>
        </w:rPr>
        <w:t xml:space="preserve">, A. L., &amp; </w:t>
      </w:r>
      <w:proofErr w:type="spellStart"/>
      <w:r w:rsidRPr="00130213">
        <w:rPr>
          <w:rFonts w:ascii="Arial" w:hAnsi="Arial" w:cs="Arial"/>
          <w:sz w:val="24"/>
          <w:szCs w:val="24"/>
        </w:rPr>
        <w:t>Grasley</w:t>
      </w:r>
      <w:proofErr w:type="spellEnd"/>
      <w:r w:rsidRPr="00130213">
        <w:rPr>
          <w:rFonts w:ascii="Arial" w:hAnsi="Arial" w:cs="Arial"/>
          <w:sz w:val="24"/>
          <w:szCs w:val="24"/>
        </w:rPr>
        <w:t xml:space="preserve">, C. (2004). Predicting abuse in adolescent dating relationships over 1 year: the role of child maltreatment and trauma. Journal of Abnormal </w:t>
      </w:r>
      <w:proofErr w:type="spellStart"/>
      <w:r w:rsidRPr="00130213">
        <w:rPr>
          <w:rFonts w:ascii="Arial" w:hAnsi="Arial" w:cs="Arial"/>
          <w:sz w:val="24"/>
          <w:szCs w:val="24"/>
        </w:rPr>
        <w:t>Psychol</w:t>
      </w:r>
      <w:proofErr w:type="spellEnd"/>
      <w:r w:rsidRPr="00130213">
        <w:rPr>
          <w:rFonts w:ascii="Arial" w:hAnsi="Arial" w:cs="Arial"/>
          <w:sz w:val="24"/>
          <w:szCs w:val="24"/>
        </w:rPr>
        <w:t/>
      </w:r>
      <w:proofErr w:type="spellStart"/>
      <w:r w:rsidRPr="00130213">
        <w:rPr>
          <w:rFonts w:ascii="Arial" w:hAnsi="Arial" w:cs="Arial"/>
          <w:sz w:val="24"/>
          <w:szCs w:val="24"/>
        </w:rPr>
        <w:t>ogy</w:t>
      </w:r>
      <w:proofErr w:type="spellEnd"/>
      <w:r w:rsidRPr="00130213">
        <w:rPr>
          <w:rFonts w:ascii="Arial" w:hAnsi="Arial" w:cs="Arial"/>
          <w:sz w:val="24"/>
          <w:szCs w:val="24"/>
        </w:rPr>
        <w:t>, 113(3), 406.</w:t>
      </w:r>
    </w:p>
    <w:sectPr w:rsidR="0028019E" w:rsidRPr="0013021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82169" w14:textId="77777777" w:rsidR="00ED6C03" w:rsidRDefault="00ED6C03" w:rsidP="001B7DB2">
      <w:pPr>
        <w:spacing w:after="0" w:line="240" w:lineRule="auto"/>
      </w:pPr>
      <w:r>
        <w:separator/>
      </w:r>
    </w:p>
  </w:endnote>
  <w:endnote w:type="continuationSeparator" w:id="0">
    <w:p w14:paraId="2413AFF2" w14:textId="77777777" w:rsidR="00ED6C03" w:rsidRDefault="00ED6C03" w:rsidP="001B7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32571" w14:textId="77777777" w:rsidR="00ED6C03" w:rsidRDefault="00ED6C03" w:rsidP="001B7DB2">
      <w:pPr>
        <w:spacing w:after="0" w:line="240" w:lineRule="auto"/>
      </w:pPr>
      <w:r>
        <w:separator/>
      </w:r>
    </w:p>
  </w:footnote>
  <w:footnote w:type="continuationSeparator" w:id="0">
    <w:p w14:paraId="27A1E377" w14:textId="77777777" w:rsidR="00ED6C03" w:rsidRDefault="00ED6C03" w:rsidP="001B7D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9F2D0" w14:textId="4A17A5EE" w:rsidR="001B7DB2" w:rsidRDefault="001B7DB2">
    <w:pPr>
      <w:pStyle w:val="Header"/>
    </w:pPr>
    <w:r>
      <w:t xml:space="preserve">Sharon Strachan </w:t>
    </w:r>
    <w:r>
      <w:ptab w:relativeTo="margin" w:alignment="center" w:leader="none"/>
    </w:r>
    <w:r w:rsidR="000031E4">
      <w:t xml:space="preserve">                   </w:t>
    </w:r>
    <w:r w:rsidR="000031E4">
      <w:t xml:space="preserve">BM5005_BIRM Introduction to Research   </w:t>
    </w:r>
    <w:r w:rsidR="000031E4">
      <w:t xml:space="preserve">      </w:t>
    </w:r>
    <w:r w:rsidR="000031E4">
      <w:t xml:space="preserve">             Dr Fahad Khan</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35C"/>
    <w:rsid w:val="000031E4"/>
    <w:rsid w:val="000202C6"/>
    <w:rsid w:val="0007249C"/>
    <w:rsid w:val="000C62FD"/>
    <w:rsid w:val="00130213"/>
    <w:rsid w:val="00173A0A"/>
    <w:rsid w:val="001B7DB2"/>
    <w:rsid w:val="001D4742"/>
    <w:rsid w:val="0028019E"/>
    <w:rsid w:val="00313BB0"/>
    <w:rsid w:val="00317888"/>
    <w:rsid w:val="003A61FA"/>
    <w:rsid w:val="00431975"/>
    <w:rsid w:val="00550694"/>
    <w:rsid w:val="00683D76"/>
    <w:rsid w:val="007800A1"/>
    <w:rsid w:val="00784B1F"/>
    <w:rsid w:val="007E7ED7"/>
    <w:rsid w:val="009B297B"/>
    <w:rsid w:val="00A87AA0"/>
    <w:rsid w:val="00B16527"/>
    <w:rsid w:val="00B3237C"/>
    <w:rsid w:val="00D4531F"/>
    <w:rsid w:val="00DE3619"/>
    <w:rsid w:val="00ED6C03"/>
    <w:rsid w:val="00F64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250E2"/>
  <w15:chartTrackingRefBased/>
  <w15:docId w15:val="{534B611A-9716-4E76-9662-047BDDBD6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73A0A"/>
    <w:rPr>
      <w:sz w:val="16"/>
      <w:szCs w:val="16"/>
    </w:rPr>
  </w:style>
  <w:style w:type="paragraph" w:styleId="CommentText">
    <w:name w:val="annotation text"/>
    <w:basedOn w:val="Normal"/>
    <w:link w:val="CommentTextChar"/>
    <w:uiPriority w:val="99"/>
    <w:semiHidden/>
    <w:unhideWhenUsed/>
    <w:rsid w:val="00173A0A"/>
    <w:pPr>
      <w:spacing w:line="240" w:lineRule="auto"/>
    </w:pPr>
    <w:rPr>
      <w:sz w:val="20"/>
      <w:szCs w:val="20"/>
    </w:rPr>
  </w:style>
  <w:style w:type="character" w:customStyle="1" w:styleId="CommentTextChar">
    <w:name w:val="Comment Text Char"/>
    <w:basedOn w:val="DefaultParagraphFont"/>
    <w:link w:val="CommentText"/>
    <w:uiPriority w:val="99"/>
    <w:semiHidden/>
    <w:rsid w:val="00173A0A"/>
    <w:rPr>
      <w:sz w:val="20"/>
      <w:szCs w:val="20"/>
    </w:rPr>
  </w:style>
  <w:style w:type="paragraph" w:styleId="CommentSubject">
    <w:name w:val="annotation subject"/>
    <w:basedOn w:val="CommentText"/>
    <w:next w:val="CommentText"/>
    <w:link w:val="CommentSubjectChar"/>
    <w:uiPriority w:val="99"/>
    <w:semiHidden/>
    <w:unhideWhenUsed/>
    <w:rsid w:val="00173A0A"/>
    <w:rPr>
      <w:b/>
      <w:bCs/>
    </w:rPr>
  </w:style>
  <w:style w:type="character" w:customStyle="1" w:styleId="CommentSubjectChar">
    <w:name w:val="Comment Subject Char"/>
    <w:basedOn w:val="CommentTextChar"/>
    <w:link w:val="CommentSubject"/>
    <w:uiPriority w:val="99"/>
    <w:semiHidden/>
    <w:rsid w:val="00173A0A"/>
    <w:rPr>
      <w:b/>
      <w:bCs/>
      <w:sz w:val="20"/>
      <w:szCs w:val="20"/>
    </w:rPr>
  </w:style>
  <w:style w:type="character" w:styleId="Hyperlink">
    <w:name w:val="Hyperlink"/>
    <w:basedOn w:val="DefaultParagraphFont"/>
    <w:uiPriority w:val="99"/>
    <w:unhideWhenUsed/>
    <w:rsid w:val="0028019E"/>
    <w:rPr>
      <w:color w:val="0000FF" w:themeColor="hyperlink"/>
      <w:u w:val="single"/>
    </w:rPr>
  </w:style>
  <w:style w:type="character" w:styleId="UnresolvedMention">
    <w:name w:val="Unresolved Mention"/>
    <w:basedOn w:val="DefaultParagraphFont"/>
    <w:uiPriority w:val="99"/>
    <w:semiHidden/>
    <w:unhideWhenUsed/>
    <w:rsid w:val="0028019E"/>
    <w:rPr>
      <w:color w:val="605E5C"/>
      <w:shd w:val="clear" w:color="auto" w:fill="E1DFDD"/>
    </w:rPr>
  </w:style>
  <w:style w:type="paragraph" w:styleId="ListParagraph">
    <w:name w:val="List Paragraph"/>
    <w:basedOn w:val="Normal"/>
    <w:uiPriority w:val="34"/>
    <w:qFormat/>
    <w:rsid w:val="000C62FD"/>
    <w:pPr>
      <w:ind w:left="720"/>
      <w:contextualSpacing/>
    </w:pPr>
  </w:style>
  <w:style w:type="paragraph" w:styleId="Header">
    <w:name w:val="header"/>
    <w:basedOn w:val="Normal"/>
    <w:link w:val="HeaderChar"/>
    <w:uiPriority w:val="99"/>
    <w:unhideWhenUsed/>
    <w:rsid w:val="001B7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DB2"/>
  </w:style>
  <w:style w:type="paragraph" w:styleId="Footer">
    <w:name w:val="footer"/>
    <w:basedOn w:val="Normal"/>
    <w:link w:val="FooterChar"/>
    <w:uiPriority w:val="99"/>
    <w:unhideWhenUsed/>
    <w:rsid w:val="001B7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doi/full/10.1177/1473225420902848"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1338</Words>
  <Characters>7629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2</cp:revision>
  <dcterms:created xsi:type="dcterms:W3CDTF">2023-03-20T14:02:00Z</dcterms:created>
  <dcterms:modified xsi:type="dcterms:W3CDTF">2023-03-20T14:02:00Z</dcterms:modified>
</cp:coreProperties>
</file>