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25369" w14:textId="7F14F1B7" w:rsidR="00AC10B3" w:rsidRDefault="00AC10B3" w:rsidP="00AC10B3">
      <w:pPr>
        <w:pStyle w:val="Heading1"/>
      </w:pPr>
      <w:r w:rsidRPr="00F667E8">
        <w:t>BMHP50</w:t>
      </w:r>
      <w:r>
        <w:t>23</w:t>
      </w:r>
    </w:p>
    <w:p w14:paraId="29CC98AD" w14:textId="71A00D1E" w:rsidR="00AC10B3" w:rsidRDefault="00AC10B3" w:rsidP="00AC10B3">
      <w:pPr>
        <w:pStyle w:val="Heading1"/>
      </w:pPr>
      <w:proofErr w:type="spellStart"/>
      <w:r>
        <w:t>Meheret</w:t>
      </w:r>
      <w:proofErr w:type="spellEnd"/>
      <w:r>
        <w:t xml:space="preserve"> Zeleke</w:t>
      </w:r>
    </w:p>
    <w:p w14:paraId="1ABD23E3" w14:textId="26FA4571" w:rsidR="00AC10B3" w:rsidRDefault="00AC10B3" w:rsidP="00AC10B3">
      <w:pPr>
        <w:pStyle w:val="Heading1"/>
      </w:pPr>
      <w:r w:rsidRPr="00AC10B3">
        <w:t>2426669</w:t>
      </w:r>
    </w:p>
    <w:p w14:paraId="24C1B8EE" w14:textId="36E05495" w:rsidR="00AC10B3" w:rsidRDefault="00AC10B3" w:rsidP="00AC10B3">
      <w:pPr>
        <w:pStyle w:val="Heading1"/>
        <w:rPr>
          <w:bCs/>
        </w:rPr>
      </w:pPr>
      <w:r>
        <w:t>Component 1: Written Assignment (</w:t>
      </w:r>
      <w:r>
        <w:rPr>
          <w:bCs/>
        </w:rPr>
        <w:t>Case Study Report)</w:t>
      </w:r>
    </w:p>
    <w:p w14:paraId="170B08EE" w14:textId="77777777" w:rsidR="00AC10B3" w:rsidRDefault="00AC10B3" w:rsidP="003F4222">
      <w:pPr>
        <w:spacing w:line="360" w:lineRule="auto"/>
        <w:rPr>
          <w:sz w:val="22"/>
          <w:szCs w:val="22"/>
        </w:rPr>
      </w:pPr>
    </w:p>
    <w:p w14:paraId="292B46BA" w14:textId="77777777" w:rsidR="00AC10B3" w:rsidRDefault="00AC10B3">
      <w:pPr>
        <w:rPr>
          <w:sz w:val="22"/>
          <w:szCs w:val="22"/>
        </w:rPr>
      </w:pPr>
      <w:r>
        <w:rPr>
          <w:sz w:val="22"/>
          <w:szCs w:val="22"/>
        </w:rPr>
        <w:br w:type="page"/>
      </w:r>
    </w:p>
    <w:p w14:paraId="27CA7058" w14:textId="1C66A742" w:rsidR="007C460A" w:rsidRPr="003F4222" w:rsidRDefault="007C460A" w:rsidP="003F4222">
      <w:pPr>
        <w:spacing w:line="360" w:lineRule="auto"/>
        <w:rPr>
          <w:sz w:val="22"/>
          <w:szCs w:val="22"/>
        </w:rPr>
      </w:pPr>
      <w:r w:rsidRPr="007C460A">
        <w:rPr>
          <w:sz w:val="22"/>
          <w:szCs w:val="22"/>
        </w:rPr>
        <w:lastRenderedPageBreak/>
        <w:t xml:space="preserve">Diabetes is a </w:t>
      </w:r>
      <w:r w:rsidRPr="003F4222">
        <w:rPr>
          <w:sz w:val="22"/>
          <w:szCs w:val="22"/>
        </w:rPr>
        <w:t>long-term</w:t>
      </w:r>
      <w:r w:rsidRPr="007C460A">
        <w:rPr>
          <w:sz w:val="22"/>
          <w:szCs w:val="22"/>
        </w:rPr>
        <w:t xml:space="preserve"> condition where your body cannot control blood sugar properly. It happens because the pancreas does not make enough insulin, or the body cannot use the insulin it makes effectively (</w:t>
      </w:r>
      <w:proofErr w:type="spellStart"/>
      <w:r w:rsidRPr="007C460A">
        <w:rPr>
          <w:sz w:val="22"/>
          <w:szCs w:val="22"/>
        </w:rPr>
        <w:t>Pinchevsky</w:t>
      </w:r>
      <w:proofErr w:type="spellEnd"/>
      <w:r w:rsidRPr="007C460A">
        <w:rPr>
          <w:sz w:val="22"/>
          <w:szCs w:val="22"/>
        </w:rPr>
        <w:t xml:space="preserve"> et al., 2020). Most people with diabetes have type 2 diabetes. This type develops slowly. It often comes from a mix of genetics and lifestyle (Ismail, </w:t>
      </w:r>
      <w:proofErr w:type="spellStart"/>
      <w:r w:rsidRPr="007C460A">
        <w:rPr>
          <w:sz w:val="22"/>
          <w:szCs w:val="22"/>
        </w:rPr>
        <w:t>Materwala</w:t>
      </w:r>
      <w:proofErr w:type="spellEnd"/>
      <w:r w:rsidRPr="007C460A">
        <w:rPr>
          <w:sz w:val="22"/>
          <w:szCs w:val="22"/>
        </w:rPr>
        <w:t xml:space="preserve"> and Al </w:t>
      </w:r>
      <w:proofErr w:type="spellStart"/>
      <w:r w:rsidRPr="007C460A">
        <w:rPr>
          <w:sz w:val="22"/>
          <w:szCs w:val="22"/>
        </w:rPr>
        <w:t>Kaabi</w:t>
      </w:r>
      <w:proofErr w:type="spellEnd"/>
      <w:r w:rsidRPr="007C460A">
        <w:rPr>
          <w:sz w:val="22"/>
          <w:szCs w:val="22"/>
        </w:rPr>
        <w:t>, 2021). Many people do not know they have it. This is because early signs can be absent. You might have the condition for years without symptoms (</w:t>
      </w:r>
      <w:proofErr w:type="spellStart"/>
      <w:r w:rsidRPr="007C460A">
        <w:rPr>
          <w:sz w:val="22"/>
          <w:szCs w:val="22"/>
        </w:rPr>
        <w:t>Pinchevsky</w:t>
      </w:r>
      <w:proofErr w:type="spellEnd"/>
      <w:r w:rsidRPr="007C460A">
        <w:rPr>
          <w:sz w:val="22"/>
          <w:szCs w:val="22"/>
        </w:rPr>
        <w:t xml:space="preserve"> et al., 2020).</w:t>
      </w:r>
      <w:r w:rsidRPr="003F4222">
        <w:rPr>
          <w:sz w:val="22"/>
          <w:szCs w:val="22"/>
        </w:rPr>
        <w:t xml:space="preserve"> </w:t>
      </w:r>
      <w:r w:rsidRPr="007C460A">
        <w:rPr>
          <w:sz w:val="22"/>
          <w:szCs w:val="22"/>
        </w:rPr>
        <w:t>Several factors increase risk. Obesity is a strong risk factor. Extra body fat can lead to insulin resistance (</w:t>
      </w:r>
      <w:proofErr w:type="spellStart"/>
      <w:r w:rsidRPr="007C460A">
        <w:rPr>
          <w:sz w:val="22"/>
          <w:szCs w:val="22"/>
        </w:rPr>
        <w:t>Pinchevsky</w:t>
      </w:r>
      <w:proofErr w:type="spellEnd"/>
      <w:r w:rsidRPr="007C460A">
        <w:rPr>
          <w:sz w:val="22"/>
          <w:szCs w:val="22"/>
        </w:rPr>
        <w:t xml:space="preserve"> et al., 2020). A family history of diabetes also raises your chances. Your risk increases two to four times if a close relative has it (Ismail, </w:t>
      </w:r>
      <w:proofErr w:type="spellStart"/>
      <w:r w:rsidRPr="007C460A">
        <w:rPr>
          <w:sz w:val="22"/>
          <w:szCs w:val="22"/>
        </w:rPr>
        <w:t>Materwala</w:t>
      </w:r>
      <w:proofErr w:type="spellEnd"/>
      <w:r w:rsidRPr="007C460A">
        <w:rPr>
          <w:sz w:val="22"/>
          <w:szCs w:val="22"/>
        </w:rPr>
        <w:t xml:space="preserve"> and Al </w:t>
      </w:r>
      <w:proofErr w:type="spellStart"/>
      <w:r w:rsidRPr="007C460A">
        <w:rPr>
          <w:sz w:val="22"/>
          <w:szCs w:val="22"/>
        </w:rPr>
        <w:t>Kaabi</w:t>
      </w:r>
      <w:proofErr w:type="spellEnd"/>
      <w:r w:rsidRPr="007C460A">
        <w:rPr>
          <w:sz w:val="22"/>
          <w:szCs w:val="22"/>
        </w:rPr>
        <w:t xml:space="preserve">, 2021). Other risks include high blood pressure, smoking, and poor sleep. Your age and ethnicity matter too. Some groups, like South Asians and Pacific Islanders, face higher risks (Ismail, </w:t>
      </w:r>
      <w:proofErr w:type="spellStart"/>
      <w:r w:rsidRPr="007C460A">
        <w:rPr>
          <w:sz w:val="22"/>
          <w:szCs w:val="22"/>
        </w:rPr>
        <w:t>Materwala</w:t>
      </w:r>
      <w:proofErr w:type="spellEnd"/>
      <w:r w:rsidRPr="007C460A">
        <w:rPr>
          <w:sz w:val="22"/>
          <w:szCs w:val="22"/>
        </w:rPr>
        <w:t xml:space="preserve"> and Al </w:t>
      </w:r>
      <w:proofErr w:type="spellStart"/>
      <w:r w:rsidRPr="007C460A">
        <w:rPr>
          <w:sz w:val="22"/>
          <w:szCs w:val="22"/>
        </w:rPr>
        <w:t>Kaabi</w:t>
      </w:r>
      <w:proofErr w:type="spellEnd"/>
      <w:r w:rsidRPr="007C460A">
        <w:rPr>
          <w:sz w:val="22"/>
          <w:szCs w:val="22"/>
        </w:rPr>
        <w:t>, 2021). Social factors like lower education or unemployment also play a part (</w:t>
      </w:r>
      <w:proofErr w:type="spellStart"/>
      <w:r w:rsidRPr="007C460A">
        <w:rPr>
          <w:sz w:val="22"/>
          <w:szCs w:val="22"/>
        </w:rPr>
        <w:t>Pinchevsky</w:t>
      </w:r>
      <w:proofErr w:type="spellEnd"/>
      <w:r w:rsidRPr="007C460A">
        <w:rPr>
          <w:sz w:val="22"/>
          <w:szCs w:val="22"/>
        </w:rPr>
        <w:t xml:space="preserve"> et al., 2020).</w:t>
      </w:r>
    </w:p>
    <w:p w14:paraId="7C08F1CC" w14:textId="11D8B70D" w:rsidR="00CF5699" w:rsidRPr="003F4222" w:rsidRDefault="007C460A" w:rsidP="003F4222">
      <w:pPr>
        <w:spacing w:line="360" w:lineRule="auto"/>
        <w:rPr>
          <w:sz w:val="22"/>
          <w:szCs w:val="22"/>
        </w:rPr>
      </w:pPr>
      <w:r w:rsidRPr="003F4222">
        <w:rPr>
          <w:sz w:val="22"/>
          <w:szCs w:val="22"/>
        </w:rPr>
        <w:br/>
      </w:r>
      <w:r w:rsidR="00CF5699" w:rsidRPr="003F4222">
        <w:rPr>
          <w:sz w:val="22"/>
          <w:szCs w:val="22"/>
        </w:rPr>
        <w:t>Blood sugar levels are kept stable through a constant back and forth between the liver and two hormones from the pancreas: insulin and glucagon (Hatting et al., 2018). This balance ensures your brain and body have a steady fuel supply.</w:t>
      </w:r>
      <w:r w:rsidRPr="003F4222">
        <w:rPr>
          <w:sz w:val="22"/>
          <w:szCs w:val="22"/>
        </w:rPr>
        <w:t xml:space="preserve"> </w:t>
      </w:r>
      <w:r w:rsidR="00CF5699" w:rsidRPr="003F4222">
        <w:rPr>
          <w:sz w:val="22"/>
          <w:szCs w:val="22"/>
        </w:rPr>
        <w:t xml:space="preserve">When you eat, blood glucose rises. The pancreas releases insulin. This hormone has two main jobs to lower blood sugar. First, it tells the liver to stop making its own glucose. Insulin does this mainly by stopping the breakdown of fat in your fat tissue (Petersen, </w:t>
      </w:r>
      <w:proofErr w:type="spellStart"/>
      <w:r w:rsidR="00CF5699" w:rsidRPr="003F4222">
        <w:rPr>
          <w:sz w:val="22"/>
          <w:szCs w:val="22"/>
        </w:rPr>
        <w:t>Vatner</w:t>
      </w:r>
      <w:proofErr w:type="spellEnd"/>
      <w:r w:rsidR="00CF5699" w:rsidRPr="003F4222">
        <w:rPr>
          <w:sz w:val="22"/>
          <w:szCs w:val="22"/>
        </w:rPr>
        <w:t xml:space="preserve"> and Shulman, 2017). This lowers the flow of fatty acids and glycerol to the liver. With fewer of these raw materials, the liver slows down its glucose production (Petersen, </w:t>
      </w:r>
      <w:proofErr w:type="spellStart"/>
      <w:r w:rsidR="00CF5699" w:rsidRPr="003F4222">
        <w:rPr>
          <w:sz w:val="22"/>
          <w:szCs w:val="22"/>
        </w:rPr>
        <w:t>Vatner</w:t>
      </w:r>
      <w:proofErr w:type="spellEnd"/>
      <w:r w:rsidR="00CF5699" w:rsidRPr="003F4222">
        <w:rPr>
          <w:sz w:val="22"/>
          <w:szCs w:val="22"/>
        </w:rPr>
        <w:t xml:space="preserve"> and Shulman, 2017). Second, insulin works directly on the liver to start building glycogen. It activates enzymes that turn glucose into its storage form, glycogen, so the liver can store it for later use (Petersen, </w:t>
      </w:r>
      <w:proofErr w:type="spellStart"/>
      <w:r w:rsidR="00CF5699" w:rsidRPr="003F4222">
        <w:rPr>
          <w:sz w:val="22"/>
          <w:szCs w:val="22"/>
        </w:rPr>
        <w:t>Vatner</w:t>
      </w:r>
      <w:proofErr w:type="spellEnd"/>
      <w:r w:rsidR="00CF5699" w:rsidRPr="003F4222">
        <w:rPr>
          <w:sz w:val="22"/>
          <w:szCs w:val="22"/>
        </w:rPr>
        <w:t xml:space="preserve"> and Shulman, 2017).</w:t>
      </w:r>
    </w:p>
    <w:p w14:paraId="3A12D9D9" w14:textId="76296BAE" w:rsidR="00CF5699" w:rsidRPr="003F4222" w:rsidRDefault="00CF5699" w:rsidP="003F4222">
      <w:pPr>
        <w:spacing w:line="360" w:lineRule="auto"/>
        <w:rPr>
          <w:sz w:val="22"/>
          <w:szCs w:val="22"/>
        </w:rPr>
      </w:pPr>
      <w:r w:rsidRPr="003F4222">
        <w:rPr>
          <w:sz w:val="22"/>
          <w:szCs w:val="22"/>
        </w:rPr>
        <w:t>Between meals or during sleep, your blood sugar starts to dip. The pancreas then secretes glucagon. This hormone signals the liver to release its stored glucose. Glucagon triggers the breakdown of glycogen into glucose, a process called glycogenolysis (Kajani et al., 2024). If you go without food for longer, glucagon also pushes the liver to create new glucose from non-carbohydrate sources, like amino acids, through a process called gluconeogenesis (Kajani et al., 2024). This keeps your blood sugar steady even when you haven't eaten for a while.</w:t>
      </w:r>
    </w:p>
    <w:p w14:paraId="1DFC3D2A" w14:textId="2E14E3F4" w:rsidR="00CF5699" w:rsidRPr="003F4222" w:rsidRDefault="00CF5699" w:rsidP="003F4222">
      <w:pPr>
        <w:spacing w:line="360" w:lineRule="auto"/>
        <w:rPr>
          <w:sz w:val="22"/>
          <w:szCs w:val="22"/>
        </w:rPr>
      </w:pPr>
      <w:r w:rsidRPr="003F4222">
        <w:rPr>
          <w:sz w:val="22"/>
          <w:szCs w:val="22"/>
        </w:rPr>
        <w:t>This system has a built-in safety net. If blood sugar falls too low, the brain triggers a strong counter-regulatory response. This includes a rapid release of glucagon and a shut-down of insulin to quickly bring glucose levels back to normal (</w:t>
      </w:r>
      <w:proofErr w:type="spellStart"/>
      <w:r w:rsidRPr="003F4222">
        <w:rPr>
          <w:sz w:val="22"/>
          <w:szCs w:val="22"/>
        </w:rPr>
        <w:t>Thorens</w:t>
      </w:r>
      <w:proofErr w:type="spellEnd"/>
      <w:r w:rsidRPr="003F4222">
        <w:rPr>
          <w:sz w:val="22"/>
          <w:szCs w:val="22"/>
        </w:rPr>
        <w:t xml:space="preserve">, 2024). Special glucose-sensing </w:t>
      </w:r>
      <w:r w:rsidRPr="003F4222">
        <w:rPr>
          <w:sz w:val="22"/>
          <w:szCs w:val="22"/>
        </w:rPr>
        <w:lastRenderedPageBreak/>
        <w:t>neurons in the brain and liver are crucial for this. They detect the drop and activate nerves that connect directly to the pancreas to control hormone release (</w:t>
      </w:r>
      <w:proofErr w:type="spellStart"/>
      <w:r w:rsidRPr="003F4222">
        <w:rPr>
          <w:sz w:val="22"/>
          <w:szCs w:val="22"/>
        </w:rPr>
        <w:t>Thorens</w:t>
      </w:r>
      <w:proofErr w:type="spellEnd"/>
      <w:r w:rsidRPr="003F4222">
        <w:rPr>
          <w:sz w:val="22"/>
          <w:szCs w:val="22"/>
        </w:rPr>
        <w:t>, 2024).</w:t>
      </w:r>
    </w:p>
    <w:p w14:paraId="75DBABCA" w14:textId="77ED6C43" w:rsidR="00C15E6D" w:rsidRPr="003F4222" w:rsidRDefault="00C15E6D" w:rsidP="003F4222">
      <w:pPr>
        <w:spacing w:line="360" w:lineRule="auto"/>
        <w:rPr>
          <w:sz w:val="22"/>
          <w:szCs w:val="22"/>
        </w:rPr>
      </w:pPr>
      <w:r w:rsidRPr="003F4222">
        <w:rPr>
          <w:sz w:val="22"/>
          <w:szCs w:val="22"/>
        </w:rPr>
        <w:t>Our cells need energy to function. They get this energy from the breakdown of glucose, using oxygen to make the process highly efficient. This happens in two main stages: glycolysis and oxidative phosphorylation.</w:t>
      </w:r>
      <w:r w:rsidR="00E65F01" w:rsidRPr="003F4222">
        <w:rPr>
          <w:sz w:val="22"/>
          <w:szCs w:val="22"/>
        </w:rPr>
        <w:t xml:space="preserve"> </w:t>
      </w:r>
      <w:r w:rsidRPr="003F4222">
        <w:rPr>
          <w:sz w:val="22"/>
          <w:szCs w:val="22"/>
        </w:rPr>
        <w:t>First, glucose enters the cell. This is controlled by signals like growth factors, which tell the cell to bring more glucose in (Palm and Thompson, 2017). Once inside, the cell starts glycolysis. This is a ten-step pathway in the cytoplasm. It breaks the six-carbon glucose into two three-carbon molecules of pyruvate (</w:t>
      </w:r>
      <w:proofErr w:type="spellStart"/>
      <w:r w:rsidRPr="003F4222">
        <w:rPr>
          <w:sz w:val="22"/>
          <w:szCs w:val="22"/>
        </w:rPr>
        <w:t>Kierans</w:t>
      </w:r>
      <w:proofErr w:type="spellEnd"/>
      <w:r w:rsidRPr="003F4222">
        <w:rPr>
          <w:sz w:val="22"/>
          <w:szCs w:val="22"/>
        </w:rPr>
        <w:t xml:space="preserve"> and Taylor, 2024). This process gives a small, quick payoff. It produces a net gain of two ATP molecules and two NADH molecules per glucose (</w:t>
      </w:r>
      <w:proofErr w:type="spellStart"/>
      <w:r w:rsidRPr="003F4222">
        <w:rPr>
          <w:sz w:val="22"/>
          <w:szCs w:val="22"/>
        </w:rPr>
        <w:t>Kierans</w:t>
      </w:r>
      <w:proofErr w:type="spellEnd"/>
      <w:r w:rsidRPr="003F4222">
        <w:rPr>
          <w:sz w:val="22"/>
          <w:szCs w:val="22"/>
        </w:rPr>
        <w:t xml:space="preserve"> and Taylor, 2024).</w:t>
      </w:r>
    </w:p>
    <w:p w14:paraId="2FF755A7" w14:textId="0930E23C" w:rsidR="00C15E6D" w:rsidRPr="003F4222" w:rsidRDefault="00C15E6D" w:rsidP="003F4222">
      <w:pPr>
        <w:spacing w:line="360" w:lineRule="auto"/>
        <w:rPr>
          <w:sz w:val="22"/>
          <w:szCs w:val="22"/>
        </w:rPr>
      </w:pPr>
      <w:r w:rsidRPr="003F4222">
        <w:rPr>
          <w:sz w:val="22"/>
          <w:szCs w:val="22"/>
        </w:rPr>
        <w:t>The pyruvate then moves into the mitochondria. Here, it is converted into a molecule called acetyl-CoA. This enters the tricarboxylic acid (TCA) cycle (Nolfi-Donegan, Braganza and Shiva, 2020). This cycle harvests more electrons, loading them onto carriers like NADH and FADH₂. These electron carriers are the fuel for the second stage: oxidative phosphorylation. They pass their electrons to the electron transport chain, a series of protein complexes embedded in the inner mitochondrial membrane (Nolfi-Donegan, Braganza and Shiva, 2020). As electrons move down the chain, their energy is used to pump protons across the membrane. This creates a powerful gradient (Wilson, 2017).</w:t>
      </w:r>
    </w:p>
    <w:p w14:paraId="3E9DC46E" w14:textId="77777777" w:rsidR="00C15E6D" w:rsidRPr="003F4222" w:rsidRDefault="00C15E6D" w:rsidP="003F4222">
      <w:pPr>
        <w:spacing w:line="360" w:lineRule="auto"/>
        <w:rPr>
          <w:sz w:val="22"/>
          <w:szCs w:val="22"/>
        </w:rPr>
      </w:pPr>
      <w:r w:rsidRPr="003F4222">
        <w:rPr>
          <w:sz w:val="22"/>
          <w:szCs w:val="22"/>
        </w:rPr>
        <w:t>This gradient is like a battery. It stores potential energy. The protons flow back across the membrane through a turbine-like enzyme called ATP synthase. This flow drives the production of vast amounts of ATP (Nolfi-Donegan, Braganza and Shiva, 2020). This is where oxygen plays its crucial role. It acts as the final electron acceptor at the end of the chain. It accepts the electrons and is reduced to form water (Wilson, 2017). Without oxygen, the electrons would have nowhere to go, the chain would jam, and this massive ATP production would stop.</w:t>
      </w:r>
    </w:p>
    <w:p w14:paraId="458584DB" w14:textId="77777777" w:rsidR="00C15E6D" w:rsidRPr="003F4222" w:rsidRDefault="00C15E6D" w:rsidP="003F4222">
      <w:pPr>
        <w:spacing w:line="360" w:lineRule="auto"/>
        <w:rPr>
          <w:sz w:val="22"/>
          <w:szCs w:val="22"/>
        </w:rPr>
      </w:pPr>
      <w:r w:rsidRPr="003F4222">
        <w:rPr>
          <w:sz w:val="22"/>
          <w:szCs w:val="22"/>
        </w:rPr>
        <w:t>This entire system is tightly regulated. It works on a feedback loop. When energy is high, meaning ATP is abundant, the rate of glycolysis slows down. ATP itself inhibits key glycolytic enzymes (</w:t>
      </w:r>
      <w:proofErr w:type="spellStart"/>
      <w:r w:rsidRPr="003F4222">
        <w:rPr>
          <w:sz w:val="22"/>
          <w:szCs w:val="22"/>
        </w:rPr>
        <w:t>Kierans</w:t>
      </w:r>
      <w:proofErr w:type="spellEnd"/>
      <w:r w:rsidRPr="003F4222">
        <w:rPr>
          <w:sz w:val="22"/>
          <w:szCs w:val="22"/>
        </w:rPr>
        <w:t xml:space="preserve"> and Taylor, 2024). When energy is low, sensors like AMPK kick in. AMPK boosts glucose uptake and glycolysis to restore balance (Palm and Thompson, 2017). The rate of oxidative phosphorylation is controlled by the cell's energy needs. It increases rapidly once ADP levels pass a certain threshold (Wilson, 2017). This precise control ensures your cells always have the energy they need to survive and perform their functions. For most cells in your body, this partnership between glucose and oxygen is the primary way ATP is made. Red blood cells </w:t>
      </w:r>
      <w:r w:rsidRPr="003F4222">
        <w:rPr>
          <w:sz w:val="22"/>
          <w:szCs w:val="22"/>
        </w:rPr>
        <w:lastRenderedPageBreak/>
        <w:t>are a key exception, relying solely on glycolysis as they lack mitochondria (</w:t>
      </w:r>
      <w:proofErr w:type="spellStart"/>
      <w:r w:rsidRPr="003F4222">
        <w:rPr>
          <w:sz w:val="22"/>
          <w:szCs w:val="22"/>
        </w:rPr>
        <w:t>Kierans</w:t>
      </w:r>
      <w:proofErr w:type="spellEnd"/>
      <w:r w:rsidRPr="003F4222">
        <w:rPr>
          <w:sz w:val="22"/>
          <w:szCs w:val="22"/>
        </w:rPr>
        <w:t xml:space="preserve"> and Taylor, 2024)</w:t>
      </w:r>
    </w:p>
    <w:p w14:paraId="0F37A0A5" w14:textId="29F693A0" w:rsidR="00CF0914" w:rsidRPr="003F4222" w:rsidRDefault="00CF0914" w:rsidP="003F4222">
      <w:pPr>
        <w:spacing w:line="360" w:lineRule="auto"/>
        <w:rPr>
          <w:sz w:val="22"/>
          <w:szCs w:val="22"/>
        </w:rPr>
      </w:pPr>
      <w:r w:rsidRPr="003F4222">
        <w:rPr>
          <w:sz w:val="22"/>
          <w:szCs w:val="22"/>
        </w:rPr>
        <w:t xml:space="preserve">Recording blood sugar levels provides </w:t>
      </w:r>
      <w:r w:rsidR="00FF465F" w:rsidRPr="003F4222">
        <w:rPr>
          <w:sz w:val="22"/>
          <w:szCs w:val="22"/>
        </w:rPr>
        <w:t>us</w:t>
      </w:r>
      <w:r w:rsidRPr="003F4222">
        <w:rPr>
          <w:sz w:val="22"/>
          <w:szCs w:val="22"/>
        </w:rPr>
        <w:t xml:space="preserve"> with essential data to manage your condition. It moves diabetes management from guesswork to an informed process. This tracking, whether through traditional finger prick tests or modern sensors, helps you make safe and effective decisions.</w:t>
      </w:r>
    </w:p>
    <w:p w14:paraId="641A8DF1" w14:textId="68116669" w:rsidR="00CF0914" w:rsidRPr="003F4222" w:rsidRDefault="00C65810" w:rsidP="003F4222">
      <w:pPr>
        <w:spacing w:line="360" w:lineRule="auto"/>
        <w:rPr>
          <w:sz w:val="22"/>
          <w:szCs w:val="22"/>
        </w:rPr>
      </w:pPr>
      <w:r w:rsidRPr="003F4222">
        <w:rPr>
          <w:sz w:val="22"/>
          <w:szCs w:val="22"/>
        </w:rPr>
        <w:t>Self-monitoring</w:t>
      </w:r>
      <w:r w:rsidR="00CF0914" w:rsidRPr="003F4222">
        <w:rPr>
          <w:sz w:val="22"/>
          <w:szCs w:val="22"/>
        </w:rPr>
        <w:t xml:space="preserve"> of blood glucose (SMBG) using a standard meter gives you a snapshot of your sugar levels at a specific moment (Kirk and Stegner, 2010). You can see how your food, activity, and medication affect you. This is vital for detecting dangerously low blood sugar, known as </w:t>
      </w:r>
      <w:proofErr w:type="spellStart"/>
      <w:r w:rsidR="00CF0914" w:rsidRPr="003F4222">
        <w:rPr>
          <w:sz w:val="22"/>
          <w:szCs w:val="22"/>
        </w:rPr>
        <w:t>hypoglycemia</w:t>
      </w:r>
      <w:proofErr w:type="spellEnd"/>
      <w:r w:rsidR="00CF0914" w:rsidRPr="003F4222">
        <w:rPr>
          <w:sz w:val="22"/>
          <w:szCs w:val="22"/>
        </w:rPr>
        <w:t>, and for understanding your daily glucose patterns. Without regular checks, you miss important fluctuations, and the risk of being hospitalized for diabetes related problems increases (Kirk and Stegner, 2010).</w:t>
      </w:r>
    </w:p>
    <w:p w14:paraId="69C432A3" w14:textId="435CC4E3" w:rsidR="00CF0914" w:rsidRPr="003F4222" w:rsidRDefault="00CF0914" w:rsidP="003F4222">
      <w:pPr>
        <w:spacing w:line="360" w:lineRule="auto"/>
        <w:rPr>
          <w:sz w:val="22"/>
          <w:szCs w:val="22"/>
        </w:rPr>
      </w:pPr>
      <w:r w:rsidRPr="003F4222">
        <w:rPr>
          <w:sz w:val="22"/>
          <w:szCs w:val="22"/>
        </w:rPr>
        <w:t>However, simply checking your blood sugar does not automatically improve control. One major trial found that for people with non-insulin treated Type 2 diabetes, simply measuring levels and recording them did not lead to a significant drop in HbA1c, a key measure of long-term control (Farmer et al., 2007). The study showed that the act of testing, without a clear plan to use the results, offered little benefit. This suggests that recording alone is not enough. You need to understand what the numbers mean.</w:t>
      </w:r>
    </w:p>
    <w:p w14:paraId="26D77A1F" w14:textId="5E5217E9" w:rsidR="00CF0914" w:rsidRPr="003F4222" w:rsidRDefault="00CF0914" w:rsidP="003F4222">
      <w:pPr>
        <w:spacing w:line="360" w:lineRule="auto"/>
        <w:rPr>
          <w:sz w:val="22"/>
          <w:szCs w:val="22"/>
        </w:rPr>
      </w:pPr>
      <w:r w:rsidRPr="003F4222">
        <w:rPr>
          <w:sz w:val="22"/>
          <w:szCs w:val="22"/>
        </w:rPr>
        <w:t xml:space="preserve">More advanced technology offers a solution. Real time continuous glucose monitoring (RT CGM) systems track your glucose levels continuously throughout the day and night (Ali Badawi et al., 2025). They provide dynamic data, showing trends and alerts for impending highs or lows. This allows for timely adjustments to your </w:t>
      </w:r>
      <w:r w:rsidR="00C65810" w:rsidRPr="003F4222">
        <w:rPr>
          <w:sz w:val="22"/>
          <w:szCs w:val="22"/>
        </w:rPr>
        <w:t>behaviour</w:t>
      </w:r>
      <w:r w:rsidRPr="003F4222">
        <w:rPr>
          <w:sz w:val="22"/>
          <w:szCs w:val="22"/>
        </w:rPr>
        <w:t xml:space="preserve"> or medication. Research shows that using RT CGM, especially when combined with support from healthcare professionals, leads to significant and clinically important improvements in blood sugar control (Wild et al., 2016). This is particularly true for people who use insulin (Ali Badawi et al., 2025).</w:t>
      </w:r>
    </w:p>
    <w:p w14:paraId="3374C81C" w14:textId="77777777" w:rsidR="00CF0914" w:rsidRPr="003F4222" w:rsidRDefault="00CF0914" w:rsidP="003F4222">
      <w:pPr>
        <w:spacing w:line="360" w:lineRule="auto"/>
        <w:rPr>
          <w:sz w:val="22"/>
          <w:szCs w:val="22"/>
        </w:rPr>
      </w:pPr>
      <w:r w:rsidRPr="003F4222">
        <w:rPr>
          <w:sz w:val="22"/>
          <w:szCs w:val="22"/>
        </w:rPr>
        <w:t>The key is how you use the information. Recording blood sugar data is most powerful when it leads to action. This could be adjusting your insulin dose, changing what you eat, or contacting your care team for advice (Kirk and Stegner, 2010). New national guidelines now recommend continuous glucose monitoring for a wider group of people with Type 2 diabetes who use insulin, especially if they have severe hypos or need help from a carer to manage their condition (Mulvihill et al., 2022). This is because the technology can improve safety and independence.</w:t>
      </w:r>
    </w:p>
    <w:p w14:paraId="7BDBE75E" w14:textId="77777777" w:rsidR="005D07AA" w:rsidRPr="005D07AA" w:rsidRDefault="005D07AA" w:rsidP="003F4222">
      <w:pPr>
        <w:spacing w:line="360" w:lineRule="auto"/>
        <w:rPr>
          <w:sz w:val="22"/>
          <w:szCs w:val="22"/>
        </w:rPr>
      </w:pPr>
      <w:r w:rsidRPr="005D07AA">
        <w:rPr>
          <w:sz w:val="22"/>
          <w:szCs w:val="22"/>
        </w:rPr>
        <w:t xml:space="preserve">Lifestyle change is a cornerstone of managing type 2 diabetes. Evidence from major clinical trials and guidelines shows that structured interventions in diet, physical activity, and weight </w:t>
      </w:r>
      <w:r w:rsidRPr="005D07AA">
        <w:rPr>
          <w:sz w:val="22"/>
          <w:szCs w:val="22"/>
        </w:rPr>
        <w:lastRenderedPageBreak/>
        <w:t>control can significantly improve your blood sugar and overall health. In some cases, these changes can even lead to remission of the disease.</w:t>
      </w:r>
    </w:p>
    <w:p w14:paraId="3E47EF5E" w14:textId="77777777" w:rsidR="005D07AA" w:rsidRPr="005D07AA" w:rsidRDefault="005D07AA" w:rsidP="003F4222">
      <w:pPr>
        <w:spacing w:line="360" w:lineRule="auto"/>
        <w:rPr>
          <w:sz w:val="22"/>
          <w:szCs w:val="22"/>
        </w:rPr>
      </w:pPr>
      <w:r w:rsidRPr="005D07AA">
        <w:rPr>
          <w:sz w:val="22"/>
          <w:szCs w:val="22"/>
        </w:rPr>
        <w:t xml:space="preserve">The most powerful tool you have is weight management. The </w:t>
      </w:r>
      <w:proofErr w:type="spellStart"/>
      <w:r w:rsidRPr="005D07AA">
        <w:rPr>
          <w:sz w:val="22"/>
          <w:szCs w:val="22"/>
        </w:rPr>
        <w:t>DiRECT</w:t>
      </w:r>
      <w:proofErr w:type="spellEnd"/>
      <w:r w:rsidRPr="005D07AA">
        <w:rPr>
          <w:sz w:val="22"/>
          <w:szCs w:val="22"/>
        </w:rPr>
        <w:t xml:space="preserve"> trial demonstrated that intensive weight loss is achievable in a primary care setting and delivers remarkable results. Participants who followed a structured programme, starting with a </w:t>
      </w:r>
      <w:proofErr w:type="gramStart"/>
      <w:r w:rsidRPr="005D07AA">
        <w:rPr>
          <w:sz w:val="22"/>
          <w:szCs w:val="22"/>
        </w:rPr>
        <w:t>low calorie</w:t>
      </w:r>
      <w:proofErr w:type="gramEnd"/>
      <w:r w:rsidRPr="005D07AA">
        <w:rPr>
          <w:sz w:val="22"/>
          <w:szCs w:val="22"/>
        </w:rPr>
        <w:t xml:space="preserve"> formula diet of 825 to 853 kcal a day for three to five months, lost significant amounts of weight (Lean et al., 2018). The benefits were directly linked to how much weight was lost. Among those who lost 15 kilograms or more, 86 percent achieved diabetes remission, defined as having blood sugar levels below the diabetic range without needing medication (Lean et al., 2018). Even a more modest loss of five percent of your body weight can improve your blood glucose and blood pressure control (American Diabetes Association, 2024). The American Diabetes Association confirms that sustained weight loss of more than 10 percent of your body weight usually confers greater benefits, including possible remission (American Diabetes Association, 2024).</w:t>
      </w:r>
    </w:p>
    <w:p w14:paraId="68B6CA7A" w14:textId="77777777" w:rsidR="005D07AA" w:rsidRPr="005D07AA" w:rsidRDefault="005D07AA" w:rsidP="003F4222">
      <w:pPr>
        <w:spacing w:line="360" w:lineRule="auto"/>
        <w:rPr>
          <w:sz w:val="22"/>
          <w:szCs w:val="22"/>
        </w:rPr>
      </w:pPr>
      <w:r w:rsidRPr="005D07AA">
        <w:rPr>
          <w:sz w:val="22"/>
          <w:szCs w:val="22"/>
        </w:rPr>
        <w:t xml:space="preserve">Your dietary choices are equally important. An umbrella review of many studies found that several eating patterns are effective, meaning you can choose an approach that suits your preferences. A low carbohydrate diet, specifically one where less than 26 percent of your daily energy comes from carbohydrates, is highly effective at lowering HbA1c, a key measure of </w:t>
      </w:r>
      <w:proofErr w:type="gramStart"/>
      <w:r w:rsidRPr="005D07AA">
        <w:rPr>
          <w:sz w:val="22"/>
          <w:szCs w:val="22"/>
        </w:rPr>
        <w:t>long term</w:t>
      </w:r>
      <w:proofErr w:type="gramEnd"/>
      <w:r w:rsidRPr="005D07AA">
        <w:rPr>
          <w:sz w:val="22"/>
          <w:szCs w:val="22"/>
        </w:rPr>
        <w:t xml:space="preserve"> blood sugar control (Szczerba et al., 2023). This type of diet also significantly reduces triglyceride levels, a type of fat in your blood (Szczerba et al., 2023). A Mediterranean diet, rich in vegetables, fruits, legumes, and healthy fats, also improves blood sugar and lipid profiles (Szczerba et al., 2023). Plant based and high protein diets can help lower your cholesterol and reduce your waist circumference (Szczerba et al., 2023). Across all these approaches, the focus should be on nutrient dense foods like non starchy vegetables, whole grains, and lean proteins while minimising added sugars and refined carbohydrates (American Diabetes Association, 2023).</w:t>
      </w:r>
    </w:p>
    <w:p w14:paraId="4782A8A6" w14:textId="43429602" w:rsidR="005D07AA" w:rsidRPr="005D07AA" w:rsidRDefault="005D07AA" w:rsidP="003F4222">
      <w:pPr>
        <w:spacing w:line="360" w:lineRule="auto"/>
        <w:rPr>
          <w:sz w:val="22"/>
          <w:szCs w:val="22"/>
        </w:rPr>
      </w:pPr>
      <w:r w:rsidRPr="005D07AA">
        <w:rPr>
          <w:sz w:val="22"/>
          <w:szCs w:val="22"/>
        </w:rPr>
        <w:t xml:space="preserve">Physical activity works alongside diet to improve your condition. You should aim for at least 150 minutes of moderate to vigorous aerobic activity each week, spread over at least three days (American Diabetes Association, 2023). Brisk walking, swimming, or cycling are good examples. You should also include resistance exercise, such as lifting weights or bodyweight exercises, two to three times a week on </w:t>
      </w:r>
      <w:r w:rsidRPr="003F4222">
        <w:rPr>
          <w:sz w:val="22"/>
          <w:szCs w:val="22"/>
        </w:rPr>
        <w:t>non-consecutive</w:t>
      </w:r>
      <w:r w:rsidRPr="005D07AA">
        <w:rPr>
          <w:sz w:val="22"/>
          <w:szCs w:val="22"/>
        </w:rPr>
        <w:t xml:space="preserve"> days (American Diabetes Association, 2023). Importantly, you should reduce the time you spend sitting. Breaking up long periods of sitting every 30 minutes with light activity can help manage your blood glucose levels (American Diabetes Association, 2023).</w:t>
      </w:r>
    </w:p>
    <w:p w14:paraId="7A8CCB95" w14:textId="527FB503" w:rsidR="005D07AA" w:rsidRPr="005D07AA" w:rsidRDefault="005D07AA" w:rsidP="003F4222">
      <w:pPr>
        <w:spacing w:line="360" w:lineRule="auto"/>
        <w:rPr>
          <w:sz w:val="22"/>
          <w:szCs w:val="22"/>
        </w:rPr>
      </w:pPr>
      <w:r w:rsidRPr="005D07AA">
        <w:rPr>
          <w:sz w:val="22"/>
          <w:szCs w:val="22"/>
        </w:rPr>
        <w:lastRenderedPageBreak/>
        <w:t xml:space="preserve">Finally, ongoing support and technology can help you maintain these changes. Diabetes </w:t>
      </w:r>
      <w:r w:rsidRPr="003F4222">
        <w:rPr>
          <w:sz w:val="22"/>
          <w:szCs w:val="22"/>
        </w:rPr>
        <w:t>self-management</w:t>
      </w:r>
      <w:r w:rsidRPr="005D07AA">
        <w:rPr>
          <w:sz w:val="22"/>
          <w:szCs w:val="22"/>
        </w:rPr>
        <w:t xml:space="preserve"> education and support </w:t>
      </w:r>
      <w:proofErr w:type="gramStart"/>
      <w:r w:rsidRPr="005D07AA">
        <w:rPr>
          <w:sz w:val="22"/>
          <w:szCs w:val="22"/>
        </w:rPr>
        <w:t>helps</w:t>
      </w:r>
      <w:proofErr w:type="gramEnd"/>
      <w:r w:rsidRPr="005D07AA">
        <w:rPr>
          <w:sz w:val="22"/>
          <w:szCs w:val="22"/>
        </w:rPr>
        <w:t xml:space="preserve"> you gain the knowledge and skills for daily </w:t>
      </w:r>
      <w:r w:rsidRPr="003F4222">
        <w:rPr>
          <w:sz w:val="22"/>
          <w:szCs w:val="22"/>
        </w:rPr>
        <w:t>self-care</w:t>
      </w:r>
      <w:r w:rsidRPr="005D07AA">
        <w:rPr>
          <w:sz w:val="22"/>
          <w:szCs w:val="22"/>
        </w:rPr>
        <w:t xml:space="preserve"> (American Diabetes Association, 2023). Telemonitoring programmes that track your weight, diet, and activity can also be beneficial. The </w:t>
      </w:r>
      <w:proofErr w:type="spellStart"/>
      <w:r w:rsidRPr="005D07AA">
        <w:rPr>
          <w:sz w:val="22"/>
          <w:szCs w:val="22"/>
        </w:rPr>
        <w:t>Educ@dom</w:t>
      </w:r>
      <w:proofErr w:type="spellEnd"/>
      <w:r w:rsidRPr="005D07AA">
        <w:rPr>
          <w:sz w:val="22"/>
          <w:szCs w:val="22"/>
        </w:rPr>
        <w:t xml:space="preserve"> study showed that participants who frequently used a connected device with lifestyle education software had a greater reduction in HbA1c. Women in the programme also lost a significant amount of weight (</w:t>
      </w:r>
      <w:proofErr w:type="spellStart"/>
      <w:r w:rsidRPr="005D07AA">
        <w:rPr>
          <w:sz w:val="22"/>
          <w:szCs w:val="22"/>
        </w:rPr>
        <w:t>Turnin</w:t>
      </w:r>
      <w:proofErr w:type="spellEnd"/>
      <w:r w:rsidRPr="005D07AA">
        <w:rPr>
          <w:sz w:val="22"/>
          <w:szCs w:val="22"/>
        </w:rPr>
        <w:t xml:space="preserve"> et al., 2021).</w:t>
      </w:r>
    </w:p>
    <w:p w14:paraId="67955025" w14:textId="5B21AE94" w:rsidR="00CF5699" w:rsidRPr="003F4222" w:rsidRDefault="00AD3F7A" w:rsidP="003F4222">
      <w:pPr>
        <w:spacing w:line="360" w:lineRule="auto"/>
        <w:rPr>
          <w:sz w:val="22"/>
          <w:szCs w:val="22"/>
        </w:rPr>
      </w:pPr>
      <w:r w:rsidRPr="003F4222">
        <w:rPr>
          <w:sz w:val="22"/>
          <w:szCs w:val="22"/>
        </w:rPr>
        <w:t>In conclusion, blood sugar control depends on a careful balance between insulin and glucagon, which work together with the liver to keep glucose levels stable. This balance ensures that the body and brain always have enough energy. Inside the cells, glucose is broken down through processes such as glycolysis and oxidative phosphorylation to produce ATP, the energy that powers all body functions. These systems are tightly regulated to respond to the body’s needs and maintain stability.</w:t>
      </w:r>
      <w:r w:rsidRPr="003F4222">
        <w:rPr>
          <w:sz w:val="22"/>
          <w:szCs w:val="22"/>
        </w:rPr>
        <w:t xml:space="preserve"> </w:t>
      </w:r>
      <w:r w:rsidRPr="003F4222">
        <w:rPr>
          <w:sz w:val="22"/>
          <w:szCs w:val="22"/>
        </w:rPr>
        <w:t>For people with diabetes, understanding how this system works is very important. Monitoring blood sugar levels provides useful information, but checking alone is not enough. The results must be understood and used to guide decisions about food, activity, and medication. Technologies such as continuous glucose monitoring can improve safety and control, especially when combined with professional support. Lifestyle changes, including weight management, healthy eating patterns, and regular physical activity, are key parts of effective management and can even lead to remission in some cases.</w:t>
      </w:r>
      <w:r w:rsidRPr="003F4222">
        <w:rPr>
          <w:sz w:val="22"/>
          <w:szCs w:val="22"/>
        </w:rPr>
        <w:t xml:space="preserve"> </w:t>
      </w:r>
      <w:r w:rsidRPr="003F4222">
        <w:rPr>
          <w:sz w:val="22"/>
          <w:szCs w:val="22"/>
        </w:rPr>
        <w:t>Health professionals play a vital role in patient education. They help individuals understand their condition, interpret blood glucose readings, and make informed choices about treatment and lifestyle. Through ongoing support, clear guidance, and the use of appropriate technology, healthcare professionals empower patients to take control of their diabetes, improve their long-term health, and reduce the risk of complications.</w:t>
      </w:r>
    </w:p>
    <w:p w14:paraId="66A71D01" w14:textId="144BD5DC" w:rsidR="005D07AA" w:rsidRPr="003F4222" w:rsidRDefault="005D07AA" w:rsidP="003F4222">
      <w:pPr>
        <w:spacing w:line="360" w:lineRule="auto"/>
        <w:rPr>
          <w:sz w:val="22"/>
          <w:szCs w:val="22"/>
        </w:rPr>
      </w:pPr>
    </w:p>
    <w:p w14:paraId="3C58085A" w14:textId="77777777" w:rsidR="005D07AA" w:rsidRPr="003F4222" w:rsidRDefault="005D07AA" w:rsidP="003F4222">
      <w:pPr>
        <w:spacing w:line="360" w:lineRule="auto"/>
        <w:rPr>
          <w:sz w:val="22"/>
          <w:szCs w:val="22"/>
        </w:rPr>
      </w:pPr>
      <w:r w:rsidRPr="003F4222">
        <w:rPr>
          <w:sz w:val="22"/>
          <w:szCs w:val="22"/>
        </w:rPr>
        <w:br w:type="page"/>
      </w:r>
    </w:p>
    <w:p w14:paraId="425D672C" w14:textId="1B8E3EA5" w:rsidR="005D07AA" w:rsidRPr="003F4222" w:rsidRDefault="005D07AA" w:rsidP="003F4222">
      <w:pPr>
        <w:spacing w:line="360" w:lineRule="auto"/>
        <w:rPr>
          <w:sz w:val="22"/>
          <w:szCs w:val="22"/>
        </w:rPr>
      </w:pPr>
    </w:p>
    <w:p w14:paraId="3B060A0C" w14:textId="77777777" w:rsidR="005D07AA" w:rsidRPr="003F4222" w:rsidRDefault="005D07AA" w:rsidP="003F4222">
      <w:pPr>
        <w:spacing w:line="360" w:lineRule="auto"/>
        <w:rPr>
          <w:sz w:val="22"/>
          <w:szCs w:val="22"/>
        </w:rPr>
      </w:pPr>
      <w:r w:rsidRPr="003F4222">
        <w:rPr>
          <w:sz w:val="22"/>
          <w:szCs w:val="22"/>
        </w:rPr>
        <w:br w:type="page"/>
      </w:r>
    </w:p>
    <w:p w14:paraId="335D40DD" w14:textId="77777777" w:rsidR="00CF5699" w:rsidRPr="003F4222" w:rsidRDefault="00CF5699" w:rsidP="003F4222">
      <w:pPr>
        <w:spacing w:line="360" w:lineRule="auto"/>
        <w:rPr>
          <w:sz w:val="22"/>
          <w:szCs w:val="22"/>
        </w:rPr>
      </w:pPr>
    </w:p>
    <w:p w14:paraId="574A5905" w14:textId="77777777" w:rsidR="007C460A" w:rsidRPr="003F4222" w:rsidRDefault="00CF5699" w:rsidP="003F4222">
      <w:pPr>
        <w:spacing w:line="360" w:lineRule="auto"/>
        <w:rPr>
          <w:sz w:val="22"/>
          <w:szCs w:val="22"/>
        </w:rPr>
      </w:pPr>
      <w:r w:rsidRPr="003F4222">
        <w:rPr>
          <w:sz w:val="22"/>
          <w:szCs w:val="22"/>
        </w:rPr>
        <w:t>References</w:t>
      </w:r>
    </w:p>
    <w:p w14:paraId="5A45EECE" w14:textId="77777777" w:rsidR="007C460A" w:rsidRPr="007C460A" w:rsidRDefault="007C460A" w:rsidP="003F4222">
      <w:pPr>
        <w:spacing w:line="360" w:lineRule="auto"/>
        <w:rPr>
          <w:sz w:val="22"/>
          <w:szCs w:val="22"/>
        </w:rPr>
      </w:pPr>
      <w:r w:rsidRPr="007C460A">
        <w:rPr>
          <w:sz w:val="22"/>
          <w:szCs w:val="22"/>
        </w:rPr>
        <w:t xml:space="preserve">Ismail, L., </w:t>
      </w:r>
      <w:proofErr w:type="spellStart"/>
      <w:r w:rsidRPr="007C460A">
        <w:rPr>
          <w:sz w:val="22"/>
          <w:szCs w:val="22"/>
        </w:rPr>
        <w:t>Materwala</w:t>
      </w:r>
      <w:proofErr w:type="spellEnd"/>
      <w:r w:rsidRPr="007C460A">
        <w:rPr>
          <w:sz w:val="22"/>
          <w:szCs w:val="22"/>
        </w:rPr>
        <w:t xml:space="preserve">, H. and Al </w:t>
      </w:r>
      <w:proofErr w:type="spellStart"/>
      <w:r w:rsidRPr="007C460A">
        <w:rPr>
          <w:sz w:val="22"/>
          <w:szCs w:val="22"/>
        </w:rPr>
        <w:t>Kaabi</w:t>
      </w:r>
      <w:proofErr w:type="spellEnd"/>
      <w:r w:rsidRPr="007C460A">
        <w:rPr>
          <w:sz w:val="22"/>
          <w:szCs w:val="22"/>
        </w:rPr>
        <w:t>, J. (2021) 'Association of risk factors with type 2 diabetes: A systematic review', </w:t>
      </w:r>
      <w:r w:rsidRPr="007C460A">
        <w:rPr>
          <w:i/>
          <w:iCs/>
          <w:sz w:val="22"/>
          <w:szCs w:val="22"/>
        </w:rPr>
        <w:t>Computational and Structural Biotechnology Journal</w:t>
      </w:r>
      <w:r w:rsidRPr="007C460A">
        <w:rPr>
          <w:sz w:val="22"/>
          <w:szCs w:val="22"/>
        </w:rPr>
        <w:t xml:space="preserve">, 19, pp. 1759-1785. </w:t>
      </w:r>
      <w:proofErr w:type="spellStart"/>
      <w:r w:rsidRPr="007C460A">
        <w:rPr>
          <w:sz w:val="22"/>
          <w:szCs w:val="22"/>
        </w:rPr>
        <w:t>doi</w:t>
      </w:r>
      <w:proofErr w:type="spellEnd"/>
      <w:r w:rsidRPr="007C460A">
        <w:rPr>
          <w:sz w:val="22"/>
          <w:szCs w:val="22"/>
        </w:rPr>
        <w:t>: 10.1016/j.csbj.2021.03.003.</w:t>
      </w:r>
    </w:p>
    <w:p w14:paraId="2692DF2B" w14:textId="0BD3CA91" w:rsidR="00F25B36" w:rsidRPr="003F4222" w:rsidRDefault="007C460A" w:rsidP="003F4222">
      <w:pPr>
        <w:spacing w:line="360" w:lineRule="auto"/>
        <w:rPr>
          <w:sz w:val="22"/>
          <w:szCs w:val="22"/>
        </w:rPr>
      </w:pPr>
      <w:r w:rsidRPr="007C460A">
        <w:rPr>
          <w:sz w:val="22"/>
          <w:szCs w:val="22"/>
        </w:rPr>
        <w:t xml:space="preserve">Pinchevsky, Y., </w:t>
      </w:r>
      <w:proofErr w:type="spellStart"/>
      <w:r w:rsidRPr="007C460A">
        <w:rPr>
          <w:sz w:val="22"/>
          <w:szCs w:val="22"/>
        </w:rPr>
        <w:t>Butkow</w:t>
      </w:r>
      <w:proofErr w:type="spellEnd"/>
      <w:r w:rsidRPr="007C460A">
        <w:rPr>
          <w:sz w:val="22"/>
          <w:szCs w:val="22"/>
        </w:rPr>
        <w:t>, N., Raal, F.J., Chirwa, T. and Rothberg, A. (2020) 'Demographic and clinical factors associated with development of type 2 diabetes: A review of the literature', </w:t>
      </w:r>
      <w:r w:rsidRPr="007C460A">
        <w:rPr>
          <w:i/>
          <w:iCs/>
          <w:sz w:val="22"/>
          <w:szCs w:val="22"/>
        </w:rPr>
        <w:t>International Journal of General Medicine</w:t>
      </w:r>
      <w:r w:rsidRPr="007C460A">
        <w:rPr>
          <w:sz w:val="22"/>
          <w:szCs w:val="22"/>
        </w:rPr>
        <w:t xml:space="preserve">, 13, pp. 1-9. </w:t>
      </w:r>
      <w:proofErr w:type="spellStart"/>
      <w:r w:rsidRPr="007C460A">
        <w:rPr>
          <w:sz w:val="22"/>
          <w:szCs w:val="22"/>
        </w:rPr>
        <w:t>doi</w:t>
      </w:r>
      <w:proofErr w:type="spellEnd"/>
      <w:r w:rsidRPr="007C460A">
        <w:rPr>
          <w:sz w:val="22"/>
          <w:szCs w:val="22"/>
        </w:rPr>
        <w:t>: 10.2147/IJGM.S226639.</w:t>
      </w:r>
      <w:r w:rsidR="00CF5699" w:rsidRPr="003F4222">
        <w:rPr>
          <w:sz w:val="22"/>
          <w:szCs w:val="22"/>
        </w:rPr>
        <w:t xml:space="preserve"> </w:t>
      </w:r>
    </w:p>
    <w:p w14:paraId="44A6E060" w14:textId="61CA5C9B" w:rsidR="00CF5699" w:rsidRPr="003F4222" w:rsidRDefault="00CF5699" w:rsidP="003F4222">
      <w:pPr>
        <w:spacing w:line="360" w:lineRule="auto"/>
        <w:rPr>
          <w:sz w:val="22"/>
          <w:szCs w:val="22"/>
        </w:rPr>
      </w:pPr>
      <w:r w:rsidRPr="003F4222">
        <w:rPr>
          <w:sz w:val="22"/>
          <w:szCs w:val="22"/>
        </w:rPr>
        <w:t xml:space="preserve">Hatting, M., Tavares, C.D.J., Sharabi, K., Rines, A.K. and </w:t>
      </w:r>
      <w:proofErr w:type="spellStart"/>
      <w:r w:rsidRPr="003F4222">
        <w:rPr>
          <w:sz w:val="22"/>
          <w:szCs w:val="22"/>
        </w:rPr>
        <w:t>Puigserver</w:t>
      </w:r>
      <w:proofErr w:type="spellEnd"/>
      <w:r w:rsidRPr="003F4222">
        <w:rPr>
          <w:sz w:val="22"/>
          <w:szCs w:val="22"/>
        </w:rPr>
        <w:t>, P. (2018) 'Insulin regulation of gluconeogenesis', Annals of the New York Academy of Sciences, 1411(1), pp. 21-35.</w:t>
      </w:r>
    </w:p>
    <w:p w14:paraId="3AA57B48" w14:textId="2B4FA1A4" w:rsidR="00CF5699" w:rsidRPr="003F4222" w:rsidRDefault="00CF5699" w:rsidP="003F4222">
      <w:pPr>
        <w:spacing w:line="360" w:lineRule="auto"/>
        <w:rPr>
          <w:sz w:val="22"/>
          <w:szCs w:val="22"/>
        </w:rPr>
      </w:pPr>
      <w:r w:rsidRPr="003F4222">
        <w:rPr>
          <w:sz w:val="22"/>
          <w:szCs w:val="22"/>
        </w:rPr>
        <w:t>Kajani, S., Laker, R.C., Roldan, E., Wang, S. and Rhodes, C.J. (2024) 'Hepatic glucagon action beyond glucose mobilization', Physiological Reviews, 104(3), pp. 1021-1060.</w:t>
      </w:r>
    </w:p>
    <w:p w14:paraId="6F9E4A7D" w14:textId="28F8E9AB" w:rsidR="00CF5699" w:rsidRPr="003F4222" w:rsidRDefault="00CF5699" w:rsidP="003F4222">
      <w:pPr>
        <w:spacing w:line="360" w:lineRule="auto"/>
        <w:rPr>
          <w:sz w:val="22"/>
          <w:szCs w:val="22"/>
        </w:rPr>
      </w:pPr>
      <w:r w:rsidRPr="003F4222">
        <w:rPr>
          <w:sz w:val="22"/>
          <w:szCs w:val="22"/>
        </w:rPr>
        <w:t>Petersen, M.C., Vatner, D.F. and Shulman, G.I. (2017) 'Regulation of hepatic glucose metabolism in health and disease', Nature Reviews Endocrinology, 13(10), pp. 572-587.</w:t>
      </w:r>
    </w:p>
    <w:p w14:paraId="297C5000" w14:textId="269CA09D" w:rsidR="00CF5699" w:rsidRPr="003F4222" w:rsidRDefault="00CF5699" w:rsidP="003F4222">
      <w:pPr>
        <w:spacing w:line="360" w:lineRule="auto"/>
        <w:rPr>
          <w:sz w:val="22"/>
          <w:szCs w:val="22"/>
        </w:rPr>
      </w:pPr>
      <w:proofErr w:type="spellStart"/>
      <w:r w:rsidRPr="003F4222">
        <w:rPr>
          <w:sz w:val="22"/>
          <w:szCs w:val="22"/>
        </w:rPr>
        <w:t>Thorens</w:t>
      </w:r>
      <w:proofErr w:type="spellEnd"/>
      <w:r w:rsidRPr="003F4222">
        <w:rPr>
          <w:sz w:val="22"/>
          <w:szCs w:val="22"/>
        </w:rPr>
        <w:t>, B. (2024) 'Neuronal glucose sensing mechanisms and circuits in the control of insulin and glucagon secretion', Physiological Reviews, 104(4), pp. 1461-1499.</w:t>
      </w:r>
    </w:p>
    <w:p w14:paraId="053C74E2" w14:textId="77777777" w:rsidR="00C15E6D" w:rsidRPr="003F4222" w:rsidRDefault="00C15E6D" w:rsidP="003F4222">
      <w:pPr>
        <w:spacing w:line="360" w:lineRule="auto"/>
        <w:rPr>
          <w:sz w:val="22"/>
          <w:szCs w:val="22"/>
        </w:rPr>
      </w:pPr>
      <w:proofErr w:type="spellStart"/>
      <w:r w:rsidRPr="003F4222">
        <w:rPr>
          <w:sz w:val="22"/>
          <w:szCs w:val="22"/>
        </w:rPr>
        <w:t>Kierans</w:t>
      </w:r>
      <w:proofErr w:type="spellEnd"/>
      <w:r w:rsidRPr="003F4222">
        <w:rPr>
          <w:sz w:val="22"/>
          <w:szCs w:val="22"/>
        </w:rPr>
        <w:t xml:space="preserve">, S.J. and Taylor, C.T. (2024). Glycolysis: A multifaceted metabolic pathway and </w:t>
      </w:r>
      <w:proofErr w:type="spellStart"/>
      <w:r w:rsidRPr="003F4222">
        <w:rPr>
          <w:sz w:val="22"/>
          <w:szCs w:val="22"/>
        </w:rPr>
        <w:t>signaling</w:t>
      </w:r>
      <w:proofErr w:type="spellEnd"/>
      <w:r w:rsidRPr="003F4222">
        <w:rPr>
          <w:sz w:val="22"/>
          <w:szCs w:val="22"/>
        </w:rPr>
        <w:t xml:space="preserve"> hub. </w:t>
      </w:r>
      <w:r w:rsidRPr="003F4222">
        <w:rPr>
          <w:i/>
          <w:iCs/>
          <w:sz w:val="22"/>
          <w:szCs w:val="22"/>
        </w:rPr>
        <w:t>Journal of Biological Chemistry</w:t>
      </w:r>
      <w:r w:rsidRPr="003F4222">
        <w:rPr>
          <w:sz w:val="22"/>
          <w:szCs w:val="22"/>
        </w:rPr>
        <w:t>, 300(11), p.107906.</w:t>
      </w:r>
    </w:p>
    <w:p w14:paraId="7B5CB0DB" w14:textId="77777777" w:rsidR="00C15E6D" w:rsidRPr="003F4222" w:rsidRDefault="00C15E6D" w:rsidP="003F4222">
      <w:pPr>
        <w:spacing w:line="360" w:lineRule="auto"/>
        <w:rPr>
          <w:sz w:val="22"/>
          <w:szCs w:val="22"/>
        </w:rPr>
      </w:pPr>
      <w:r w:rsidRPr="003F4222">
        <w:rPr>
          <w:sz w:val="22"/>
          <w:szCs w:val="22"/>
        </w:rPr>
        <w:t>Nolfi-Donegan, D., Braganza, A. and Shiva, S. (2020). Mitochondrial electron transport chain: Oxidative phosphorylation, oxidant production, and methods of measurement. </w:t>
      </w:r>
      <w:r w:rsidRPr="003F4222">
        <w:rPr>
          <w:i/>
          <w:iCs/>
          <w:sz w:val="22"/>
          <w:szCs w:val="22"/>
        </w:rPr>
        <w:t>Redox Biology</w:t>
      </w:r>
      <w:r w:rsidRPr="003F4222">
        <w:rPr>
          <w:sz w:val="22"/>
          <w:szCs w:val="22"/>
        </w:rPr>
        <w:t>, 37, p.101674.</w:t>
      </w:r>
    </w:p>
    <w:p w14:paraId="2DF9A896" w14:textId="77777777" w:rsidR="00C15E6D" w:rsidRPr="003F4222" w:rsidRDefault="00C15E6D" w:rsidP="003F4222">
      <w:pPr>
        <w:spacing w:line="360" w:lineRule="auto"/>
        <w:rPr>
          <w:sz w:val="22"/>
          <w:szCs w:val="22"/>
        </w:rPr>
      </w:pPr>
      <w:r w:rsidRPr="003F4222">
        <w:rPr>
          <w:sz w:val="22"/>
          <w:szCs w:val="22"/>
        </w:rPr>
        <w:t>Palm, W. and Thompson, C.B. (2017). Nutrient Acquisition Strategies of Mammalian Cells. </w:t>
      </w:r>
      <w:r w:rsidRPr="003F4222">
        <w:rPr>
          <w:i/>
          <w:iCs/>
          <w:sz w:val="22"/>
          <w:szCs w:val="22"/>
        </w:rPr>
        <w:t>Nature</w:t>
      </w:r>
      <w:r w:rsidRPr="003F4222">
        <w:rPr>
          <w:sz w:val="22"/>
          <w:szCs w:val="22"/>
        </w:rPr>
        <w:t>, 546(7657), pp.234-242.</w:t>
      </w:r>
    </w:p>
    <w:p w14:paraId="5DC5530A" w14:textId="77777777" w:rsidR="00C15E6D" w:rsidRPr="003F4222" w:rsidRDefault="00C15E6D" w:rsidP="003F4222">
      <w:pPr>
        <w:spacing w:line="360" w:lineRule="auto"/>
        <w:rPr>
          <w:sz w:val="22"/>
          <w:szCs w:val="22"/>
        </w:rPr>
      </w:pPr>
      <w:r w:rsidRPr="003F4222">
        <w:rPr>
          <w:sz w:val="22"/>
          <w:szCs w:val="22"/>
        </w:rPr>
        <w:t>Wilson, D.F. (2017). Oxidative phosphorylation: regulation and role in cellular and tissue metabolism. </w:t>
      </w:r>
      <w:r w:rsidRPr="003F4222">
        <w:rPr>
          <w:i/>
          <w:iCs/>
          <w:sz w:val="22"/>
          <w:szCs w:val="22"/>
        </w:rPr>
        <w:t>The Journal of Physiology</w:t>
      </w:r>
      <w:r w:rsidRPr="003F4222">
        <w:rPr>
          <w:sz w:val="22"/>
          <w:szCs w:val="22"/>
        </w:rPr>
        <w:t>, 595(23), pp.7023-7038.</w:t>
      </w:r>
    </w:p>
    <w:p w14:paraId="0C32F810" w14:textId="77777777" w:rsidR="00230BEA" w:rsidRPr="003F4222" w:rsidRDefault="00230BEA" w:rsidP="003F4222">
      <w:pPr>
        <w:spacing w:line="360" w:lineRule="auto"/>
        <w:rPr>
          <w:sz w:val="22"/>
          <w:szCs w:val="22"/>
        </w:rPr>
      </w:pPr>
      <w:r w:rsidRPr="003F4222">
        <w:rPr>
          <w:sz w:val="22"/>
          <w:szCs w:val="22"/>
        </w:rPr>
        <w:t xml:space="preserve">Ali Badawi, S.A., El Ghali, J.A., </w:t>
      </w:r>
      <w:proofErr w:type="spellStart"/>
      <w:r w:rsidRPr="003F4222">
        <w:rPr>
          <w:sz w:val="22"/>
          <w:szCs w:val="22"/>
        </w:rPr>
        <w:t>Altayb</w:t>
      </w:r>
      <w:proofErr w:type="spellEnd"/>
      <w:r w:rsidRPr="003F4222">
        <w:rPr>
          <w:sz w:val="22"/>
          <w:szCs w:val="22"/>
        </w:rPr>
        <w:t xml:space="preserve">, N.M.O., Mohmmed, E., Mohammed, S.A.S., Mohammed, W.H.A., Alhajri, A.H.M. and </w:t>
      </w:r>
      <w:proofErr w:type="spellStart"/>
      <w:r w:rsidRPr="003F4222">
        <w:rPr>
          <w:sz w:val="22"/>
          <w:szCs w:val="22"/>
        </w:rPr>
        <w:t>Hassabelrasoul</w:t>
      </w:r>
      <w:proofErr w:type="spellEnd"/>
      <w:r w:rsidRPr="003F4222">
        <w:rPr>
          <w:sz w:val="22"/>
          <w:szCs w:val="22"/>
        </w:rPr>
        <w:t>, R.K.E. (2025) 'Efficacy of real-time continuous glucose monitoring in adults with type 2 diabetes: a systematic review', </w:t>
      </w:r>
      <w:r w:rsidRPr="003F4222">
        <w:rPr>
          <w:i/>
          <w:iCs/>
          <w:sz w:val="22"/>
          <w:szCs w:val="22"/>
        </w:rPr>
        <w:t>Cureus</w:t>
      </w:r>
      <w:r w:rsidRPr="003F4222">
        <w:rPr>
          <w:sz w:val="22"/>
          <w:szCs w:val="22"/>
        </w:rPr>
        <w:t>, 17(8), p. e89534. doi:10.7759/cureus.89534.</w:t>
      </w:r>
    </w:p>
    <w:p w14:paraId="1A632693" w14:textId="77777777" w:rsidR="00230BEA" w:rsidRPr="003F4222" w:rsidRDefault="00230BEA" w:rsidP="003F4222">
      <w:pPr>
        <w:spacing w:line="360" w:lineRule="auto"/>
        <w:rPr>
          <w:sz w:val="22"/>
          <w:szCs w:val="22"/>
        </w:rPr>
      </w:pPr>
      <w:r w:rsidRPr="003F4222">
        <w:rPr>
          <w:sz w:val="22"/>
          <w:szCs w:val="22"/>
        </w:rPr>
        <w:lastRenderedPageBreak/>
        <w:t xml:space="preserve">Farmer, A., Wade, A., Goyder, E., Yudkin, P., French, D., Craven, A., Holman, R., </w:t>
      </w:r>
      <w:proofErr w:type="spellStart"/>
      <w:r w:rsidRPr="003F4222">
        <w:rPr>
          <w:sz w:val="22"/>
          <w:szCs w:val="22"/>
        </w:rPr>
        <w:t>Kinmonth</w:t>
      </w:r>
      <w:proofErr w:type="spellEnd"/>
      <w:r w:rsidRPr="003F4222">
        <w:rPr>
          <w:sz w:val="22"/>
          <w:szCs w:val="22"/>
        </w:rPr>
        <w:t xml:space="preserve">, A.L. and Neil, A. (2007) 'Impact of </w:t>
      </w:r>
      <w:proofErr w:type="spellStart"/>
      <w:r w:rsidRPr="003F4222">
        <w:rPr>
          <w:sz w:val="22"/>
          <w:szCs w:val="22"/>
        </w:rPr>
        <w:t>self monitoring</w:t>
      </w:r>
      <w:proofErr w:type="spellEnd"/>
      <w:r w:rsidRPr="003F4222">
        <w:rPr>
          <w:sz w:val="22"/>
          <w:szCs w:val="22"/>
        </w:rPr>
        <w:t xml:space="preserve"> of blood glucose in the management of patients with non-insulin treated diabetes: open parallel group randomised trial', </w:t>
      </w:r>
      <w:r w:rsidRPr="003F4222">
        <w:rPr>
          <w:i/>
          <w:iCs/>
          <w:sz w:val="22"/>
          <w:szCs w:val="22"/>
        </w:rPr>
        <w:t>BMJ</w:t>
      </w:r>
      <w:r w:rsidRPr="003F4222">
        <w:rPr>
          <w:sz w:val="22"/>
          <w:szCs w:val="22"/>
        </w:rPr>
        <w:t>, 335(7611), p. 132. doi:10.1136/</w:t>
      </w:r>
      <w:hyperlink r:id="rId4" w:tgtFrame="_blank" w:history="1">
        <w:r w:rsidRPr="003F4222">
          <w:rPr>
            <w:rStyle w:val="Hyperlink"/>
            <w:sz w:val="22"/>
            <w:szCs w:val="22"/>
          </w:rPr>
          <w:t>bmj.39247.447431.BE</w:t>
        </w:r>
      </w:hyperlink>
      <w:r w:rsidRPr="003F4222">
        <w:rPr>
          <w:sz w:val="22"/>
          <w:szCs w:val="22"/>
        </w:rPr>
        <w:t>.</w:t>
      </w:r>
    </w:p>
    <w:p w14:paraId="68CBA80C" w14:textId="77777777" w:rsidR="00230BEA" w:rsidRPr="003F4222" w:rsidRDefault="00230BEA" w:rsidP="003F4222">
      <w:pPr>
        <w:spacing w:line="360" w:lineRule="auto"/>
        <w:rPr>
          <w:sz w:val="22"/>
          <w:szCs w:val="22"/>
        </w:rPr>
      </w:pPr>
      <w:r w:rsidRPr="003F4222">
        <w:rPr>
          <w:sz w:val="22"/>
          <w:szCs w:val="22"/>
        </w:rPr>
        <w:t>Kirk, J.K. and Stegner, J. (2010) 'Self-monitoring of blood glucose: practical aspects', </w:t>
      </w:r>
      <w:r w:rsidRPr="003F4222">
        <w:rPr>
          <w:i/>
          <w:iCs/>
          <w:sz w:val="22"/>
          <w:szCs w:val="22"/>
        </w:rPr>
        <w:t>Journal of Diabetes Science and Technology</w:t>
      </w:r>
      <w:r w:rsidRPr="003F4222">
        <w:rPr>
          <w:sz w:val="22"/>
          <w:szCs w:val="22"/>
        </w:rPr>
        <w:t>, 4(2), pp. 435-439.</w:t>
      </w:r>
    </w:p>
    <w:p w14:paraId="67FABB9C" w14:textId="77777777" w:rsidR="00230BEA" w:rsidRPr="003F4222" w:rsidRDefault="00230BEA" w:rsidP="003F4222">
      <w:pPr>
        <w:spacing w:line="360" w:lineRule="auto"/>
        <w:rPr>
          <w:sz w:val="22"/>
          <w:szCs w:val="22"/>
        </w:rPr>
      </w:pPr>
      <w:r w:rsidRPr="003F4222">
        <w:rPr>
          <w:sz w:val="22"/>
          <w:szCs w:val="22"/>
        </w:rPr>
        <w:t>Mulvihill, C., Brooks, A., Basudev, N. and Lincoln, P. (2022) 'Continuous glucose monitoring for adults and children with diabetes: summary of updated NICE guidance', </w:t>
      </w:r>
      <w:r w:rsidRPr="003F4222">
        <w:rPr>
          <w:i/>
          <w:iCs/>
          <w:sz w:val="22"/>
          <w:szCs w:val="22"/>
        </w:rPr>
        <w:t>BMJ</w:t>
      </w:r>
      <w:r w:rsidRPr="003F4222">
        <w:rPr>
          <w:sz w:val="22"/>
          <w:szCs w:val="22"/>
        </w:rPr>
        <w:t>, 379, p. o2418. doi:10.1136/</w:t>
      </w:r>
      <w:proofErr w:type="gramStart"/>
      <w:r w:rsidRPr="003F4222">
        <w:rPr>
          <w:sz w:val="22"/>
          <w:szCs w:val="22"/>
        </w:rPr>
        <w:t>bmj.o</w:t>
      </w:r>
      <w:proofErr w:type="gramEnd"/>
      <w:r w:rsidRPr="003F4222">
        <w:rPr>
          <w:sz w:val="22"/>
          <w:szCs w:val="22"/>
        </w:rPr>
        <w:t>2418.</w:t>
      </w:r>
    </w:p>
    <w:p w14:paraId="18FC350D" w14:textId="77777777" w:rsidR="00230BEA" w:rsidRPr="003F4222" w:rsidRDefault="00230BEA" w:rsidP="003F4222">
      <w:pPr>
        <w:spacing w:line="360" w:lineRule="auto"/>
        <w:rPr>
          <w:sz w:val="22"/>
          <w:szCs w:val="22"/>
        </w:rPr>
      </w:pPr>
      <w:r w:rsidRPr="003F4222">
        <w:rPr>
          <w:sz w:val="22"/>
          <w:szCs w:val="22"/>
        </w:rPr>
        <w:t xml:space="preserve">Wild, S.H., Hanley, J., Lewis, S.C., McKnight, J.A., McCloughan, L.B., Padfield, P.L., Parker, R.A., Paterson, M., Pinnock, H., Sheikh, A. and McKinstry, B. (2016) 'Supported telemonitoring and </w:t>
      </w:r>
      <w:proofErr w:type="spellStart"/>
      <w:r w:rsidRPr="003F4222">
        <w:rPr>
          <w:sz w:val="22"/>
          <w:szCs w:val="22"/>
        </w:rPr>
        <w:t>glycemic</w:t>
      </w:r>
      <w:proofErr w:type="spellEnd"/>
      <w:r w:rsidRPr="003F4222">
        <w:rPr>
          <w:sz w:val="22"/>
          <w:szCs w:val="22"/>
        </w:rPr>
        <w:t xml:space="preserve"> control in people with type 2 diabetes: the </w:t>
      </w:r>
      <w:proofErr w:type="spellStart"/>
      <w:r w:rsidRPr="003F4222">
        <w:rPr>
          <w:sz w:val="22"/>
          <w:szCs w:val="22"/>
        </w:rPr>
        <w:t>Telescot</w:t>
      </w:r>
      <w:proofErr w:type="spellEnd"/>
      <w:r w:rsidRPr="003F4222">
        <w:rPr>
          <w:sz w:val="22"/>
          <w:szCs w:val="22"/>
        </w:rPr>
        <w:t xml:space="preserve"> diabetes pragmatic </w:t>
      </w:r>
      <w:proofErr w:type="spellStart"/>
      <w:r w:rsidRPr="003F4222">
        <w:rPr>
          <w:sz w:val="22"/>
          <w:szCs w:val="22"/>
        </w:rPr>
        <w:t>multicenter</w:t>
      </w:r>
      <w:proofErr w:type="spellEnd"/>
      <w:r w:rsidRPr="003F4222">
        <w:rPr>
          <w:sz w:val="22"/>
          <w:szCs w:val="22"/>
        </w:rPr>
        <w:t xml:space="preserve"> randomized controlled trial', </w:t>
      </w:r>
      <w:proofErr w:type="spellStart"/>
      <w:r w:rsidRPr="003F4222">
        <w:rPr>
          <w:i/>
          <w:iCs/>
          <w:sz w:val="22"/>
          <w:szCs w:val="22"/>
        </w:rPr>
        <w:t>PLoS</w:t>
      </w:r>
      <w:proofErr w:type="spellEnd"/>
      <w:r w:rsidRPr="003F4222">
        <w:rPr>
          <w:i/>
          <w:iCs/>
          <w:sz w:val="22"/>
          <w:szCs w:val="22"/>
        </w:rPr>
        <w:t xml:space="preserve"> Medicine</w:t>
      </w:r>
      <w:r w:rsidRPr="003F4222">
        <w:rPr>
          <w:sz w:val="22"/>
          <w:szCs w:val="22"/>
        </w:rPr>
        <w:t xml:space="preserve">, 13(7), p. e1002098. </w:t>
      </w:r>
      <w:proofErr w:type="gramStart"/>
      <w:r w:rsidRPr="003F4222">
        <w:rPr>
          <w:sz w:val="22"/>
          <w:szCs w:val="22"/>
        </w:rPr>
        <w:t>doi:10.1371/journal.pmed</w:t>
      </w:r>
      <w:proofErr w:type="gramEnd"/>
      <w:r w:rsidRPr="003F4222">
        <w:rPr>
          <w:sz w:val="22"/>
          <w:szCs w:val="22"/>
        </w:rPr>
        <w:t>.1002098.</w:t>
      </w:r>
    </w:p>
    <w:p w14:paraId="3542E8EF" w14:textId="77777777" w:rsidR="005D07AA" w:rsidRPr="005D07AA" w:rsidRDefault="005D07AA" w:rsidP="003F4222">
      <w:pPr>
        <w:spacing w:line="360" w:lineRule="auto"/>
        <w:rPr>
          <w:sz w:val="22"/>
          <w:szCs w:val="22"/>
        </w:rPr>
      </w:pPr>
      <w:r w:rsidRPr="005D07AA">
        <w:rPr>
          <w:sz w:val="22"/>
          <w:szCs w:val="22"/>
        </w:rPr>
        <w:t xml:space="preserve">American Diabetes Association (2023) '5. Facilitating Positive Health </w:t>
      </w:r>
      <w:proofErr w:type="spellStart"/>
      <w:r w:rsidRPr="005D07AA">
        <w:rPr>
          <w:sz w:val="22"/>
          <w:szCs w:val="22"/>
        </w:rPr>
        <w:t>Behaviors</w:t>
      </w:r>
      <w:proofErr w:type="spellEnd"/>
      <w:r w:rsidRPr="005D07AA">
        <w:rPr>
          <w:sz w:val="22"/>
          <w:szCs w:val="22"/>
        </w:rPr>
        <w:t xml:space="preserve"> and Well-being to Improve Health Outcomes: Standards of Care in Diabetes-2023', </w:t>
      </w:r>
      <w:r w:rsidRPr="005D07AA">
        <w:rPr>
          <w:i/>
          <w:iCs/>
          <w:sz w:val="22"/>
          <w:szCs w:val="22"/>
        </w:rPr>
        <w:t>Diabetes Care</w:t>
      </w:r>
      <w:r w:rsidRPr="005D07AA">
        <w:rPr>
          <w:sz w:val="22"/>
          <w:szCs w:val="22"/>
        </w:rPr>
        <w:t>, 46(Supplement 1), pp. S68-S96.</w:t>
      </w:r>
    </w:p>
    <w:p w14:paraId="62EEF103" w14:textId="77777777" w:rsidR="005D07AA" w:rsidRPr="005D07AA" w:rsidRDefault="005D07AA" w:rsidP="003F4222">
      <w:pPr>
        <w:spacing w:line="360" w:lineRule="auto"/>
        <w:rPr>
          <w:sz w:val="22"/>
          <w:szCs w:val="22"/>
        </w:rPr>
      </w:pPr>
      <w:r w:rsidRPr="005D07AA">
        <w:rPr>
          <w:sz w:val="22"/>
          <w:szCs w:val="22"/>
        </w:rPr>
        <w:t>American Diabetes Association (2024) '8. Obesity and Weight Management for the Prevention and Treatment of Type 2 Diabetes: Standards of Care in Diabetes-2024', </w:t>
      </w:r>
      <w:r w:rsidRPr="005D07AA">
        <w:rPr>
          <w:i/>
          <w:iCs/>
          <w:sz w:val="22"/>
          <w:szCs w:val="22"/>
        </w:rPr>
        <w:t>Diabetes Care</w:t>
      </w:r>
      <w:r w:rsidRPr="005D07AA">
        <w:rPr>
          <w:sz w:val="22"/>
          <w:szCs w:val="22"/>
        </w:rPr>
        <w:t>, 47(Supplement 1), pp. S145-S157.</w:t>
      </w:r>
    </w:p>
    <w:p w14:paraId="03A0F847" w14:textId="77777777" w:rsidR="005D07AA" w:rsidRPr="005D07AA" w:rsidRDefault="005D07AA" w:rsidP="003F4222">
      <w:pPr>
        <w:spacing w:line="360" w:lineRule="auto"/>
        <w:rPr>
          <w:sz w:val="22"/>
          <w:szCs w:val="22"/>
        </w:rPr>
      </w:pPr>
      <w:r w:rsidRPr="005D07AA">
        <w:rPr>
          <w:sz w:val="22"/>
          <w:szCs w:val="22"/>
        </w:rPr>
        <w:t xml:space="preserve">Lean, M.E., Leslie, W.S., Barnes, A.C., Brosnahan, N., Thom, G., McCombie, L., Peters, C., </w:t>
      </w:r>
      <w:proofErr w:type="spellStart"/>
      <w:r w:rsidRPr="005D07AA">
        <w:rPr>
          <w:sz w:val="22"/>
          <w:szCs w:val="22"/>
        </w:rPr>
        <w:t>Zhyzhneuskaya</w:t>
      </w:r>
      <w:proofErr w:type="spellEnd"/>
      <w:r w:rsidRPr="005D07AA">
        <w:rPr>
          <w:sz w:val="22"/>
          <w:szCs w:val="22"/>
        </w:rPr>
        <w:t>, S., Al-</w:t>
      </w:r>
      <w:proofErr w:type="spellStart"/>
      <w:r w:rsidRPr="005D07AA">
        <w:rPr>
          <w:sz w:val="22"/>
          <w:szCs w:val="22"/>
        </w:rPr>
        <w:t>Mrabeh</w:t>
      </w:r>
      <w:proofErr w:type="spellEnd"/>
      <w:r w:rsidRPr="005D07AA">
        <w:rPr>
          <w:sz w:val="22"/>
          <w:szCs w:val="22"/>
        </w:rPr>
        <w:t>, A., Hollingsworth, K.G. and Rodrigues, A.M. (2018) 'Primary care-led weight management for remission of type 2 diabetes (</w:t>
      </w:r>
      <w:proofErr w:type="spellStart"/>
      <w:r w:rsidRPr="005D07AA">
        <w:rPr>
          <w:sz w:val="22"/>
          <w:szCs w:val="22"/>
        </w:rPr>
        <w:t>DiRECT</w:t>
      </w:r>
      <w:proofErr w:type="spellEnd"/>
      <w:r w:rsidRPr="005D07AA">
        <w:rPr>
          <w:sz w:val="22"/>
          <w:szCs w:val="22"/>
        </w:rPr>
        <w:t>): an open-label, cluster-randomised trial', </w:t>
      </w:r>
      <w:r w:rsidRPr="005D07AA">
        <w:rPr>
          <w:i/>
          <w:iCs/>
          <w:sz w:val="22"/>
          <w:szCs w:val="22"/>
        </w:rPr>
        <w:t>The Lancet</w:t>
      </w:r>
      <w:r w:rsidRPr="005D07AA">
        <w:rPr>
          <w:sz w:val="22"/>
          <w:szCs w:val="22"/>
        </w:rPr>
        <w:t>, 391(10120), pp. 541-551.</w:t>
      </w:r>
    </w:p>
    <w:p w14:paraId="51617CC1" w14:textId="77777777" w:rsidR="005D07AA" w:rsidRPr="005D07AA" w:rsidRDefault="005D07AA" w:rsidP="003F4222">
      <w:pPr>
        <w:spacing w:line="360" w:lineRule="auto"/>
        <w:rPr>
          <w:sz w:val="22"/>
          <w:szCs w:val="22"/>
        </w:rPr>
      </w:pPr>
      <w:r w:rsidRPr="005D07AA">
        <w:rPr>
          <w:sz w:val="22"/>
          <w:szCs w:val="22"/>
        </w:rPr>
        <w:t xml:space="preserve">Szczerba, E., </w:t>
      </w:r>
      <w:proofErr w:type="spellStart"/>
      <w:r w:rsidRPr="005D07AA">
        <w:rPr>
          <w:sz w:val="22"/>
          <w:szCs w:val="22"/>
        </w:rPr>
        <w:t>Barbaresko</w:t>
      </w:r>
      <w:proofErr w:type="spellEnd"/>
      <w:r w:rsidRPr="005D07AA">
        <w:rPr>
          <w:sz w:val="22"/>
          <w:szCs w:val="22"/>
        </w:rPr>
        <w:t>, J., Schiemann, T., Stahl-Pehe, A., Schwingshackl, L. and Schlesinger, S. (2023) 'Diet in the management of type 2 diabetes: umbrella review of systematic reviews with meta-analyses of randomised controlled trials', </w:t>
      </w:r>
      <w:r w:rsidRPr="005D07AA">
        <w:rPr>
          <w:i/>
          <w:iCs/>
          <w:sz w:val="22"/>
          <w:szCs w:val="22"/>
        </w:rPr>
        <w:t>BMJ Medicine</w:t>
      </w:r>
      <w:r w:rsidRPr="005D07AA">
        <w:rPr>
          <w:sz w:val="22"/>
          <w:szCs w:val="22"/>
        </w:rPr>
        <w:t>, 2(1), p. e000664.</w:t>
      </w:r>
    </w:p>
    <w:p w14:paraId="23FBE476" w14:textId="77777777" w:rsidR="005D07AA" w:rsidRPr="005D07AA" w:rsidRDefault="005D07AA" w:rsidP="003F4222">
      <w:pPr>
        <w:spacing w:line="360" w:lineRule="auto"/>
        <w:rPr>
          <w:sz w:val="22"/>
          <w:szCs w:val="22"/>
        </w:rPr>
      </w:pPr>
      <w:proofErr w:type="spellStart"/>
      <w:r w:rsidRPr="005D07AA">
        <w:rPr>
          <w:sz w:val="22"/>
          <w:szCs w:val="22"/>
        </w:rPr>
        <w:t>Turnin</w:t>
      </w:r>
      <w:proofErr w:type="spellEnd"/>
      <w:r w:rsidRPr="005D07AA">
        <w:rPr>
          <w:sz w:val="22"/>
          <w:szCs w:val="22"/>
        </w:rPr>
        <w:t xml:space="preserve">, M.C., Gourdy, P., Martini, J., Buisson, J.C., </w:t>
      </w:r>
      <w:proofErr w:type="spellStart"/>
      <w:r w:rsidRPr="005D07AA">
        <w:rPr>
          <w:sz w:val="22"/>
          <w:szCs w:val="22"/>
        </w:rPr>
        <w:t>Chauchard</w:t>
      </w:r>
      <w:proofErr w:type="spellEnd"/>
      <w:r w:rsidRPr="005D07AA">
        <w:rPr>
          <w:sz w:val="22"/>
          <w:szCs w:val="22"/>
        </w:rPr>
        <w:t xml:space="preserve">, M.C., Delaunay, J., </w:t>
      </w:r>
      <w:proofErr w:type="spellStart"/>
      <w:r w:rsidRPr="005D07AA">
        <w:rPr>
          <w:sz w:val="22"/>
          <w:szCs w:val="22"/>
        </w:rPr>
        <w:t>Schirr-Bonnans</w:t>
      </w:r>
      <w:proofErr w:type="spellEnd"/>
      <w:r w:rsidRPr="005D07AA">
        <w:rPr>
          <w:sz w:val="22"/>
          <w:szCs w:val="22"/>
        </w:rPr>
        <w:t xml:space="preserve">, S., </w:t>
      </w:r>
      <w:proofErr w:type="spellStart"/>
      <w:r w:rsidRPr="005D07AA">
        <w:rPr>
          <w:sz w:val="22"/>
          <w:szCs w:val="22"/>
        </w:rPr>
        <w:t>Taoui</w:t>
      </w:r>
      <w:proofErr w:type="spellEnd"/>
      <w:r w:rsidRPr="005D07AA">
        <w:rPr>
          <w:sz w:val="22"/>
          <w:szCs w:val="22"/>
        </w:rPr>
        <w:t xml:space="preserve">, S., Poncet, M.F., Cosma, V. and </w:t>
      </w:r>
      <w:proofErr w:type="spellStart"/>
      <w:r w:rsidRPr="005D07AA">
        <w:rPr>
          <w:sz w:val="22"/>
          <w:szCs w:val="22"/>
        </w:rPr>
        <w:t>Lablanche</w:t>
      </w:r>
      <w:proofErr w:type="spellEnd"/>
      <w:r w:rsidRPr="005D07AA">
        <w:rPr>
          <w:sz w:val="22"/>
          <w:szCs w:val="22"/>
        </w:rPr>
        <w:t xml:space="preserve">, S. (2021) 'Impact of a Remote Monitoring Programme Including Lifestyle Education Software in Type 2 Diabetes: Results of the </w:t>
      </w:r>
      <w:proofErr w:type="spellStart"/>
      <w:r w:rsidRPr="005D07AA">
        <w:rPr>
          <w:sz w:val="22"/>
          <w:szCs w:val="22"/>
        </w:rPr>
        <w:t>Educ@dom</w:t>
      </w:r>
      <w:proofErr w:type="spellEnd"/>
      <w:r w:rsidRPr="005D07AA">
        <w:rPr>
          <w:sz w:val="22"/>
          <w:szCs w:val="22"/>
        </w:rPr>
        <w:t xml:space="preserve"> Randomised Multicentre Study', </w:t>
      </w:r>
      <w:r w:rsidRPr="005D07AA">
        <w:rPr>
          <w:i/>
          <w:iCs/>
          <w:sz w:val="22"/>
          <w:szCs w:val="22"/>
        </w:rPr>
        <w:t>Diabetes Therapy</w:t>
      </w:r>
      <w:r w:rsidRPr="005D07AA">
        <w:rPr>
          <w:sz w:val="22"/>
          <w:szCs w:val="22"/>
        </w:rPr>
        <w:t>, 12(7), pp. 2059-2075.</w:t>
      </w:r>
    </w:p>
    <w:p w14:paraId="4F990F8D" w14:textId="77777777" w:rsidR="00230BEA" w:rsidRPr="003F4222" w:rsidRDefault="00230BEA" w:rsidP="003F4222">
      <w:pPr>
        <w:spacing w:line="360" w:lineRule="auto"/>
        <w:rPr>
          <w:sz w:val="22"/>
          <w:szCs w:val="22"/>
        </w:rPr>
      </w:pPr>
    </w:p>
    <w:p w14:paraId="5D69D152" w14:textId="77777777" w:rsidR="00C15E6D" w:rsidRPr="003F4222" w:rsidRDefault="00C15E6D" w:rsidP="003F4222">
      <w:pPr>
        <w:spacing w:line="360" w:lineRule="auto"/>
        <w:rPr>
          <w:sz w:val="22"/>
          <w:szCs w:val="22"/>
        </w:rPr>
      </w:pPr>
    </w:p>
    <w:sectPr w:rsidR="00C15E6D" w:rsidRPr="003F4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699"/>
    <w:rsid w:val="00036D5A"/>
    <w:rsid w:val="00077164"/>
    <w:rsid w:val="00230BEA"/>
    <w:rsid w:val="003F4222"/>
    <w:rsid w:val="005D07AA"/>
    <w:rsid w:val="007C460A"/>
    <w:rsid w:val="00AC10B3"/>
    <w:rsid w:val="00AD3F7A"/>
    <w:rsid w:val="00B12C12"/>
    <w:rsid w:val="00C15E6D"/>
    <w:rsid w:val="00C65810"/>
    <w:rsid w:val="00CF0914"/>
    <w:rsid w:val="00CF5699"/>
    <w:rsid w:val="00E65F01"/>
    <w:rsid w:val="00F25B36"/>
    <w:rsid w:val="00FF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9591"/>
  <w15:chartTrackingRefBased/>
  <w15:docId w15:val="{6421C21C-B70A-44BC-A197-29B7E7E7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5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699"/>
    <w:rPr>
      <w:rFonts w:eastAsiaTheme="majorEastAsia" w:cstheme="majorBidi"/>
      <w:color w:val="272727" w:themeColor="text1" w:themeTint="D8"/>
    </w:rPr>
  </w:style>
  <w:style w:type="paragraph" w:styleId="Title">
    <w:name w:val="Title"/>
    <w:basedOn w:val="Normal"/>
    <w:next w:val="Normal"/>
    <w:link w:val="TitleChar"/>
    <w:uiPriority w:val="10"/>
    <w:qFormat/>
    <w:rsid w:val="00CF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699"/>
    <w:pPr>
      <w:spacing w:before="160"/>
      <w:jc w:val="center"/>
    </w:pPr>
    <w:rPr>
      <w:i/>
      <w:iCs/>
      <w:color w:val="404040" w:themeColor="text1" w:themeTint="BF"/>
    </w:rPr>
  </w:style>
  <w:style w:type="character" w:customStyle="1" w:styleId="QuoteChar">
    <w:name w:val="Quote Char"/>
    <w:basedOn w:val="DefaultParagraphFont"/>
    <w:link w:val="Quote"/>
    <w:uiPriority w:val="29"/>
    <w:rsid w:val="00CF5699"/>
    <w:rPr>
      <w:i/>
      <w:iCs/>
      <w:color w:val="404040" w:themeColor="text1" w:themeTint="BF"/>
    </w:rPr>
  </w:style>
  <w:style w:type="paragraph" w:styleId="ListParagraph">
    <w:name w:val="List Paragraph"/>
    <w:basedOn w:val="Normal"/>
    <w:uiPriority w:val="34"/>
    <w:qFormat/>
    <w:rsid w:val="00CF5699"/>
    <w:pPr>
      <w:ind w:left="720"/>
      <w:contextualSpacing/>
    </w:pPr>
  </w:style>
  <w:style w:type="character" w:styleId="IntenseEmphasis">
    <w:name w:val="Intense Emphasis"/>
    <w:basedOn w:val="DefaultParagraphFont"/>
    <w:uiPriority w:val="21"/>
    <w:qFormat/>
    <w:rsid w:val="00CF5699"/>
    <w:rPr>
      <w:i/>
      <w:iCs/>
      <w:color w:val="0F4761" w:themeColor="accent1" w:themeShade="BF"/>
    </w:rPr>
  </w:style>
  <w:style w:type="paragraph" w:styleId="IntenseQuote">
    <w:name w:val="Intense Quote"/>
    <w:basedOn w:val="Normal"/>
    <w:next w:val="Normal"/>
    <w:link w:val="IntenseQuoteChar"/>
    <w:uiPriority w:val="30"/>
    <w:qFormat/>
    <w:rsid w:val="00CF5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699"/>
    <w:rPr>
      <w:i/>
      <w:iCs/>
      <w:color w:val="0F4761" w:themeColor="accent1" w:themeShade="BF"/>
    </w:rPr>
  </w:style>
  <w:style w:type="character" w:styleId="IntenseReference">
    <w:name w:val="Intense Reference"/>
    <w:basedOn w:val="DefaultParagraphFont"/>
    <w:uiPriority w:val="32"/>
    <w:qFormat/>
    <w:rsid w:val="00CF5699"/>
    <w:rPr>
      <w:b/>
      <w:bCs/>
      <w:smallCaps/>
      <w:color w:val="0F4761" w:themeColor="accent1" w:themeShade="BF"/>
      <w:spacing w:val="5"/>
    </w:rPr>
  </w:style>
  <w:style w:type="character" w:styleId="Hyperlink">
    <w:name w:val="Hyperlink"/>
    <w:basedOn w:val="DefaultParagraphFont"/>
    <w:uiPriority w:val="99"/>
    <w:unhideWhenUsed/>
    <w:rsid w:val="00230BEA"/>
    <w:rPr>
      <w:color w:val="467886" w:themeColor="hyperlink"/>
      <w:u w:val="single"/>
    </w:rPr>
  </w:style>
  <w:style w:type="character" w:styleId="UnresolvedMention">
    <w:name w:val="Unresolved Mention"/>
    <w:basedOn w:val="DefaultParagraphFont"/>
    <w:uiPriority w:val="99"/>
    <w:semiHidden/>
    <w:unhideWhenUsed/>
    <w:rsid w:val="00230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mj.39247.447431.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10</Pages>
  <Words>2779</Words>
  <Characters>15481</Characters>
  <Application>Microsoft Office Word</Application>
  <DocSecurity>0</DocSecurity>
  <Lines>241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12</cp:revision>
  <dcterms:created xsi:type="dcterms:W3CDTF">2026-02-19T20:20:00Z</dcterms:created>
  <dcterms:modified xsi:type="dcterms:W3CDTF">2026-02-22T19:21:00Z</dcterms:modified>
</cp:coreProperties>
</file>