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3062587F">
        <w:tc>
          <w:tcPr>
            <w:tcW w:w="8500" w:type="dxa"/>
            <w:shd w:val="clear" w:color="auto" w:fill="auto"/>
          </w:tcPr>
          <w:p w14:paraId="7FB1B882" w14:textId="4554C121" w:rsidR="007B491F" w:rsidRPr="008F22BD" w:rsidRDefault="3062587F" w:rsidP="3062587F">
            <w:pPr>
              <w:overflowPunct/>
              <w:autoSpaceDE/>
              <w:autoSpaceDN/>
              <w:adjustRightInd/>
              <w:ind w:right="237"/>
              <w:textAlignment w:val="auto"/>
              <w:rPr>
                <w:b/>
                <w:bCs/>
                <w:color w:val="auto"/>
                <w:sz w:val="32"/>
                <w:szCs w:val="32"/>
              </w:rPr>
            </w:pPr>
            <w:r w:rsidRPr="3062587F">
              <w:rPr>
                <w:b/>
                <w:bCs/>
                <w:color w:val="auto"/>
                <w:sz w:val="32"/>
                <w:szCs w:val="32"/>
              </w:rPr>
              <w:t>Learner name: Dylan Burrows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4F10F0C" w:rsidR="005A1BA3" w:rsidRDefault="3062587F" w:rsidP="3062587F">
            <w:pPr>
              <w:overflowPunct/>
              <w:autoSpaceDE/>
              <w:autoSpaceDN/>
              <w:adjustRightInd/>
              <w:ind w:right="237"/>
              <w:textAlignment w:val="auto"/>
              <w:rPr>
                <w:b/>
                <w:bCs/>
                <w:color w:val="auto"/>
                <w:sz w:val="32"/>
                <w:szCs w:val="32"/>
              </w:rPr>
            </w:pPr>
            <w:r w:rsidRPr="3062587F">
              <w:rPr>
                <w:b/>
                <w:bCs/>
                <w:color w:val="auto"/>
                <w:sz w:val="32"/>
                <w:szCs w:val="32"/>
              </w:rPr>
              <w:t>2131853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15841">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15841">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15841">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15841">
      <w:pPr>
        <w:pStyle w:val="ListParagraph"/>
        <w:numPr>
          <w:ilvl w:val="0"/>
          <w:numId w:val="5"/>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15841">
      <w:pPr>
        <w:pStyle w:val="ListParagraph"/>
        <w:numPr>
          <w:ilvl w:val="0"/>
          <w:numId w:val="5"/>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15841">
      <w:pPr>
        <w:pStyle w:val="ListParagraph"/>
        <w:numPr>
          <w:ilvl w:val="0"/>
          <w:numId w:val="5"/>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15841">
      <w:pPr>
        <w:pStyle w:val="ListParagraph"/>
        <w:numPr>
          <w:ilvl w:val="0"/>
          <w:numId w:val="5"/>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15841">
      <w:pPr>
        <w:pStyle w:val="ListParagraph"/>
        <w:numPr>
          <w:ilvl w:val="0"/>
          <w:numId w:val="5"/>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15841">
      <w:pPr>
        <w:pStyle w:val="ListParagraph"/>
        <w:numPr>
          <w:ilvl w:val="0"/>
          <w:numId w:val="5"/>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F503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00715841">
      <w:pPr>
        <w:pStyle w:val="ListParagraph"/>
        <w:numPr>
          <w:ilvl w:val="0"/>
          <w:numId w:val="4"/>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00715841">
      <w:pPr>
        <w:pStyle w:val="ListParagraph"/>
        <w:numPr>
          <w:ilvl w:val="0"/>
          <w:numId w:val="4"/>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00715841">
      <w:pPr>
        <w:pStyle w:val="ListParagraph"/>
        <w:numPr>
          <w:ilvl w:val="0"/>
          <w:numId w:val="4"/>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00715841">
      <w:pPr>
        <w:pStyle w:val="ListParagraph"/>
        <w:numPr>
          <w:ilvl w:val="0"/>
          <w:numId w:val="4"/>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00715841">
      <w:pPr>
        <w:pStyle w:val="ListParagraph"/>
        <w:numPr>
          <w:ilvl w:val="0"/>
          <w:numId w:val="3"/>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00715841">
      <w:pPr>
        <w:pStyle w:val="ListParagraph"/>
        <w:numPr>
          <w:ilvl w:val="0"/>
          <w:numId w:val="2"/>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00715841">
      <w:pPr>
        <w:pStyle w:val="ListParagraph"/>
        <w:numPr>
          <w:ilvl w:val="0"/>
          <w:numId w:val="2"/>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00715841">
      <w:pPr>
        <w:pStyle w:val="ListParagraph"/>
        <w:numPr>
          <w:ilvl w:val="0"/>
          <w:numId w:val="2"/>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1A7B7E42" w14:textId="115F613D" w:rsidR="00FF7784" w:rsidRPr="00270EEB" w:rsidRDefault="3062587F" w:rsidP="3062587F">
      <w:pPr>
        <w:ind w:right="237"/>
        <w:jc w:val="both"/>
        <w:rPr>
          <w:rFonts w:ascii="system-ui" w:eastAsia="system-ui" w:hAnsi="system-ui" w:cs="system-ui"/>
          <w:color w:val="374151"/>
          <w:sz w:val="24"/>
          <w:szCs w:val="24"/>
        </w:rPr>
      </w:pPr>
      <w:r w:rsidRPr="3062587F">
        <w:rPr>
          <w:b/>
          <w:bCs/>
          <w:sz w:val="24"/>
          <w:szCs w:val="24"/>
        </w:rPr>
        <w:t>ANSWER:</w:t>
      </w:r>
    </w:p>
    <w:p w14:paraId="65ECB726" w14:textId="63ED838C" w:rsidR="00FF7784" w:rsidRPr="00270EEB" w:rsidRDefault="3062587F" w:rsidP="3062587F">
      <w:pPr>
        <w:spacing w:line="360" w:lineRule="auto"/>
        <w:ind w:right="237"/>
        <w:jc w:val="both"/>
        <w:rPr>
          <w:rFonts w:eastAsia="Arial"/>
          <w:color w:val="auto"/>
          <w:sz w:val="24"/>
          <w:szCs w:val="24"/>
        </w:rPr>
      </w:pPr>
      <w:r w:rsidRPr="3062587F">
        <w:rPr>
          <w:rFonts w:eastAsia="Arial"/>
          <w:color w:val="auto"/>
          <w:sz w:val="24"/>
          <w:szCs w:val="24"/>
        </w:rPr>
        <w:t xml:space="preserve">The impact of British policing culture on the wellbeing and resilience of police officers is a topic that has raised significant concern and sparked extensive discussions. Policing, by its nature, often thrusts officers into traumatic and high-pressure situations, which can take a toll on their mental and emotional health (Loftus, </w:t>
      </w:r>
      <w:proofErr w:type="spellStart"/>
      <w:r w:rsidRPr="3062587F">
        <w:rPr>
          <w:rFonts w:eastAsia="Arial"/>
          <w:color w:val="auto"/>
          <w:sz w:val="24"/>
          <w:szCs w:val="24"/>
        </w:rPr>
        <w:t>Goold</w:t>
      </w:r>
      <w:proofErr w:type="spellEnd"/>
      <w:r w:rsidRPr="3062587F">
        <w:rPr>
          <w:rFonts w:eastAsia="Arial"/>
          <w:color w:val="auto"/>
          <w:sz w:val="24"/>
          <w:szCs w:val="24"/>
        </w:rPr>
        <w:t xml:space="preserve">, and </w:t>
      </w:r>
      <w:proofErr w:type="spellStart"/>
      <w:r w:rsidRPr="3062587F">
        <w:rPr>
          <w:rFonts w:eastAsia="Arial"/>
          <w:color w:val="auto"/>
          <w:sz w:val="24"/>
          <w:szCs w:val="24"/>
        </w:rPr>
        <w:t>Giollabhui</w:t>
      </w:r>
      <w:proofErr w:type="spellEnd"/>
      <w:r w:rsidRPr="3062587F">
        <w:rPr>
          <w:rFonts w:eastAsia="Arial"/>
          <w:color w:val="auto"/>
          <w:sz w:val="24"/>
          <w:szCs w:val="24"/>
        </w:rPr>
        <w:t>, 2016).</w:t>
      </w:r>
    </w:p>
    <w:p w14:paraId="448DD59F" w14:textId="200026FC" w:rsidR="00FF7784" w:rsidRPr="00270EEB" w:rsidRDefault="00FF7784" w:rsidP="3062587F">
      <w:pPr>
        <w:spacing w:line="360" w:lineRule="auto"/>
        <w:ind w:right="237"/>
        <w:jc w:val="both"/>
        <w:rPr>
          <w:rFonts w:eastAsia="Arial"/>
          <w:color w:val="auto"/>
          <w:sz w:val="24"/>
          <w:szCs w:val="24"/>
        </w:rPr>
      </w:pPr>
    </w:p>
    <w:p w14:paraId="551FEB06" w14:textId="64787F7A" w:rsidR="00FF7784" w:rsidRPr="00270EEB" w:rsidRDefault="3062587F" w:rsidP="3062587F">
      <w:pPr>
        <w:spacing w:line="360" w:lineRule="auto"/>
        <w:ind w:right="237"/>
        <w:jc w:val="both"/>
        <w:rPr>
          <w:rFonts w:eastAsia="Arial"/>
          <w:color w:val="auto"/>
          <w:sz w:val="24"/>
          <w:szCs w:val="24"/>
        </w:rPr>
      </w:pPr>
      <w:r w:rsidRPr="3062587F">
        <w:rPr>
          <w:rFonts w:eastAsia="Arial"/>
          <w:color w:val="auto"/>
          <w:sz w:val="24"/>
          <w:szCs w:val="24"/>
        </w:rPr>
        <w:t>One of the key concerns lies in the lack of adequate support within some police forces to help officers cope with the emotional challenges inherent in their work. Officers frequently encounter situations that induce stress, anxiety, and even conditions like PTSD (</w:t>
      </w:r>
      <w:proofErr w:type="spellStart"/>
      <w:r w:rsidRPr="3062587F">
        <w:rPr>
          <w:rFonts w:eastAsia="Arial"/>
          <w:color w:val="auto"/>
          <w:sz w:val="24"/>
          <w:szCs w:val="24"/>
          <w:lang w:val="en-US"/>
        </w:rPr>
        <w:t>Chopko</w:t>
      </w:r>
      <w:proofErr w:type="spellEnd"/>
      <w:r w:rsidRPr="3062587F">
        <w:rPr>
          <w:rFonts w:eastAsia="Arial"/>
          <w:color w:val="auto"/>
          <w:sz w:val="24"/>
          <w:szCs w:val="24"/>
          <w:lang w:val="en-US"/>
        </w:rPr>
        <w:t xml:space="preserve">, </w:t>
      </w:r>
      <w:proofErr w:type="spellStart"/>
      <w:r w:rsidRPr="3062587F">
        <w:rPr>
          <w:rFonts w:eastAsia="Arial"/>
          <w:color w:val="auto"/>
          <w:sz w:val="24"/>
          <w:szCs w:val="24"/>
          <w:lang w:val="en-US"/>
        </w:rPr>
        <w:t>Palmeri</w:t>
      </w:r>
      <w:proofErr w:type="spellEnd"/>
      <w:r w:rsidRPr="3062587F">
        <w:rPr>
          <w:rFonts w:eastAsia="Arial"/>
          <w:color w:val="auto"/>
          <w:sz w:val="24"/>
          <w:szCs w:val="24"/>
          <w:lang w:val="en-US"/>
        </w:rPr>
        <w:t>, and Adams, 2018)</w:t>
      </w:r>
      <w:r w:rsidRPr="3062587F">
        <w:rPr>
          <w:rFonts w:eastAsia="Arial"/>
          <w:color w:val="auto"/>
          <w:sz w:val="24"/>
          <w:szCs w:val="24"/>
        </w:rPr>
        <w:t>. Moreover, their work schedules, characterised by irregular long hours and shifts, disrupt their sleep patterns and personal commitments outside of work, such as family obligations (</w:t>
      </w:r>
      <w:r w:rsidRPr="3062587F">
        <w:rPr>
          <w:rFonts w:eastAsia="Arial"/>
          <w:color w:val="auto"/>
          <w:sz w:val="24"/>
          <w:szCs w:val="24"/>
          <w:lang w:val="en-US"/>
        </w:rPr>
        <w:t>McDowall and Lindsay, 2014)</w:t>
      </w:r>
      <w:r w:rsidRPr="3062587F">
        <w:rPr>
          <w:rFonts w:eastAsia="Arial"/>
          <w:color w:val="auto"/>
          <w:sz w:val="24"/>
          <w:szCs w:val="24"/>
        </w:rPr>
        <w:t>. This disruption not only leads to physical health problems but also exacerbates mental health issues, making it difficult for officers to maintain a healthy work-life balance. Additionally, a significant issue within British policing culture is the stigma associated with the job and the resulting reluctance among officers to seek help for mental health issues (</w:t>
      </w:r>
      <w:r w:rsidRPr="3062587F">
        <w:rPr>
          <w:rFonts w:eastAsia="Arial"/>
          <w:color w:val="auto"/>
          <w:sz w:val="24"/>
          <w:szCs w:val="24"/>
          <w:lang w:val="en-US"/>
        </w:rPr>
        <w:t xml:space="preserve">Edwards, and </w:t>
      </w:r>
      <w:proofErr w:type="spellStart"/>
      <w:r w:rsidRPr="3062587F">
        <w:rPr>
          <w:rFonts w:eastAsia="Arial"/>
          <w:color w:val="auto"/>
          <w:sz w:val="24"/>
          <w:szCs w:val="24"/>
          <w:lang w:val="en-US"/>
        </w:rPr>
        <w:t>Kotera</w:t>
      </w:r>
      <w:proofErr w:type="spellEnd"/>
      <w:r w:rsidRPr="3062587F">
        <w:rPr>
          <w:rFonts w:eastAsia="Arial"/>
          <w:color w:val="auto"/>
          <w:sz w:val="24"/>
          <w:szCs w:val="24"/>
          <w:lang w:val="en-US"/>
        </w:rPr>
        <w:t>, 2020)</w:t>
      </w:r>
      <w:r w:rsidRPr="3062587F">
        <w:rPr>
          <w:rFonts w:eastAsia="Arial"/>
          <w:color w:val="auto"/>
          <w:sz w:val="24"/>
          <w:szCs w:val="24"/>
        </w:rPr>
        <w:t>. This hesitation, driven by the perceived stigma within the policing community, further compounds mental health challenges and weakens overall resilience. The hierarchical and paramilitary aspects of policing culture also play a role, pressuring officers to conform and potentially suppressing their individuality and personal coping mechanisms (Wang, 2015).</w:t>
      </w:r>
    </w:p>
    <w:p w14:paraId="4BBAC04F" w14:textId="5D5151F0" w:rsidR="00FF7784" w:rsidRPr="00270EEB" w:rsidRDefault="00FF7784" w:rsidP="3062587F">
      <w:pPr>
        <w:spacing w:line="360" w:lineRule="auto"/>
        <w:ind w:right="237"/>
        <w:jc w:val="both"/>
        <w:rPr>
          <w:rFonts w:eastAsia="Arial"/>
          <w:color w:val="auto"/>
          <w:sz w:val="24"/>
          <w:szCs w:val="24"/>
        </w:rPr>
      </w:pPr>
    </w:p>
    <w:p w14:paraId="086C66C8" w14:textId="593D0CA0" w:rsidR="00FF7784" w:rsidRPr="00270EEB" w:rsidRDefault="3062587F" w:rsidP="3062587F">
      <w:pPr>
        <w:shd w:val="clear" w:color="auto" w:fill="F7F7F8"/>
        <w:spacing w:after="300" w:line="360" w:lineRule="auto"/>
        <w:jc w:val="both"/>
        <w:rPr>
          <w:rFonts w:eastAsia="Arial"/>
          <w:color w:val="auto"/>
          <w:sz w:val="24"/>
          <w:szCs w:val="24"/>
        </w:rPr>
      </w:pPr>
      <w:r w:rsidRPr="3062587F">
        <w:rPr>
          <w:rFonts w:eastAsia="Arial"/>
          <w:color w:val="auto"/>
          <w:sz w:val="24"/>
          <w:szCs w:val="24"/>
        </w:rPr>
        <w:t>However, it is worth noting that many police forces have recognised the urgent need to enhance the resilience of their officers. To address these challenges, some forces have implemented resilience training programs. Although these programs aim to equip officers with tools to cope with stress and trauma, their effectiveness can vary widely (</w:t>
      </w:r>
      <w:proofErr w:type="spellStart"/>
      <w:r w:rsidRPr="3062587F">
        <w:rPr>
          <w:rFonts w:eastAsia="Arial"/>
          <w:color w:val="auto"/>
          <w:sz w:val="24"/>
          <w:szCs w:val="24"/>
          <w:lang w:val="en-US"/>
        </w:rPr>
        <w:t>Hesketh</w:t>
      </w:r>
      <w:proofErr w:type="spellEnd"/>
      <w:r w:rsidRPr="3062587F">
        <w:rPr>
          <w:rFonts w:eastAsia="Arial"/>
          <w:color w:val="auto"/>
          <w:sz w:val="24"/>
          <w:szCs w:val="24"/>
          <w:lang w:val="en-US"/>
        </w:rPr>
        <w:t>, and Ivy, 2015)</w:t>
      </w:r>
      <w:r w:rsidRPr="3062587F">
        <w:rPr>
          <w:rFonts w:eastAsia="Arial"/>
          <w:color w:val="auto"/>
          <w:sz w:val="24"/>
          <w:szCs w:val="24"/>
        </w:rPr>
        <w:t xml:space="preserve">. </w:t>
      </w:r>
    </w:p>
    <w:p w14:paraId="5BB859CE" w14:textId="2778EAB5" w:rsidR="00FF7784" w:rsidRPr="00270EEB" w:rsidRDefault="3062587F" w:rsidP="3062587F">
      <w:pPr>
        <w:shd w:val="clear" w:color="auto" w:fill="F7F7F8"/>
        <w:spacing w:after="300" w:line="360" w:lineRule="auto"/>
        <w:jc w:val="both"/>
        <w:rPr>
          <w:rFonts w:eastAsia="Arial"/>
          <w:color w:val="auto"/>
          <w:sz w:val="24"/>
          <w:szCs w:val="24"/>
        </w:rPr>
      </w:pPr>
      <w:r w:rsidRPr="3062587F">
        <w:rPr>
          <w:rFonts w:eastAsia="Arial"/>
          <w:color w:val="auto"/>
          <w:sz w:val="24"/>
          <w:szCs w:val="24"/>
        </w:rPr>
        <w:t>A promising avenue for improvement lies in the shift toward community-oriented policing. By fostering better relationships between officers and the communities they serve, this approach creates a sense of belonging and support, thereby reducing the stress experienced by officers (</w:t>
      </w:r>
      <w:r w:rsidRPr="3062587F">
        <w:rPr>
          <w:rFonts w:eastAsia="Arial"/>
          <w:color w:val="auto"/>
          <w:sz w:val="24"/>
          <w:szCs w:val="24"/>
          <w:lang w:val="en-US"/>
        </w:rPr>
        <w:t xml:space="preserve">Gill </w:t>
      </w:r>
      <w:r w:rsidRPr="3062587F">
        <w:rPr>
          <w:rFonts w:eastAsia="Arial"/>
          <w:i/>
          <w:iCs/>
          <w:color w:val="auto"/>
          <w:sz w:val="24"/>
          <w:szCs w:val="24"/>
          <w:lang w:val="en-US"/>
        </w:rPr>
        <w:t>et al.,</w:t>
      </w:r>
      <w:r w:rsidRPr="3062587F">
        <w:rPr>
          <w:rFonts w:eastAsia="Arial"/>
          <w:color w:val="auto"/>
          <w:sz w:val="24"/>
          <w:szCs w:val="24"/>
          <w:lang w:val="en-US"/>
        </w:rPr>
        <w:t xml:space="preserve"> 2014)</w:t>
      </w:r>
      <w:r w:rsidRPr="3062587F">
        <w:rPr>
          <w:rFonts w:eastAsia="Arial"/>
          <w:color w:val="auto"/>
          <w:sz w:val="24"/>
          <w:szCs w:val="24"/>
        </w:rPr>
        <w:t xml:space="preserve">. </w:t>
      </w:r>
    </w:p>
    <w:p w14:paraId="1CC66A67" w14:textId="3156FFFC" w:rsidR="00FF7784" w:rsidRPr="00270EEB" w:rsidRDefault="3062587F" w:rsidP="3062587F">
      <w:pPr>
        <w:shd w:val="clear" w:color="auto" w:fill="F7F7F8"/>
        <w:spacing w:after="300" w:line="360" w:lineRule="auto"/>
        <w:jc w:val="both"/>
        <w:rPr>
          <w:rFonts w:eastAsia="Arial"/>
          <w:color w:val="auto"/>
          <w:sz w:val="24"/>
          <w:szCs w:val="24"/>
        </w:rPr>
      </w:pPr>
      <w:r w:rsidRPr="3062587F">
        <w:rPr>
          <w:rFonts w:eastAsia="Arial"/>
          <w:color w:val="auto"/>
          <w:sz w:val="24"/>
          <w:szCs w:val="24"/>
        </w:rPr>
        <w:t>Moreover, efforts to promote diversity and inclusion within police forces contribute significantly to improved wellbeing and resilience. A more supportive and inclusive work environment can make a substantial difference in officers' mental and emotional health (</w:t>
      </w:r>
      <w:proofErr w:type="spellStart"/>
      <w:r w:rsidRPr="3062587F">
        <w:rPr>
          <w:rFonts w:eastAsia="Arial"/>
          <w:color w:val="auto"/>
          <w:sz w:val="24"/>
          <w:szCs w:val="24"/>
          <w:lang w:val="en-US"/>
        </w:rPr>
        <w:t>Riccucci</w:t>
      </w:r>
      <w:proofErr w:type="spellEnd"/>
      <w:r w:rsidRPr="3062587F">
        <w:rPr>
          <w:rFonts w:eastAsia="Arial"/>
          <w:color w:val="auto"/>
          <w:sz w:val="24"/>
          <w:szCs w:val="24"/>
          <w:lang w:val="en-US"/>
        </w:rPr>
        <w:t xml:space="preserve">, and Van </w:t>
      </w:r>
      <w:proofErr w:type="spellStart"/>
      <w:r w:rsidRPr="3062587F">
        <w:rPr>
          <w:rFonts w:eastAsia="Arial"/>
          <w:color w:val="auto"/>
          <w:sz w:val="24"/>
          <w:szCs w:val="24"/>
          <w:lang w:val="en-US"/>
        </w:rPr>
        <w:t>Ryzin</w:t>
      </w:r>
      <w:proofErr w:type="spellEnd"/>
      <w:r w:rsidRPr="3062587F">
        <w:rPr>
          <w:rFonts w:eastAsia="Arial"/>
          <w:color w:val="auto"/>
          <w:sz w:val="24"/>
          <w:szCs w:val="24"/>
          <w:lang w:val="en-US"/>
        </w:rPr>
        <w:t>, 2016)</w:t>
      </w:r>
      <w:r w:rsidRPr="3062587F">
        <w:rPr>
          <w:rFonts w:eastAsia="Arial"/>
          <w:color w:val="auto"/>
          <w:sz w:val="24"/>
          <w:szCs w:val="24"/>
        </w:rPr>
        <w:t>. Encouraging continued education is another vital aspect. Providing opportunities for officers to pursue further education or specialised training not only enhances their skills but also fosters a sense of personal growth and accomplishment. This continuous learning equips officers with updated knowledge and tools, making them more adaptable to the challenges of modern policing. Emotional support and communication within the police forces, such as peer support groups, allow officers to regulate their emotional wellbeing by sharing their experiences and developing relationships with colleagues (</w:t>
      </w:r>
      <w:proofErr w:type="spellStart"/>
      <w:r w:rsidRPr="3062587F">
        <w:rPr>
          <w:rFonts w:eastAsia="Arial"/>
          <w:color w:val="auto"/>
          <w:sz w:val="24"/>
          <w:szCs w:val="24"/>
          <w:lang w:val="en-US"/>
        </w:rPr>
        <w:t>Papazoglou</w:t>
      </w:r>
      <w:proofErr w:type="spellEnd"/>
      <w:r w:rsidRPr="3062587F">
        <w:rPr>
          <w:rFonts w:eastAsia="Arial"/>
          <w:color w:val="auto"/>
          <w:sz w:val="24"/>
          <w:szCs w:val="24"/>
          <w:lang w:val="en-US"/>
        </w:rPr>
        <w:t>, and Andersen, 2014)</w:t>
      </w:r>
      <w:r w:rsidRPr="3062587F">
        <w:rPr>
          <w:rFonts w:eastAsia="Arial"/>
          <w:color w:val="auto"/>
          <w:sz w:val="24"/>
          <w:szCs w:val="24"/>
        </w:rPr>
        <w:t xml:space="preserve">. </w:t>
      </w:r>
    </w:p>
    <w:p w14:paraId="3E1B4632" w14:textId="1D8E11CA" w:rsidR="00FF7784" w:rsidRPr="00270EEB" w:rsidRDefault="3062587F" w:rsidP="3062587F">
      <w:pPr>
        <w:shd w:val="clear" w:color="auto" w:fill="F7F7F8"/>
        <w:spacing w:after="300" w:line="360" w:lineRule="auto"/>
        <w:jc w:val="both"/>
        <w:rPr>
          <w:rFonts w:eastAsia="Arial"/>
          <w:color w:val="auto"/>
          <w:sz w:val="24"/>
          <w:szCs w:val="24"/>
        </w:rPr>
      </w:pPr>
      <w:r w:rsidRPr="3062587F">
        <w:rPr>
          <w:rFonts w:eastAsia="Arial"/>
          <w:color w:val="auto"/>
          <w:sz w:val="24"/>
          <w:szCs w:val="24"/>
        </w:rPr>
        <w:t>Additionally, making confidential counselling services readily available can encourage officers to seek help without the fear of judgment or stigma (</w:t>
      </w:r>
      <w:r w:rsidRPr="3062587F">
        <w:rPr>
          <w:rFonts w:eastAsia="Arial"/>
          <w:color w:val="auto"/>
          <w:sz w:val="24"/>
          <w:szCs w:val="24"/>
          <w:lang w:val="en-US"/>
        </w:rPr>
        <w:t>Price, 2017)</w:t>
      </w:r>
      <w:r w:rsidRPr="3062587F">
        <w:rPr>
          <w:rFonts w:eastAsia="Arial"/>
          <w:color w:val="auto"/>
          <w:sz w:val="24"/>
          <w:szCs w:val="24"/>
        </w:rPr>
        <w:t xml:space="preserve">. To aid the physical and mental health of officers, emphasising the benefits of regular exercise and supporting this by providing access to a gym or fitness classes could be instrumental. Furthermore, offering nutritional guidance and providing healthy food options within the workplace can contribute to their overall well-being (Tol </w:t>
      </w:r>
      <w:r w:rsidRPr="3062587F">
        <w:rPr>
          <w:rFonts w:eastAsia="Arial"/>
          <w:i/>
          <w:iCs/>
          <w:color w:val="auto"/>
          <w:sz w:val="24"/>
          <w:szCs w:val="24"/>
        </w:rPr>
        <w:t>et al.,</w:t>
      </w:r>
      <w:r w:rsidRPr="3062587F">
        <w:rPr>
          <w:rFonts w:eastAsia="Arial"/>
          <w:color w:val="auto"/>
          <w:sz w:val="24"/>
          <w:szCs w:val="24"/>
        </w:rPr>
        <w:t xml:space="preserve"> 2015). </w:t>
      </w:r>
    </w:p>
    <w:p w14:paraId="27A3FE4B" w14:textId="3E33AB64" w:rsidR="00FF7784" w:rsidRPr="00270EEB" w:rsidRDefault="3062587F" w:rsidP="3062587F">
      <w:pPr>
        <w:shd w:val="clear" w:color="auto" w:fill="F7F7F8"/>
        <w:spacing w:after="300" w:line="360" w:lineRule="auto"/>
        <w:jc w:val="both"/>
        <w:rPr>
          <w:rFonts w:eastAsia="Arial"/>
          <w:color w:val="auto"/>
          <w:sz w:val="24"/>
          <w:szCs w:val="24"/>
        </w:rPr>
      </w:pPr>
      <w:r w:rsidRPr="3062587F">
        <w:rPr>
          <w:rFonts w:eastAsia="Arial"/>
          <w:color w:val="auto"/>
          <w:sz w:val="24"/>
          <w:szCs w:val="24"/>
        </w:rPr>
        <w:t>Furthermore, reforms and changes in policing policies and practices are pivotal. Addressing issues such as excessive use of force and improving accountability can positively impact the overall culture within police forces (</w:t>
      </w:r>
      <w:r w:rsidRPr="3062587F">
        <w:rPr>
          <w:rFonts w:eastAsia="Arial"/>
          <w:color w:val="auto"/>
          <w:sz w:val="24"/>
          <w:szCs w:val="24"/>
          <w:lang w:val="en-US"/>
        </w:rPr>
        <w:t xml:space="preserve">Hedberg, Katz, and Choate, </w:t>
      </w:r>
      <w:r w:rsidRPr="3062587F">
        <w:rPr>
          <w:rFonts w:eastAsia="Arial"/>
          <w:color w:val="auto"/>
          <w:sz w:val="24"/>
          <w:szCs w:val="24"/>
          <w:lang w:val="en-US"/>
        </w:rPr>
        <w:lastRenderedPageBreak/>
        <w:t>2017)</w:t>
      </w:r>
      <w:r w:rsidRPr="3062587F">
        <w:rPr>
          <w:rFonts w:eastAsia="Arial"/>
          <w:color w:val="auto"/>
          <w:sz w:val="24"/>
          <w:szCs w:val="24"/>
        </w:rPr>
        <w:t>. Fostering a supportive leadership culture is a crucial component in enhancing the resilience and well-being of police officers (</w:t>
      </w:r>
      <w:proofErr w:type="spellStart"/>
      <w:r w:rsidRPr="3062587F">
        <w:rPr>
          <w:rFonts w:eastAsia="Arial"/>
          <w:color w:val="auto"/>
          <w:sz w:val="24"/>
          <w:szCs w:val="24"/>
        </w:rPr>
        <w:t>Swid</w:t>
      </w:r>
      <w:proofErr w:type="spellEnd"/>
      <w:r w:rsidRPr="3062587F">
        <w:rPr>
          <w:rFonts w:eastAsia="Arial"/>
          <w:color w:val="auto"/>
          <w:sz w:val="24"/>
          <w:szCs w:val="24"/>
        </w:rPr>
        <w:t>, 2014). A positive and encouraging leadership style can significantly impact the organisational environment, creating a sense of trust, motivation, and mutual respect among the police force. By incorporating supportive leadership practices, police forces can further bolster their officers' ability to navigate the challenges posed by the organisational culture.</w:t>
      </w:r>
    </w:p>
    <w:p w14:paraId="5BD85C84" w14:textId="33E12036" w:rsidR="00FF7784" w:rsidRPr="00270EEB" w:rsidRDefault="3062587F" w:rsidP="3062587F">
      <w:pPr>
        <w:shd w:val="clear" w:color="auto" w:fill="F7F7F8"/>
        <w:spacing w:before="300" w:after="300" w:line="360" w:lineRule="auto"/>
        <w:jc w:val="both"/>
        <w:rPr>
          <w:rFonts w:eastAsia="Arial"/>
          <w:color w:val="auto"/>
          <w:sz w:val="24"/>
          <w:szCs w:val="24"/>
        </w:rPr>
      </w:pPr>
      <w:r w:rsidRPr="3062587F">
        <w:rPr>
          <w:rFonts w:eastAsia="Arial"/>
          <w:color w:val="auto"/>
          <w:sz w:val="24"/>
          <w:szCs w:val="24"/>
        </w:rPr>
        <w:t>Supportive leadership involves providing guidance, encouragement, and mentorship to officers, empowering them to express their concerns and ideas openly. Leaders who actively listen to their subordinates, acknowledge their achievements, and offer constructive feedback can create an atmosphere of psychological safety. This, in turn, allows officers to feel valued and understood, mitigating the potential adverse effects of conforming to the organisational culture (</w:t>
      </w:r>
      <w:proofErr w:type="spellStart"/>
      <w:r w:rsidRPr="3062587F">
        <w:rPr>
          <w:rFonts w:eastAsia="Arial"/>
          <w:color w:val="auto"/>
          <w:sz w:val="24"/>
          <w:szCs w:val="24"/>
          <w:lang w:val="en-US"/>
        </w:rPr>
        <w:t>Charman</w:t>
      </w:r>
      <w:proofErr w:type="spellEnd"/>
      <w:r w:rsidRPr="3062587F">
        <w:rPr>
          <w:rFonts w:eastAsia="Arial"/>
          <w:color w:val="auto"/>
          <w:sz w:val="24"/>
          <w:szCs w:val="24"/>
          <w:lang w:val="en-US"/>
        </w:rPr>
        <w:t>, 2017)</w:t>
      </w:r>
      <w:r w:rsidRPr="3062587F">
        <w:rPr>
          <w:rFonts w:eastAsia="Arial"/>
          <w:color w:val="auto"/>
          <w:sz w:val="24"/>
          <w:szCs w:val="24"/>
        </w:rPr>
        <w:t>.</w:t>
      </w:r>
    </w:p>
    <w:p w14:paraId="3ABB1667" w14:textId="612F4826" w:rsidR="00FF7784" w:rsidRPr="00270EEB" w:rsidRDefault="3062587F" w:rsidP="3062587F">
      <w:pPr>
        <w:shd w:val="clear" w:color="auto" w:fill="F7F7F8"/>
        <w:spacing w:before="300" w:after="300" w:line="360" w:lineRule="auto"/>
        <w:jc w:val="both"/>
        <w:rPr>
          <w:rFonts w:eastAsia="Arial"/>
          <w:color w:val="auto"/>
          <w:sz w:val="24"/>
          <w:szCs w:val="24"/>
        </w:rPr>
      </w:pPr>
      <w:r w:rsidRPr="3062587F">
        <w:rPr>
          <w:rFonts w:eastAsia="Arial"/>
          <w:color w:val="auto"/>
          <w:sz w:val="24"/>
          <w:szCs w:val="24"/>
        </w:rPr>
        <w:t>Moreover, supportive leaders actively promote a healthy work-life balance, ensuring that officers have adequate time for personal lives, relaxation, and self-care activities. They also play a crucial role in facilitating access to resources such as resilience training programs, continuing education opportunities, and counselling services. By advocating for these resources, leaders demonstrate their commitment to the well-being and professional development of their team members (</w:t>
      </w:r>
      <w:proofErr w:type="spellStart"/>
      <w:r w:rsidRPr="3062587F">
        <w:rPr>
          <w:rFonts w:eastAsia="Arial"/>
          <w:color w:val="auto"/>
          <w:sz w:val="24"/>
          <w:szCs w:val="24"/>
        </w:rPr>
        <w:t>Hoggett</w:t>
      </w:r>
      <w:proofErr w:type="spellEnd"/>
      <w:r w:rsidRPr="3062587F">
        <w:rPr>
          <w:rFonts w:eastAsia="Arial"/>
          <w:color w:val="auto"/>
          <w:sz w:val="24"/>
          <w:szCs w:val="24"/>
        </w:rPr>
        <w:t xml:space="preserve"> </w:t>
      </w:r>
      <w:r w:rsidRPr="3062587F">
        <w:rPr>
          <w:rFonts w:eastAsia="Arial"/>
          <w:i/>
          <w:iCs/>
          <w:color w:val="auto"/>
          <w:sz w:val="24"/>
          <w:szCs w:val="24"/>
        </w:rPr>
        <w:t>et al.</w:t>
      </w:r>
      <w:r w:rsidRPr="3062587F">
        <w:rPr>
          <w:rFonts w:eastAsia="Arial"/>
          <w:color w:val="auto"/>
          <w:sz w:val="24"/>
          <w:szCs w:val="24"/>
        </w:rPr>
        <w:t>, 2019).</w:t>
      </w:r>
    </w:p>
    <w:p w14:paraId="47CEFEE3" w14:textId="341E0889" w:rsidR="00FF7784" w:rsidRPr="00270EEB" w:rsidRDefault="3062587F" w:rsidP="3062587F">
      <w:pPr>
        <w:shd w:val="clear" w:color="auto" w:fill="F7F7F8"/>
        <w:spacing w:before="300" w:after="300" w:line="360" w:lineRule="auto"/>
        <w:jc w:val="both"/>
        <w:rPr>
          <w:rFonts w:eastAsia="Arial"/>
          <w:color w:val="auto"/>
          <w:sz w:val="24"/>
          <w:szCs w:val="24"/>
        </w:rPr>
      </w:pPr>
      <w:r w:rsidRPr="3062587F">
        <w:rPr>
          <w:rFonts w:eastAsia="Arial"/>
          <w:color w:val="auto"/>
          <w:sz w:val="24"/>
          <w:szCs w:val="24"/>
        </w:rPr>
        <w:t>Additionally, supportive leadership fosters a culture of accountability and responsibility (</w:t>
      </w:r>
      <w:r w:rsidRPr="3062587F">
        <w:rPr>
          <w:rFonts w:eastAsia="Arial"/>
          <w:color w:val="auto"/>
          <w:sz w:val="24"/>
          <w:szCs w:val="24"/>
          <w:lang w:val="en-US"/>
        </w:rPr>
        <w:t>Gallegos, 2013)</w:t>
      </w:r>
      <w:r w:rsidRPr="3062587F">
        <w:rPr>
          <w:rFonts w:eastAsia="Arial"/>
          <w:color w:val="auto"/>
          <w:sz w:val="24"/>
          <w:szCs w:val="24"/>
        </w:rPr>
        <w:t xml:space="preserve">. Leaders who set clear expectations, provide necessary resources, and hold themselves accountable to the same standards they expect from their officers create an environment of trust and fairness. This kind of atmosphere encourages officers to take ownership of their roles, promoting a sense of purpose and fulfilment in their work. These changes, in turn, enhance the wellbeing and resilience of officers, creating a healthier work environment. Together, these initiatives not only address the risks associated with conforming to organisational culture but also empower officers to thrive both personally and professionally. </w:t>
      </w:r>
    </w:p>
    <w:p w14:paraId="6C3843F1" w14:textId="6BBD4EA0" w:rsidR="00FF7784" w:rsidRPr="00270EEB" w:rsidRDefault="3062587F" w:rsidP="3062587F">
      <w:pPr>
        <w:spacing w:after="300" w:line="360" w:lineRule="auto"/>
        <w:jc w:val="both"/>
        <w:rPr>
          <w:rFonts w:eastAsia="Arial"/>
          <w:color w:val="auto"/>
          <w:sz w:val="24"/>
          <w:szCs w:val="24"/>
        </w:rPr>
      </w:pPr>
      <w:r w:rsidRPr="3062587F">
        <w:rPr>
          <w:rFonts w:eastAsia="Arial"/>
          <w:color w:val="auto"/>
          <w:sz w:val="24"/>
          <w:szCs w:val="24"/>
        </w:rPr>
        <w:lastRenderedPageBreak/>
        <w:t>To work alongside the strategies that aim to support the mental, emotional, and physical health of police officers, individuals also utilise personalised approaches to maintain their well-being. Personally, I have found mindfulness and stress management techniques, such as meditation and deep breathing, to be invaluable tools. These practices have not only helped me manage stress effectively but have also enhanced my emotional resilience, enabling me to navigate the challenges of my profession more adeptly (</w:t>
      </w:r>
      <w:proofErr w:type="spellStart"/>
      <w:r w:rsidRPr="3062587F">
        <w:rPr>
          <w:rFonts w:eastAsia="Arial"/>
          <w:color w:val="auto"/>
          <w:sz w:val="24"/>
          <w:szCs w:val="24"/>
          <w:lang w:val="en-US"/>
        </w:rPr>
        <w:t>Hoeve</w:t>
      </w:r>
      <w:proofErr w:type="spellEnd"/>
      <w:r w:rsidRPr="3062587F">
        <w:rPr>
          <w:rFonts w:eastAsia="Arial"/>
          <w:color w:val="auto"/>
          <w:sz w:val="24"/>
          <w:szCs w:val="24"/>
          <w:lang w:val="en-US"/>
        </w:rPr>
        <w:t xml:space="preserve"> </w:t>
      </w:r>
      <w:r w:rsidRPr="3062587F">
        <w:rPr>
          <w:rFonts w:eastAsia="Arial"/>
          <w:i/>
          <w:iCs/>
          <w:color w:val="auto"/>
          <w:sz w:val="24"/>
          <w:szCs w:val="24"/>
          <w:lang w:val="en-US"/>
        </w:rPr>
        <w:t>et al.</w:t>
      </w:r>
      <w:r w:rsidRPr="3062587F">
        <w:rPr>
          <w:rFonts w:eastAsia="Arial"/>
          <w:color w:val="auto"/>
          <w:sz w:val="24"/>
          <w:szCs w:val="24"/>
          <w:lang w:val="en-US"/>
        </w:rPr>
        <w:t>, 2021</w:t>
      </w:r>
      <w:proofErr w:type="gramStart"/>
      <w:r w:rsidRPr="3062587F">
        <w:rPr>
          <w:rFonts w:eastAsia="Arial"/>
          <w:color w:val="auto"/>
          <w:sz w:val="24"/>
          <w:szCs w:val="24"/>
          <w:lang w:val="en-US"/>
        </w:rPr>
        <w:t>).</w:t>
      </w:r>
      <w:r w:rsidRPr="3062587F">
        <w:rPr>
          <w:rFonts w:eastAsia="Arial"/>
          <w:color w:val="auto"/>
          <w:sz w:val="24"/>
          <w:szCs w:val="24"/>
        </w:rPr>
        <w:t>.</w:t>
      </w:r>
      <w:proofErr w:type="gramEnd"/>
    </w:p>
    <w:p w14:paraId="583EB4E5" w14:textId="260F04B0" w:rsidR="00FF7784" w:rsidRPr="00270EEB" w:rsidRDefault="3062587F" w:rsidP="3062587F">
      <w:pPr>
        <w:spacing w:before="300" w:after="300" w:line="360" w:lineRule="auto"/>
        <w:jc w:val="both"/>
        <w:rPr>
          <w:rFonts w:eastAsia="Arial"/>
          <w:color w:val="auto"/>
          <w:sz w:val="24"/>
          <w:szCs w:val="24"/>
        </w:rPr>
      </w:pPr>
      <w:r w:rsidRPr="3062587F">
        <w:rPr>
          <w:rFonts w:eastAsia="Arial"/>
          <w:color w:val="auto"/>
          <w:sz w:val="24"/>
          <w:szCs w:val="24"/>
        </w:rPr>
        <w:t>Additionally, I have discovered the immense value of engaging in hobbies and activities outside of work that bring me joy, such as painting and playing musical instruments (</w:t>
      </w:r>
      <w:proofErr w:type="spellStart"/>
      <w:r w:rsidRPr="3062587F">
        <w:rPr>
          <w:rFonts w:eastAsia="Arial"/>
          <w:color w:val="auto"/>
          <w:sz w:val="24"/>
          <w:szCs w:val="24"/>
          <w:lang w:val="en-US"/>
        </w:rPr>
        <w:t>Sonnentag</w:t>
      </w:r>
      <w:proofErr w:type="spellEnd"/>
      <w:r w:rsidRPr="3062587F">
        <w:rPr>
          <w:rFonts w:eastAsia="Arial"/>
          <w:color w:val="auto"/>
          <w:sz w:val="24"/>
          <w:szCs w:val="24"/>
          <w:lang w:val="en-US"/>
        </w:rPr>
        <w:t xml:space="preserve"> and Fritz, 2014)</w:t>
      </w:r>
      <w:r w:rsidRPr="3062587F">
        <w:rPr>
          <w:rFonts w:eastAsia="Arial"/>
          <w:color w:val="auto"/>
          <w:sz w:val="24"/>
          <w:szCs w:val="24"/>
        </w:rPr>
        <w:t>. These creative outlets serve as powerful stress relievers, offering a much-needed escape from the demands of a stressful and sometimes traumatic job. By immersing myself in these activities, I have found a sense of solace and balance, essential for maintaining my mental and emotional well-being.</w:t>
      </w:r>
    </w:p>
    <w:p w14:paraId="04B3BB97" w14:textId="15B1A736" w:rsidR="00FF7784" w:rsidRPr="00270EEB" w:rsidRDefault="3062587F" w:rsidP="3062587F">
      <w:pPr>
        <w:spacing w:before="300" w:after="300" w:line="360" w:lineRule="auto"/>
        <w:jc w:val="both"/>
        <w:rPr>
          <w:rFonts w:eastAsia="Arial"/>
          <w:color w:val="auto"/>
          <w:sz w:val="24"/>
          <w:szCs w:val="24"/>
        </w:rPr>
      </w:pPr>
      <w:r w:rsidRPr="3062587F">
        <w:rPr>
          <w:rFonts w:eastAsia="Arial"/>
          <w:color w:val="auto"/>
          <w:sz w:val="24"/>
          <w:szCs w:val="24"/>
        </w:rPr>
        <w:t>Furthermore, I have come to appreciate the importance of setting clear boundaries between my work and personal life (</w:t>
      </w:r>
      <w:proofErr w:type="spellStart"/>
      <w:r w:rsidRPr="3062587F">
        <w:rPr>
          <w:rFonts w:eastAsia="Arial"/>
          <w:color w:val="auto"/>
          <w:sz w:val="24"/>
          <w:szCs w:val="24"/>
          <w:lang w:val="en-US"/>
        </w:rPr>
        <w:t>Chimote</w:t>
      </w:r>
      <w:proofErr w:type="spellEnd"/>
      <w:r w:rsidRPr="3062587F">
        <w:rPr>
          <w:rFonts w:eastAsia="Arial"/>
          <w:color w:val="auto"/>
          <w:sz w:val="24"/>
          <w:szCs w:val="24"/>
          <w:lang w:val="en-US"/>
        </w:rPr>
        <w:t xml:space="preserve"> and Srivastava, 2013)</w:t>
      </w:r>
      <w:r w:rsidRPr="3062587F">
        <w:rPr>
          <w:rFonts w:eastAsia="Arial"/>
          <w:color w:val="auto"/>
          <w:sz w:val="24"/>
          <w:szCs w:val="24"/>
        </w:rPr>
        <w:t>. Ensuring that I have dedicated time for my family, friends, and self-care activities has been instrumental in fostering a healthy work-life balance. While on shift, I make it a priority to take my allocated breaks, recognising their significance in preventing burnout and sustaining my focus and energy throughout the day (</w:t>
      </w:r>
      <w:proofErr w:type="spellStart"/>
      <w:r w:rsidRPr="3062587F">
        <w:rPr>
          <w:rFonts w:eastAsia="Arial"/>
          <w:color w:val="auto"/>
          <w:sz w:val="24"/>
          <w:szCs w:val="24"/>
        </w:rPr>
        <w:t>Anshel</w:t>
      </w:r>
      <w:proofErr w:type="spellEnd"/>
      <w:r w:rsidRPr="3062587F">
        <w:rPr>
          <w:rFonts w:eastAsia="Arial"/>
          <w:color w:val="auto"/>
          <w:sz w:val="24"/>
          <w:szCs w:val="24"/>
        </w:rPr>
        <w:t xml:space="preserve">, </w:t>
      </w:r>
      <w:proofErr w:type="spellStart"/>
      <w:r w:rsidRPr="3062587F">
        <w:rPr>
          <w:rFonts w:eastAsia="Arial"/>
          <w:color w:val="auto"/>
          <w:sz w:val="24"/>
          <w:szCs w:val="24"/>
        </w:rPr>
        <w:t>Umscheid</w:t>
      </w:r>
      <w:proofErr w:type="spellEnd"/>
      <w:r w:rsidRPr="3062587F">
        <w:rPr>
          <w:rFonts w:eastAsia="Arial"/>
          <w:color w:val="auto"/>
          <w:sz w:val="24"/>
          <w:szCs w:val="24"/>
        </w:rPr>
        <w:t xml:space="preserve">, and </w:t>
      </w:r>
      <w:proofErr w:type="spellStart"/>
      <w:r w:rsidRPr="3062587F">
        <w:rPr>
          <w:rFonts w:eastAsia="Arial"/>
          <w:color w:val="auto"/>
          <w:sz w:val="24"/>
          <w:szCs w:val="24"/>
        </w:rPr>
        <w:t>Brinthaupt</w:t>
      </w:r>
      <w:proofErr w:type="spellEnd"/>
      <w:r w:rsidRPr="3062587F">
        <w:rPr>
          <w:rFonts w:eastAsia="Arial"/>
          <w:color w:val="auto"/>
          <w:sz w:val="24"/>
          <w:szCs w:val="24"/>
        </w:rPr>
        <w:t>, 2013).</w:t>
      </w:r>
    </w:p>
    <w:p w14:paraId="7674AA07" w14:textId="5D9E767F" w:rsidR="00FF7784" w:rsidRPr="00270EEB" w:rsidRDefault="3062587F" w:rsidP="3062587F">
      <w:pPr>
        <w:spacing w:before="300" w:line="360" w:lineRule="auto"/>
        <w:jc w:val="both"/>
        <w:rPr>
          <w:rFonts w:eastAsia="Arial"/>
          <w:color w:val="auto"/>
          <w:sz w:val="24"/>
          <w:szCs w:val="24"/>
        </w:rPr>
      </w:pPr>
      <w:r w:rsidRPr="3062587F">
        <w:rPr>
          <w:rFonts w:eastAsia="Arial"/>
          <w:color w:val="auto"/>
          <w:sz w:val="24"/>
          <w:szCs w:val="24"/>
        </w:rPr>
        <w:t>In my experience, combining these personalised strategies with the broader initiatives aimed at supporting police officers' well-being creates a holistic approach to resilience. By acknowledging and nurturing our individual needs and coping mechanisms, we empower ourselves to face the challenges of our profession with greater strength and resilience. This personal reflection underscores the significance of recognising the unique strategies that work for each individual officer, reinforcing the importance of a multifaceted approach to well-being within the British policing community.</w:t>
      </w:r>
    </w:p>
    <w:p w14:paraId="1B264763" w14:textId="21C65A92" w:rsidR="00FF7784" w:rsidRPr="00270EEB" w:rsidRDefault="00FF7784" w:rsidP="3062587F">
      <w:pPr>
        <w:spacing w:after="300" w:line="360" w:lineRule="auto"/>
        <w:jc w:val="both"/>
        <w:rPr>
          <w:rFonts w:eastAsia="Arial"/>
          <w:color w:val="auto"/>
          <w:sz w:val="24"/>
          <w:szCs w:val="24"/>
        </w:rPr>
      </w:pPr>
      <w:r>
        <w:br/>
      </w:r>
      <w:r w:rsidR="3062587F" w:rsidRPr="3062587F">
        <w:rPr>
          <w:rFonts w:eastAsia="Arial"/>
          <w:color w:val="auto"/>
          <w:sz w:val="24"/>
          <w:szCs w:val="24"/>
        </w:rPr>
        <w:t xml:space="preserve">In summary, the impact of British policing culture on the wellbeing and resilience of </w:t>
      </w:r>
      <w:r w:rsidR="3062587F" w:rsidRPr="3062587F">
        <w:rPr>
          <w:rFonts w:eastAsia="Arial"/>
          <w:color w:val="auto"/>
          <w:sz w:val="24"/>
          <w:szCs w:val="24"/>
        </w:rPr>
        <w:lastRenderedPageBreak/>
        <w:t>police officers is a multifaceted and intricate issue that permeates various aspects of their professional and personal lives. The challenges faced by officers, ranging from the suppression of individuality to the strains of balancing work and personal life, create a complex tapestry of stressors (</w:t>
      </w:r>
      <w:r w:rsidR="3062587F" w:rsidRPr="3062587F">
        <w:rPr>
          <w:rFonts w:eastAsia="Arial"/>
          <w:color w:val="auto"/>
          <w:sz w:val="24"/>
          <w:szCs w:val="24"/>
          <w:lang w:val="en-US"/>
        </w:rPr>
        <w:t xml:space="preserve">McCarty and </w:t>
      </w:r>
      <w:proofErr w:type="spellStart"/>
      <w:r w:rsidR="3062587F" w:rsidRPr="3062587F">
        <w:rPr>
          <w:rFonts w:eastAsia="Arial"/>
          <w:color w:val="auto"/>
          <w:sz w:val="24"/>
          <w:szCs w:val="24"/>
          <w:lang w:val="en-US"/>
        </w:rPr>
        <w:t>Skogen</w:t>
      </w:r>
      <w:proofErr w:type="spellEnd"/>
      <w:r w:rsidR="3062587F" w:rsidRPr="3062587F">
        <w:rPr>
          <w:rFonts w:eastAsia="Arial"/>
          <w:color w:val="auto"/>
          <w:sz w:val="24"/>
          <w:szCs w:val="24"/>
          <w:lang w:val="en-US"/>
        </w:rPr>
        <w:t>, 2012)</w:t>
      </w:r>
      <w:r w:rsidR="3062587F" w:rsidRPr="3062587F">
        <w:rPr>
          <w:rFonts w:eastAsia="Arial"/>
          <w:color w:val="auto"/>
          <w:sz w:val="24"/>
          <w:szCs w:val="24"/>
        </w:rPr>
        <w:t>. The pressure to conform to established norms, coupled with exposure to traumatic events, compounds the emotional toll of the job. However, amidst these challenges, there is a glimmer of hope illuminated by the ongoing initiatives and reforms within the policing system. Policymakers, law enforcement agencies, and mental health professionals have recognised the urgency of addressing these issues (</w:t>
      </w:r>
      <w:r w:rsidR="3062587F" w:rsidRPr="3062587F">
        <w:rPr>
          <w:rFonts w:eastAsia="Arial"/>
          <w:color w:val="auto"/>
          <w:sz w:val="24"/>
          <w:szCs w:val="24"/>
          <w:lang w:val="en-US"/>
        </w:rPr>
        <w:t>Van Dijk and Crofts, 2017)</w:t>
      </w:r>
      <w:r w:rsidR="3062587F" w:rsidRPr="3062587F">
        <w:rPr>
          <w:rFonts w:eastAsia="Arial"/>
          <w:color w:val="auto"/>
          <w:sz w:val="24"/>
          <w:szCs w:val="24"/>
        </w:rPr>
        <w:t>. In the face of these challenges, the resilience and determination of police officers, combined with the support of evolving organisational initiatives, are steering British policing toward a positive trajectory. While the journey toward comprehensive change is ongoing, the combined efforts of individuals and institutions signal a hopeful path. With a continued focus on mental health, innovative strategies, and a supportive community, the transformation of the British policing culture becomes not just a possibility but a beacon of progress, ensuring the wellbeing and resilience of those who dedicate their lives to serving and protecting others.</w:t>
      </w:r>
    </w:p>
    <w:p w14:paraId="2E5FEBB5" w14:textId="1BC896ED" w:rsidR="00FF7784" w:rsidRPr="00270EEB" w:rsidRDefault="00FF7784" w:rsidP="3062587F">
      <w:pPr>
        <w:shd w:val="clear" w:color="auto" w:fill="F7F7F8"/>
        <w:spacing w:before="300"/>
        <w:jc w:val="both"/>
        <w:rPr>
          <w:rFonts w:eastAsia="Arial"/>
          <w:color w:val="374151"/>
          <w:sz w:val="24"/>
          <w:szCs w:val="24"/>
        </w:rPr>
      </w:pPr>
    </w:p>
    <w:p w14:paraId="3B855813" w14:textId="1EC86F40" w:rsidR="00FF7784" w:rsidRPr="00270EEB" w:rsidRDefault="3062587F" w:rsidP="3062587F">
      <w:pPr>
        <w:ind w:right="237"/>
        <w:jc w:val="both"/>
        <w:rPr>
          <w:rFonts w:eastAsia="Arial"/>
          <w:sz w:val="24"/>
          <w:szCs w:val="24"/>
        </w:rPr>
      </w:pPr>
      <w:r w:rsidRPr="3062587F">
        <w:rPr>
          <w:rFonts w:eastAsia="Arial"/>
          <w:sz w:val="24"/>
          <w:szCs w:val="24"/>
        </w:rPr>
        <w:t>Word Count: 1396</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5C73F46" w:rsidR="00450C83" w:rsidRPr="00450C83" w:rsidRDefault="3062587F" w:rsidP="3062587F">
      <w:pPr>
        <w:ind w:right="237"/>
        <w:jc w:val="both"/>
        <w:rPr>
          <w:b/>
          <w:bCs/>
          <w:sz w:val="24"/>
          <w:szCs w:val="24"/>
        </w:rPr>
      </w:pPr>
      <w:r w:rsidRPr="3062587F">
        <w:rPr>
          <w:b/>
          <w:bCs/>
          <w:sz w:val="24"/>
          <w:szCs w:val="24"/>
        </w:rPr>
        <w:t>ANSWER:</w:t>
      </w:r>
    </w:p>
    <w:p w14:paraId="52E9B880" w14:textId="1BB5581B"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Scenario:  </w:t>
      </w:r>
    </w:p>
    <w:p w14:paraId="3406D9D6" w14:textId="25136436"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the course of my duty as a police officer, I was dispatched to respond to a distress call regarding a domestic violence incident within a residential area in Wales. The call alerted me to a situation where a heated argument between a husband and wife had escalated into a physical confrontation. Upon my arrival at the scene, I encountered both individuals visibly distressed and agitated, highlighting the intense nature of the altercation. </w:t>
      </w:r>
    </w:p>
    <w:p w14:paraId="3188B932" w14:textId="422CD0D2"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063704B9" w14:textId="50D3F2DF"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this scenario, my dynamic risk assessment skills, effective communication, and empathy were instrumental in making decisions that prioritised the safety and well-being of the vulnerable individual while maintaining overall situational control. By adapting to the evolving circumstances and making informed decisions, I successfully navigated a complex and unpredictable domestic violence incident. </w:t>
      </w:r>
    </w:p>
    <w:p w14:paraId="17FC9F36" w14:textId="328CA1D7"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69C8F770" w14:textId="1628EE8C" w:rsidR="00AA666E" w:rsidRPr="00270EEB" w:rsidRDefault="3062587F" w:rsidP="3062587F">
      <w:pPr>
        <w:spacing w:line="360" w:lineRule="auto"/>
        <w:jc w:val="both"/>
        <w:rPr>
          <w:rFonts w:eastAsia="Arial"/>
          <w:color w:val="auto"/>
          <w:sz w:val="24"/>
          <w:szCs w:val="24"/>
        </w:rPr>
      </w:pPr>
      <w:r w:rsidRPr="3062587F">
        <w:rPr>
          <w:rFonts w:eastAsia="Arial"/>
          <w:i/>
          <w:iCs/>
          <w:color w:val="auto"/>
          <w:sz w:val="24"/>
          <w:szCs w:val="24"/>
        </w:rPr>
        <w:t>Dynamic Risk Assessment and Decision-making:</w:t>
      </w:r>
      <w:r w:rsidRPr="3062587F">
        <w:rPr>
          <w:rFonts w:eastAsia="Arial"/>
          <w:color w:val="auto"/>
          <w:sz w:val="24"/>
          <w:szCs w:val="24"/>
        </w:rPr>
        <w:t xml:space="preserve"> </w:t>
      </w:r>
    </w:p>
    <w:p w14:paraId="28D5D264" w14:textId="0CC2FD74"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1. Assessing the Immediate Risk:</w:t>
      </w:r>
      <w:r w:rsidRPr="3062587F">
        <w:rPr>
          <w:rFonts w:eastAsia="Arial"/>
          <w:color w:val="auto"/>
          <w:sz w:val="24"/>
          <w:szCs w:val="24"/>
        </w:rPr>
        <w:t xml:space="preserve"> Upon reaching the scene, my first task is to assess the immediate risk to everyone involved, including myself. I quickly observe their body language and demeanour, gauging the level of aggression. Based on my </w:t>
      </w:r>
      <w:r w:rsidRPr="3062587F">
        <w:rPr>
          <w:rFonts w:eastAsia="Arial"/>
          <w:color w:val="auto"/>
          <w:sz w:val="24"/>
          <w:szCs w:val="24"/>
        </w:rPr>
        <w:lastRenderedPageBreak/>
        <w:t xml:space="preserve">assessment, it became clear that the situation is highly volatile, indicating a high immediate risk. </w:t>
      </w:r>
    </w:p>
    <w:p w14:paraId="34ED5D09" w14:textId="37D91C4E"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2. Establishing Communication:</w:t>
      </w:r>
      <w:r w:rsidRPr="3062587F">
        <w:rPr>
          <w:rFonts w:eastAsia="Arial"/>
          <w:color w:val="auto"/>
          <w:sz w:val="24"/>
          <w:szCs w:val="24"/>
        </w:rPr>
        <w:t xml:space="preserve"> I approached the individuals calmly, maintaining a non-threatening posture. Using my effective communication skills, I attempted to de-escalate the situation. Employing active listening techniques, I tried to understand their concerns and perspectives, gaining valuable insights into the underlying issues contributing to the conflict. </w:t>
      </w:r>
    </w:p>
    <w:p w14:paraId="152E21DD" w14:textId="4B30AA6F"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3. Identifying Vulnerabilities:</w:t>
      </w:r>
      <w:r w:rsidRPr="3062587F">
        <w:rPr>
          <w:rFonts w:eastAsia="Arial"/>
          <w:color w:val="auto"/>
          <w:sz w:val="24"/>
          <w:szCs w:val="24"/>
        </w:rPr>
        <w:t xml:space="preserve"> During our conversation, I noticed that the wife appears frightened and is reluctant to speak openly in front of her husband. Recognising her vulnerability, I found an opportunity to discreetly ask her if she feels safe and if there have been previous incidents of violence. This informed my understanding of the dynamics and helped me assess the risk level for the wife. </w:t>
      </w:r>
    </w:p>
    <w:p w14:paraId="38B8536B" w14:textId="590CD22B"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4. Implementing a Safety Plan:</w:t>
      </w:r>
      <w:r w:rsidRPr="3062587F">
        <w:rPr>
          <w:rFonts w:eastAsia="Arial"/>
          <w:color w:val="auto"/>
          <w:sz w:val="24"/>
          <w:szCs w:val="24"/>
        </w:rPr>
        <w:t xml:space="preserve"> Based on my dynamic risk assessment, I decided that the immediate safety of the wife was a top priority. I signalled my partner to ensure they are positioned strategically. While remaining calm, I informed the wife about available resources, such as shelters and support services, and provide her with contact information in case she needs help later. </w:t>
      </w:r>
    </w:p>
    <w:p w14:paraId="09EA0BE9" w14:textId="580730D2"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5. Engaging Support Services:</w:t>
      </w:r>
      <w:r w:rsidRPr="3062587F">
        <w:rPr>
          <w:rFonts w:eastAsia="Arial"/>
          <w:color w:val="auto"/>
          <w:sz w:val="24"/>
          <w:szCs w:val="24"/>
        </w:rPr>
        <w:t xml:space="preserve"> Simultaneously, I called for a domestic violence counsellor to provide on-site support for both individuals. The counsellor arrived promptly, offering emotional support, information about domestic violence resources, and counselling services. This collaborative approach reinforced my commitment to the well-being of the individuals involved. </w:t>
      </w:r>
    </w:p>
    <w:p w14:paraId="19D6B357" w14:textId="48A5F1E2"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6. Documenting and Reporting:</w:t>
      </w:r>
      <w:r w:rsidRPr="3062587F">
        <w:rPr>
          <w:rFonts w:eastAsia="Arial"/>
          <w:color w:val="auto"/>
          <w:sz w:val="24"/>
          <w:szCs w:val="24"/>
        </w:rPr>
        <w:t xml:space="preserve"> After stabilizing the situation, I meticulously documented the incident, including the risk assessment, my decisions, and the actions taken. This detailed documentation is crucial for legal purposes and ensures that relevant information is available for future reference or court proceedings. </w:t>
      </w:r>
    </w:p>
    <w:p w14:paraId="5106880C" w14:textId="36B0592D"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57169A7D" w14:textId="669B44C5"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7F101D3B" w14:textId="51563187"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The incident unfolded against the backdrop of societal concerns about domestic violence within the Welsh community. Wales has legislation and policies in place to address domestic violence, emphasising victim protection, offender accountability, and the importance of early intervention and support services. </w:t>
      </w:r>
    </w:p>
    <w:p w14:paraId="64F033C9" w14:textId="627239ED" w:rsidR="00AA666E" w:rsidRPr="00270EEB" w:rsidRDefault="00AA666E" w:rsidP="3062587F">
      <w:pPr>
        <w:spacing w:line="360" w:lineRule="auto"/>
        <w:jc w:val="both"/>
        <w:rPr>
          <w:rFonts w:eastAsia="Arial"/>
          <w:color w:val="auto"/>
          <w:sz w:val="24"/>
          <w:szCs w:val="24"/>
        </w:rPr>
      </w:pPr>
    </w:p>
    <w:p w14:paraId="49FDA780" w14:textId="10B34963"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Social and Legislative Contexts:</w:t>
      </w:r>
      <w:r w:rsidRPr="3062587F">
        <w:rPr>
          <w:rFonts w:eastAsia="Arial"/>
          <w:color w:val="auto"/>
          <w:sz w:val="24"/>
          <w:szCs w:val="24"/>
        </w:rPr>
        <w:t xml:space="preserve"> </w:t>
      </w:r>
    </w:p>
    <w:p w14:paraId="2BB40490" w14:textId="31204AE4"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lastRenderedPageBreak/>
        <w:t xml:space="preserve">Domestic violence is a significant issue in Wales, reflecting global concerns about the safety and well-being of individuals within households. Legislation in Wales, such as the Violence Against Women, Domestic Abuse, and Sexual Violence Act 2015, provides a legal framework to combat domestic violence. VAWDASV underscores the importance of supporting victims and survivors, holding perpetrators accountable, and promoting a coordinated community response to domestic abuse (VAWDASV, 2015). </w:t>
      </w:r>
    </w:p>
    <w:p w14:paraId="56A0254A" w14:textId="3F5D39BE" w:rsidR="00AA666E" w:rsidRPr="00270EEB" w:rsidRDefault="00AA666E" w:rsidP="3062587F">
      <w:pPr>
        <w:spacing w:line="360" w:lineRule="auto"/>
        <w:jc w:val="both"/>
        <w:rPr>
          <w:rFonts w:eastAsia="Arial"/>
          <w:color w:val="auto"/>
          <w:sz w:val="24"/>
          <w:szCs w:val="24"/>
        </w:rPr>
      </w:pPr>
    </w:p>
    <w:p w14:paraId="6F2D930F" w14:textId="283B6062"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Relevant Cultural, Ethnicity, and Language Issues:</w:t>
      </w:r>
      <w:r w:rsidRPr="3062587F">
        <w:rPr>
          <w:rFonts w:eastAsia="Arial"/>
          <w:color w:val="auto"/>
          <w:sz w:val="24"/>
          <w:szCs w:val="24"/>
        </w:rPr>
        <w:t xml:space="preserve"> </w:t>
      </w:r>
    </w:p>
    <w:p w14:paraId="4655EC09" w14:textId="4A6F29C7"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Welsh culture, with its strong emphasis on family values and community ties, can influence the dynamics of domestic violence incidents. Cultural norms related to relationships, gender roles, and family dynamics play a role in shaping the experiences of those involved. </w:t>
      </w:r>
    </w:p>
    <w:p w14:paraId="40C8E3EE" w14:textId="1568393D"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While Wales has a predominantly Welsh population, it is also home to diverse ethnic communities. Sensitivity to the varied backgrounds and experiences of individuals from different ethnic groups is crucial for understanding their unique challenges and addressing domestic violence effectively (Hong, 2017).  The Welsh language, with its deep cultural significance, may present language barriers in communication. Having access to bilingual officers or interpreters who can bridge the language gap is essential for ensuring that victims and witnesses can express themselves effectively, leading to accurate understanding and appropriate support.  Addressing domestic violence incidents effectively in Wales requires law enforcement officers to be well-versed in the social, legislative, cultural, ethnic, and language dimensions of the situation (</w:t>
      </w:r>
      <w:r w:rsidRPr="3062587F">
        <w:rPr>
          <w:rFonts w:eastAsia="Arial"/>
          <w:color w:val="auto"/>
          <w:sz w:val="24"/>
          <w:szCs w:val="24"/>
          <w:lang w:val="en-US"/>
        </w:rPr>
        <w:t>Laing and Humphreys, 2013)</w:t>
      </w:r>
      <w:r w:rsidRPr="3062587F">
        <w:rPr>
          <w:rFonts w:eastAsia="Arial"/>
          <w:color w:val="auto"/>
          <w:sz w:val="24"/>
          <w:szCs w:val="24"/>
        </w:rPr>
        <w:t xml:space="preserve">. Cultural competence and sensitivity are vital for building trust and ensuring that responses to domestic violence are tailored to the diverse needs of the Welsh community. </w:t>
      </w:r>
    </w:p>
    <w:p w14:paraId="3DC74048" w14:textId="57C515BC"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2ABD0541" w14:textId="6B878250" w:rsidR="00AA666E" w:rsidRPr="00270EEB" w:rsidRDefault="3062587F" w:rsidP="3062587F">
      <w:pPr>
        <w:spacing w:line="360" w:lineRule="auto"/>
        <w:jc w:val="both"/>
        <w:rPr>
          <w:rFonts w:eastAsia="Arial"/>
          <w:b/>
          <w:bCs/>
          <w:color w:val="auto"/>
          <w:sz w:val="24"/>
          <w:szCs w:val="24"/>
          <w:u w:val="single"/>
        </w:rPr>
      </w:pPr>
      <w:r w:rsidRPr="3062587F">
        <w:rPr>
          <w:rFonts w:eastAsia="Arial"/>
          <w:b/>
          <w:bCs/>
          <w:color w:val="auto"/>
          <w:sz w:val="24"/>
          <w:szCs w:val="24"/>
          <w:u w:val="single"/>
        </w:rPr>
        <w:t xml:space="preserve">Evaluation of Decisions Made During the Incident. </w:t>
      </w:r>
    </w:p>
    <w:p w14:paraId="6B1FA63F" w14:textId="366D6D26" w:rsidR="00AA666E" w:rsidRPr="00270EEB" w:rsidRDefault="00AA666E" w:rsidP="3062587F">
      <w:pPr>
        <w:spacing w:line="360" w:lineRule="auto"/>
        <w:jc w:val="both"/>
        <w:rPr>
          <w:rFonts w:eastAsia="Arial"/>
          <w:color w:val="auto"/>
          <w:sz w:val="24"/>
          <w:szCs w:val="24"/>
        </w:rPr>
      </w:pPr>
    </w:p>
    <w:p w14:paraId="7415A360" w14:textId="54B8C2C5"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evaluating my decisions during the incident, I recognise the significance of employing the National Decision Model (NDM), used by law enforcement officers to make ethical and effective decisions, played a crucial role in guiding my actions (College of Policing, 2014). </w:t>
      </w:r>
    </w:p>
    <w:p w14:paraId="10443E08" w14:textId="0ACAB5A7"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74466049" w14:textId="3A725A99"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lastRenderedPageBreak/>
        <w:t>1. Understanding the Situation (Information and Intelligence):</w:t>
      </w:r>
      <w:r w:rsidRPr="3062587F">
        <w:rPr>
          <w:rFonts w:eastAsia="Arial"/>
          <w:color w:val="auto"/>
          <w:sz w:val="24"/>
          <w:szCs w:val="24"/>
        </w:rPr>
        <w:t xml:space="preserve"> Utilising the 'Information and Intelligence' component of the NDM, I assessed the information received from the dispatcher, which helped me understand the gravity of the situation before arriving at the scene. This understanding allowed me to mentally prepare and approach the situation with caution and awareness. </w:t>
      </w:r>
    </w:p>
    <w:p w14:paraId="417D76EA" w14:textId="2621D495"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2. Identifying Options (Options):</w:t>
      </w:r>
      <w:r w:rsidRPr="3062587F">
        <w:rPr>
          <w:rFonts w:eastAsia="Arial"/>
          <w:color w:val="auto"/>
          <w:sz w:val="24"/>
          <w:szCs w:val="24"/>
        </w:rPr>
        <w:t xml:space="preserve"> Applying the 'Options' aspect of the NDM, I considered various courses of action based on the assessment of immediate risk and vulnerability. I opted for a calm and non-confrontational approach, focusing on communication and de-escalation techniques. This decision was guided by the NDM's emphasis on exploring a range of options before making a choice. </w:t>
      </w:r>
    </w:p>
    <w:p w14:paraId="3B3B2CC9" w14:textId="07217738"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3. Risks and Benefits (Consideration):</w:t>
      </w:r>
      <w:r w:rsidRPr="3062587F">
        <w:rPr>
          <w:rFonts w:eastAsia="Arial"/>
          <w:color w:val="auto"/>
          <w:sz w:val="24"/>
          <w:szCs w:val="24"/>
        </w:rPr>
        <w:t xml:space="preserve"> The 'Consideration' stage of the NDM helped me weigh the risks and benefits of different actions. I recognised the high risk involved, especially regarding the safety of the wife. By discreetly signalling my partner and ensuring the domestic violence counsellor's presence, I managed to mitigate risks effectively. Prioritising the safety of the vulnerable individual was central to my decision-making process. </w:t>
      </w:r>
    </w:p>
    <w:p w14:paraId="3EC6AE3B" w14:textId="21E52E78"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4. Action and Review (Action):</w:t>
      </w:r>
      <w:r w:rsidRPr="3062587F">
        <w:rPr>
          <w:rFonts w:eastAsia="Arial"/>
          <w:color w:val="auto"/>
          <w:sz w:val="24"/>
          <w:szCs w:val="24"/>
        </w:rPr>
        <w:t xml:space="preserve"> During the 'Action' phase of the NDM, I implemented the safety plan and engaged support services. Collaborating with the domestic violence counsellor ensured a comprehensive and empathetic response. After stabilising the situation, I documented the incident thoroughly, adhering to the NDM's emphasis on accountability and review. </w:t>
      </w:r>
    </w:p>
    <w:p w14:paraId="2D2C31D5" w14:textId="17E28432" w:rsidR="00AA666E"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5. Ethical Considerations (Ethics):</w:t>
      </w:r>
      <w:r w:rsidRPr="3062587F">
        <w:rPr>
          <w:rFonts w:eastAsia="Arial"/>
          <w:color w:val="auto"/>
          <w:sz w:val="24"/>
          <w:szCs w:val="24"/>
        </w:rPr>
        <w:t xml:space="preserve"> The 'Ethics' component of the NDM guided my decision to respect the rights and dignity of the individuals involved. I ensured confidentiality for the wife, respecting her vulnerability and privacy. Upholding ethical standards is fundamental to building trust within the community and ensuring fairness in law enforcement actions. </w:t>
      </w:r>
    </w:p>
    <w:p w14:paraId="2796833B" w14:textId="337861F8"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retrospect, the use of the NDM provided a structured and systematic approach, enabling me to make well-informed decisions in a high-pressure situation. By adhering to the NDM's principles, I was able to prioritize the safety of the vulnerable individual, maintain situational control, and uphold ethical standards, ensuring a balanced and effective response to the domestic violence incident. </w:t>
      </w:r>
    </w:p>
    <w:p w14:paraId="47AEAC3B" w14:textId="517ED00C" w:rsidR="00AA666E" w:rsidRPr="00270EEB" w:rsidRDefault="00AA666E" w:rsidP="3062587F">
      <w:pPr>
        <w:spacing w:line="360" w:lineRule="auto"/>
        <w:jc w:val="both"/>
        <w:rPr>
          <w:rFonts w:eastAsia="Arial"/>
          <w:color w:val="auto"/>
          <w:sz w:val="24"/>
          <w:szCs w:val="24"/>
        </w:rPr>
      </w:pPr>
    </w:p>
    <w:p w14:paraId="011EC70F" w14:textId="35CF0661"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managing the domestic violence incident, my decisions were grounded in a careful assessment of the situation and guided by the principles of the NDM. My approach </w:t>
      </w:r>
      <w:r w:rsidRPr="3062587F">
        <w:rPr>
          <w:rFonts w:eastAsia="Arial"/>
          <w:color w:val="auto"/>
          <w:sz w:val="24"/>
          <w:szCs w:val="24"/>
        </w:rPr>
        <w:lastRenderedPageBreak/>
        <w:t xml:space="preserve">prioritised a calm and empathetic demeanour to defuse tension and encourage open communication between the parties involved. This approach was vital in establishing trust, ensuring the safety of the wife, and preventing the situation from escalating. To prioritise her safety, I discreetly implemented a safety plan, signalling my partner strategically and engaging a domestic violence counsellor for immediate support. This decision aimed to empower the wife, providing her with information about available resources and emphasising her agency in seeking help. </w:t>
      </w:r>
    </w:p>
    <w:p w14:paraId="712C9DA9" w14:textId="196F6BBD" w:rsidR="00AA666E" w:rsidRPr="00270EEB" w:rsidRDefault="00AA666E" w:rsidP="3062587F">
      <w:pPr>
        <w:spacing w:line="360" w:lineRule="auto"/>
        <w:jc w:val="both"/>
        <w:rPr>
          <w:rFonts w:eastAsia="Arial"/>
          <w:color w:val="auto"/>
          <w:sz w:val="24"/>
          <w:szCs w:val="24"/>
        </w:rPr>
      </w:pPr>
    </w:p>
    <w:p w14:paraId="1A624371" w14:textId="10F65FFA"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When recording details of the incident, I adhered to the principles of accuracy, objectivity, and sensitivity. My documentation focused on providing an unbiased account of the events, emphasising the wife's vulnerability, and highlighting the supportive measures taken. This approach was crucial for legal purposes, ensuring a comprehensive and truthful account of the incident. Ethically, I respected the wife's confidentiality and privacy, preserving her dignity and autonomy throughout the interaction. I refrained from making judgments, avoiding stigmatisation or victim-blaming, and maintained a non-judgmental attitude. Upholding these ethical principles fostered a positive environment, where the victim felt respected and supported, encouraging her to seek further help. </w:t>
      </w:r>
    </w:p>
    <w:p w14:paraId="1618EF12" w14:textId="14563F82" w:rsidR="00AA666E" w:rsidRPr="00270EEB" w:rsidRDefault="00AA666E" w:rsidP="3062587F">
      <w:pPr>
        <w:spacing w:line="360" w:lineRule="auto"/>
        <w:jc w:val="both"/>
        <w:rPr>
          <w:rFonts w:eastAsia="Arial"/>
          <w:color w:val="auto"/>
          <w:sz w:val="24"/>
          <w:szCs w:val="24"/>
        </w:rPr>
      </w:pPr>
    </w:p>
    <w:p w14:paraId="4D284948" w14:textId="7BCEAA28"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The consequences of my decision-making approach were multifaceted. Firstly, the victim experienced a positive impact as she received immediate support and resources, empowering her to break the cycle of violence. Additionally, the incident likely contributed to enhanced trust in law enforcement within the community, encouraging others to report incidents and seek assistance. Moreover, the detailed and respectful documentation of the incident provides a strong basis for potential legal consequences for the perpetrator, ensuring accountability for their actions. Overall, my decisions, rooted in empathy, ethics, and legal considerations, led to positive outcomes for the victim, reinforced community trust, and emphasised the importance of a compassionate and ethical approach in handling sensitive situations. </w:t>
      </w:r>
    </w:p>
    <w:p w14:paraId="20CC2AA6" w14:textId="5CD07C82"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23C54CDB" w14:textId="7049EC8E"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conclusion, my experience in handling the domestic violence incident, demonstrates the critical importance of integrating the principles from the Relevant areas of the National Policing Curriculum: Decision-making and Discretion, Vulnerability and Risk, and Public Protection. I, as a law enforcement officer, was better prepared to navigate </w:t>
      </w:r>
      <w:r w:rsidRPr="3062587F">
        <w:rPr>
          <w:rFonts w:eastAsia="Arial"/>
          <w:color w:val="auto"/>
          <w:sz w:val="24"/>
          <w:szCs w:val="24"/>
        </w:rPr>
        <w:lastRenderedPageBreak/>
        <w:t xml:space="preserve">the intricate social, cultural, and legislative landscapes associated with domestic violence cases due to this training. </w:t>
      </w:r>
    </w:p>
    <w:p w14:paraId="2538DF36" w14:textId="072BC42B"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The National Policing Curriculum places a strong emphasis on Decision-making and Discretion, equipping me with the skills necessary to assess situations rapidly and make ethical, informed decisions. This aspect was evident in the described scenario, where my careful judgment and tactful communication were pivotal in de-escalating the volatile situation and ensuring the safety of the individuals involved.  Additionally, the curriculum's focus on Vulnerability and Risk ensured that I could identify and address the unique needs of vulnerable individuals, such as victims of domestic violence. Recognising these vulnerabilities and assessing risks dynamically allowed me to tailor my response, offering appropriate support and interventions. Furthermore, my commitment to Public Protection, a core component of the curriculum, was reflected in the proactive and collaborative approach taken in the scenario. Engaging community resources, such as domestic violence counsellors, and providing victims with information about available support services exemplified the curriculum's emphasis on safeguarding the public and preventing harm. </w:t>
      </w:r>
    </w:p>
    <w:p w14:paraId="68C1D71D" w14:textId="7C29062D" w:rsidR="00AA666E"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By integrating the principles from the National Policing Curriculum into real-life situations, I, as a law enforcement officer, can enhance my responses to domestic violence incidents. This integration ensures not only adherence to legal frameworks but also the delivery of empathetic, culturally sensitive, and effective support.  </w:t>
      </w:r>
    </w:p>
    <w:p w14:paraId="6A73DBDF" w14:textId="12A2AF01" w:rsidR="00AA666E" w:rsidRPr="00270EEB" w:rsidRDefault="00AA666E" w:rsidP="3062587F">
      <w:pPr>
        <w:ind w:right="237"/>
        <w:jc w:val="both"/>
        <w:rPr>
          <w:rFonts w:eastAsia="Arial"/>
          <w:sz w:val="24"/>
          <w:szCs w:val="24"/>
        </w:rPr>
      </w:pPr>
    </w:p>
    <w:p w14:paraId="79C6F38B" w14:textId="16DCC4F0" w:rsidR="00AA666E" w:rsidRPr="00270EEB" w:rsidRDefault="3062587F" w:rsidP="3062587F">
      <w:pPr>
        <w:ind w:right="237"/>
        <w:jc w:val="both"/>
        <w:rPr>
          <w:rFonts w:eastAsia="Arial"/>
          <w:sz w:val="24"/>
          <w:szCs w:val="24"/>
        </w:rPr>
      </w:pPr>
      <w:r w:rsidRPr="3062587F">
        <w:rPr>
          <w:rFonts w:eastAsia="Arial"/>
          <w:sz w:val="24"/>
          <w:szCs w:val="24"/>
        </w:rPr>
        <w:t>Word Count: 1721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1874CBE" w:rsidR="00711A70" w:rsidRPr="00450C83" w:rsidRDefault="3062587F" w:rsidP="3062587F">
      <w:pPr>
        <w:ind w:right="237"/>
        <w:jc w:val="both"/>
        <w:rPr>
          <w:b/>
          <w:bCs/>
          <w:sz w:val="24"/>
          <w:szCs w:val="24"/>
        </w:rPr>
      </w:pPr>
      <w:r w:rsidRPr="3062587F">
        <w:rPr>
          <w:b/>
          <w:bCs/>
          <w:sz w:val="24"/>
          <w:szCs w:val="24"/>
        </w:rPr>
        <w:t xml:space="preserve">ANSWER: </w:t>
      </w:r>
    </w:p>
    <w:p w14:paraId="0D686B10" w14:textId="313001DB"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Effective teamwork and cohesion are vital in the realm of law enforcement, where high-pressure situations and complex challenges are the norm (</w:t>
      </w:r>
      <w:r w:rsidRPr="3062587F">
        <w:rPr>
          <w:rFonts w:eastAsia="Arial"/>
          <w:color w:val="auto"/>
          <w:sz w:val="24"/>
          <w:szCs w:val="24"/>
          <w:lang w:val="en-US"/>
        </w:rPr>
        <w:t>Miller and Rayner, 2012)</w:t>
      </w:r>
      <w:r w:rsidRPr="3062587F">
        <w:rPr>
          <w:rFonts w:eastAsia="Arial"/>
          <w:color w:val="auto"/>
          <w:sz w:val="24"/>
          <w:szCs w:val="24"/>
        </w:rPr>
        <w:t>. In the context of policing, several factors can impede team functionality. Communication breakdowns, especially in critical moments, can obstruct decision-making and coordination among team members (</w:t>
      </w:r>
      <w:proofErr w:type="spellStart"/>
      <w:r w:rsidRPr="3062587F">
        <w:rPr>
          <w:rFonts w:eastAsia="Arial"/>
          <w:color w:val="auto"/>
          <w:sz w:val="24"/>
          <w:szCs w:val="24"/>
        </w:rPr>
        <w:t>Palttala</w:t>
      </w:r>
      <w:proofErr w:type="spellEnd"/>
      <w:r w:rsidRPr="3062587F">
        <w:rPr>
          <w:rFonts w:eastAsia="Arial"/>
          <w:color w:val="auto"/>
          <w:sz w:val="24"/>
          <w:szCs w:val="24"/>
        </w:rPr>
        <w:t xml:space="preserve"> </w:t>
      </w:r>
      <w:r w:rsidRPr="3062587F">
        <w:rPr>
          <w:rFonts w:eastAsia="Arial"/>
          <w:i/>
          <w:iCs/>
          <w:color w:val="auto"/>
          <w:sz w:val="24"/>
          <w:szCs w:val="24"/>
        </w:rPr>
        <w:t>et al.</w:t>
      </w:r>
      <w:r w:rsidRPr="3062587F">
        <w:rPr>
          <w:rFonts w:eastAsia="Arial"/>
          <w:color w:val="auto"/>
          <w:sz w:val="24"/>
          <w:szCs w:val="24"/>
        </w:rPr>
        <w:t>, 2011). Additionally, hierarchical structures within police departments might hinder open dialogue, leading to a lack of trust between team members and their leaders. Moreover, the inherent stress and trauma associated with police work can significantly affect emotional well-being and interactions within the team. Resistance to change, often seen in traditional policing methods conflicting with innovative approaches, can further strain team dynamics (Crank, 2014).</w:t>
      </w:r>
    </w:p>
    <w:p w14:paraId="743E8E71" w14:textId="4C34BD4B"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 xml:space="preserve">To address these challenges, various theories and models relating to team dynamics prove invaluable in the context of law enforcement. Transformational Leadership Theory (Burns, 1978) stands out, emphasising the role of leaders in inspiring and motivating teams, thereby fostering trust and cohesion. Shared mental models are crucial in police work, enabling officers to develop a shared understanding that facilitates seamless collaboration and decision-making under pressure. Situational </w:t>
      </w:r>
      <w:r w:rsidRPr="3062587F">
        <w:rPr>
          <w:rFonts w:eastAsia="Arial"/>
          <w:color w:val="auto"/>
          <w:sz w:val="24"/>
          <w:szCs w:val="24"/>
        </w:rPr>
        <w:lastRenderedPageBreak/>
        <w:t xml:space="preserve">Leadership Theory (Blank, </w:t>
      </w:r>
      <w:proofErr w:type="spellStart"/>
      <w:r w:rsidRPr="3062587F">
        <w:rPr>
          <w:rFonts w:eastAsia="Arial"/>
          <w:color w:val="auto"/>
          <w:sz w:val="24"/>
          <w:szCs w:val="24"/>
        </w:rPr>
        <w:t>Wietzel</w:t>
      </w:r>
      <w:proofErr w:type="spellEnd"/>
      <w:r w:rsidRPr="3062587F">
        <w:rPr>
          <w:rFonts w:eastAsia="Arial"/>
          <w:color w:val="auto"/>
          <w:sz w:val="24"/>
          <w:szCs w:val="24"/>
        </w:rPr>
        <w:t xml:space="preserve"> and Green, 1986) underscores the need for adaptable leadership styles, considering the dynamic and varied situations police officers face daily. Additionally, techniques such as Critical Incident Stress Debriefing (CISD) offer a structured approach to discussing traumatic incidents, promoting team cohesion and aiding emotional recovery. (Everly and Boyle, 1999). Implementing strategies to improve team cohesion within police work is essential. Continuous training in communication, conflict resolution, and de-escalation techniques enhances interpersonal skills among officers, contributing to smoother team interactions. Moreover, promoting emotional intelligence among officers helps them understand and manage emotions, fostering empathy and teamwork in high-stress situations. Engaging in community policing initiatives not only builds trust with the community but also positively influences police officers' perception of their role, enhancing internal team cohesion. Establishing peer support programs where officers can openly discuss work-related challenges reduces stress and promotes emotional well-being, fostering a sense of camaraderie. Lastly, promoting inclusivity and diversity within police teams brings varied perspectives, enhancing problem-solving abilities and overall cohesion. (Hersey, Blanchard and </w:t>
      </w:r>
      <w:proofErr w:type="spellStart"/>
      <w:r w:rsidRPr="3062587F">
        <w:rPr>
          <w:rFonts w:eastAsia="Arial"/>
          <w:color w:val="auto"/>
          <w:sz w:val="24"/>
          <w:szCs w:val="24"/>
        </w:rPr>
        <w:t>Natemeyer</w:t>
      </w:r>
      <w:proofErr w:type="spellEnd"/>
      <w:r w:rsidRPr="3062587F">
        <w:rPr>
          <w:rFonts w:eastAsia="Arial"/>
          <w:color w:val="auto"/>
          <w:sz w:val="24"/>
          <w:szCs w:val="24"/>
        </w:rPr>
        <w:t>, 2001).</w:t>
      </w:r>
    </w:p>
    <w:p w14:paraId="55E714D6" w14:textId="17A58BED"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In conclusion, understanding the unique challenges faced by law enforcement and employing relevant theories and models significantly contributes to enhancing team cohesion within the police force. By fostering adaptive leadership, promoting emotional intelligence, and embracing diverse perspectives, police organisations can create supportive environments where officers work cohesively (</w:t>
      </w:r>
      <w:proofErr w:type="spellStart"/>
      <w:r w:rsidRPr="3062587F">
        <w:rPr>
          <w:rFonts w:eastAsia="Arial"/>
          <w:color w:val="auto"/>
          <w:sz w:val="24"/>
          <w:szCs w:val="24"/>
        </w:rPr>
        <w:t>Ramchunder</w:t>
      </w:r>
      <w:proofErr w:type="spellEnd"/>
      <w:r w:rsidRPr="3062587F">
        <w:rPr>
          <w:rFonts w:eastAsia="Arial"/>
          <w:color w:val="auto"/>
          <w:sz w:val="24"/>
          <w:szCs w:val="24"/>
        </w:rPr>
        <w:t xml:space="preserve"> and Martins, 2014). These efforts not only improve internal team dynamics but also lead to more efficient and empathetic policing practices, ultimately benefiting both law enforcement agencies and the communities they serve.</w:t>
      </w:r>
    </w:p>
    <w:p w14:paraId="2CA24FA9" w14:textId="60837484"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 xml:space="preserve">Interpersonal conflicts within a team often stem from various sources, including breakdowns in communication, divergent goals, personality clashes, role ambiguities, and competing interests (Kim </w:t>
      </w:r>
      <w:r w:rsidRPr="3062587F">
        <w:rPr>
          <w:rFonts w:eastAsia="Arial"/>
          <w:i/>
          <w:iCs/>
          <w:color w:val="auto"/>
          <w:sz w:val="24"/>
          <w:szCs w:val="24"/>
        </w:rPr>
        <w:t>et al.</w:t>
      </w:r>
      <w:r w:rsidRPr="3062587F">
        <w:rPr>
          <w:rFonts w:eastAsia="Arial"/>
          <w:color w:val="auto"/>
          <w:sz w:val="24"/>
          <w:szCs w:val="24"/>
        </w:rPr>
        <w:t xml:space="preserve">, 2017). Communication differences and misunderstandings can escalate tensions, while conflicting objectives and unclear roles create confusion and discord among team members. Personalities and work styles that don't align can lead to friction, and overlapping responsibilities often result </w:t>
      </w:r>
      <w:r w:rsidRPr="3062587F">
        <w:rPr>
          <w:rFonts w:eastAsia="Arial"/>
          <w:color w:val="auto"/>
          <w:sz w:val="24"/>
          <w:szCs w:val="24"/>
        </w:rPr>
        <w:lastRenderedPageBreak/>
        <w:t>in disputes. Additionally, conflicts arising from individual interests and competition for resources further strain team relationships.</w:t>
      </w:r>
    </w:p>
    <w:p w14:paraId="177A34D8" w14:textId="52B2BDFB"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To address these challenges and enhance both individual and team performance, several strategies can be employed. Improving communication skills through workshops focused on active listening and assertiveness promotes clear and effective team communication. Establishing explicit team goals and individual roles helps align everyone toward a shared objective, reducing confusion and promoting cooperation. Team-building activities play a crucial role in building trust and mutual understanding, fostering a collaborative environment. Conflict resolution training equips team members with the skills necessary to handle conflicts constructively, leading to timely resolutions and reduced tension (College of Policing, 2020).</w:t>
      </w:r>
    </w:p>
    <w:p w14:paraId="0A901D74" w14:textId="7B664201"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Moreover, fostering an inclusive team culture that values diverse perspectives creates an environment where every member feels respected and heard (</w:t>
      </w:r>
      <w:proofErr w:type="spellStart"/>
      <w:r w:rsidRPr="3062587F">
        <w:rPr>
          <w:rFonts w:eastAsia="Arial"/>
          <w:color w:val="auto"/>
          <w:sz w:val="24"/>
          <w:szCs w:val="24"/>
          <w:lang w:val="en-US"/>
        </w:rPr>
        <w:t>Pless</w:t>
      </w:r>
      <w:proofErr w:type="spellEnd"/>
      <w:r w:rsidRPr="3062587F">
        <w:rPr>
          <w:rFonts w:eastAsia="Arial"/>
          <w:color w:val="auto"/>
          <w:sz w:val="24"/>
          <w:szCs w:val="24"/>
          <w:lang w:val="en-US"/>
        </w:rPr>
        <w:t xml:space="preserve"> and Maak, 2004)</w:t>
      </w:r>
      <w:r w:rsidRPr="3062587F">
        <w:rPr>
          <w:rFonts w:eastAsia="Arial"/>
          <w:color w:val="auto"/>
          <w:sz w:val="24"/>
          <w:szCs w:val="24"/>
        </w:rPr>
        <w:t>. Implementing regular feedback mechanisms encourages continuous improvement and growth, ensuring that conflicts are addressed promptly and constructively. Developing emotional intelligence among team members enhances their ability to manage interpersonal relationships effectively. Team leaders, equipped with mediation skills, can intervene in conflicts promptly, fostering an atmosphere of fairness and justice. Encouraging collaboration and knowledge sharing promotes a culture of learning, where team members exchange skills and best practices, strengthening the team's collective expertise.</w:t>
      </w:r>
    </w:p>
    <w:p w14:paraId="23E9F67E" w14:textId="2AEAF432"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t>In conclusion, understanding the root causes of interpersonal conflicts within a team is essential for implementing effective strategies. By focusing on clear communication, defined roles, teamwork, and a positive team culture, organisations can create a harmonious work environment (</w:t>
      </w:r>
      <w:r w:rsidRPr="3062587F">
        <w:rPr>
          <w:rFonts w:eastAsia="Arial"/>
          <w:color w:val="auto"/>
          <w:sz w:val="24"/>
          <w:szCs w:val="24"/>
          <w:lang w:val="en-US"/>
        </w:rPr>
        <w:t>Bandow, 2001)</w:t>
      </w:r>
      <w:r w:rsidRPr="3062587F">
        <w:rPr>
          <w:rFonts w:eastAsia="Arial"/>
          <w:color w:val="auto"/>
          <w:sz w:val="24"/>
          <w:szCs w:val="24"/>
        </w:rPr>
        <w:t>. These strategies not only resolve conflicts but also enhance teamwork, leading to improved productivity, job satisfaction, and overall organisational success. Embracing these approaches transforms conflicts into opportunities for growth, ultimately strengthening the team and the organisation.</w:t>
      </w:r>
    </w:p>
    <w:p w14:paraId="6B535B21" w14:textId="52C37A12" w:rsidR="3062587F" w:rsidRDefault="3062587F" w:rsidP="3062587F">
      <w:pPr>
        <w:spacing w:before="240" w:after="240" w:line="360" w:lineRule="auto"/>
        <w:jc w:val="both"/>
        <w:rPr>
          <w:rFonts w:eastAsia="Arial"/>
          <w:color w:val="auto"/>
          <w:sz w:val="24"/>
          <w:szCs w:val="24"/>
        </w:rPr>
      </w:pPr>
      <w:r w:rsidRPr="3062587F">
        <w:rPr>
          <w:rFonts w:eastAsia="Arial"/>
          <w:color w:val="auto"/>
          <w:sz w:val="24"/>
          <w:szCs w:val="24"/>
        </w:rPr>
        <w:lastRenderedPageBreak/>
        <w:t>Team dynamics within the police service can significantly impact an organisation's ability to comply with professional standards requirements such as the Code of Ethics, policies, procedures, protocols, or legislation (College of Policing, 2014). Several factors related to team dynamics can contribute to a failure to comply with these standards, such as lack of communication and information flow. Inadequate communication within police teams can lead to misunderstandings about professional standards and protocols. Important information about changes in policies or procedures might not be effectively disseminated, leading to unintentional non-compliance. Likewise, receiving inadequate training and little awareness programs related to professional standards can result in unintentional violations. Team members may not be aware of the specific requirements, leading to inadvertent non-compliance. There is also a risk of some team members resisting adapting to new standards or protocols. This resistance can stem from a fear of change, lack of understanding, or disagreement with the new standards. Resistance leads to non-compliance and compromises the organisation's adherence to professional standards. Leadership also plays a role in maintaining the professional standards. Poor leadership can result in a lack of clear direction and enforcement of professional standards. When leaders fail to set an example and uphold ethical conduct, team members may not prioritize compliance, leading to violations. Team members might face ethical dilemmas where adhering to professional standards conflicts with internal pressures or peer influences. In such situations, individuals might compromise standards to maintain group cohesion or avoid conflict. Also, low morale and lack of cohesion within a team can lead to apathy and indifference towards professional standards. A disengaged team is less likely to uphold ethical standards, follow protocols, or report violations within the organisation. Lastly, a lack of accountability, if team members are not held accountable for their actions, they might neglect professional standards. Without consequences for non-compliance, there is little motivation for individuals or teams to adhere to established standards and protocols.</w:t>
      </w:r>
    </w:p>
    <w:p w14:paraId="5E30D1B9" w14:textId="594E07EC" w:rsidR="3062587F" w:rsidRDefault="3062587F" w:rsidP="3062587F">
      <w:pPr>
        <w:spacing w:before="240" w:after="240"/>
        <w:jc w:val="both"/>
        <w:rPr>
          <w:rFonts w:ascii="Calibri" w:eastAsia="Calibri" w:hAnsi="Calibri" w:cs="Calibri"/>
          <w:color w:val="000000" w:themeColor="text1"/>
          <w:sz w:val="24"/>
          <w:szCs w:val="24"/>
        </w:rPr>
      </w:pPr>
      <w:r w:rsidRPr="3062587F">
        <w:rPr>
          <w:rFonts w:ascii="Calibri" w:eastAsia="Calibri" w:hAnsi="Calibri" w:cs="Calibri"/>
          <w:color w:val="000000" w:themeColor="text1"/>
          <w:sz w:val="24"/>
          <w:szCs w:val="24"/>
        </w:rPr>
        <w:t xml:space="preserve">Word Count: 1095 </w:t>
      </w:r>
    </w:p>
    <w:p w14:paraId="3A70F4AF" w14:textId="3689153E" w:rsidR="3062587F" w:rsidRDefault="3062587F" w:rsidP="3062587F">
      <w:pPr>
        <w:ind w:right="237"/>
        <w:jc w:val="both"/>
        <w:rPr>
          <w:b/>
          <w:bCs/>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23AE712" w:rsidR="003C458C" w:rsidRPr="00450C83" w:rsidRDefault="3062587F" w:rsidP="3062587F">
      <w:pPr>
        <w:ind w:right="237"/>
        <w:jc w:val="both"/>
        <w:rPr>
          <w:b/>
          <w:bCs/>
          <w:sz w:val="24"/>
          <w:szCs w:val="24"/>
        </w:rPr>
      </w:pPr>
      <w:r w:rsidRPr="3062587F">
        <w:rPr>
          <w:b/>
          <w:bCs/>
          <w:sz w:val="24"/>
          <w:szCs w:val="24"/>
        </w:rPr>
        <w:t xml:space="preserve">ANSWER: </w:t>
      </w:r>
    </w:p>
    <w:p w14:paraId="10C89CD3" w14:textId="7B74BC2A"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In the realm of effective policing against organised crime groups like 'county lines,' the strategic use of road policing is paramount (</w:t>
      </w:r>
      <w:r w:rsidRPr="3062587F">
        <w:rPr>
          <w:rFonts w:eastAsia="Arial"/>
          <w:color w:val="auto"/>
          <w:sz w:val="24"/>
          <w:szCs w:val="24"/>
          <w:lang w:val="en-US"/>
        </w:rPr>
        <w:t>Gottschalk, 2009)</w:t>
      </w:r>
      <w:r w:rsidRPr="3062587F">
        <w:rPr>
          <w:rFonts w:eastAsia="Arial"/>
          <w:color w:val="auto"/>
          <w:sz w:val="24"/>
          <w:szCs w:val="24"/>
        </w:rPr>
        <w:t xml:space="preserve">. Law enforcement agencies harness a wealth of gathered information and intelligence to disrupt these criminal networks. The data, derived from diverse sources such as informants, surveillance, and analysis of previous criminal activities, enables a comprehensive understanding of the networks' structure and activities. </w:t>
      </w:r>
    </w:p>
    <w:p w14:paraId="3F5C2DA7" w14:textId="7715E5C1"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Through meticulous intelligence analysis, law enforcement agencies identify key individuals and understand their communication methods and travel patterns. This insight informs targeted policing efforts on the roads. Trained officers conduct specific vehicle checks based on this intelligence, allowing for the interception of suspicious vehicles associated with 'county lines' activities. The ability to recognise subtle signs of criminal behaviour during routine stops, such as nervousness or inconsistent stories, equips officers with the skills necessary to identify potential criminal activities. Methods of how this can be achieved include information gathering via network mapping and communication monitoring, and intelligence analysis via social networks and travel patterns. </w:t>
      </w:r>
    </w:p>
    <w:p w14:paraId="2724C17C" w14:textId="418A95B5" w:rsidR="00025650" w:rsidRPr="00270EEB" w:rsidRDefault="00025650" w:rsidP="3062587F">
      <w:pPr>
        <w:spacing w:line="360" w:lineRule="auto"/>
        <w:jc w:val="both"/>
        <w:rPr>
          <w:rFonts w:eastAsia="Arial"/>
          <w:color w:val="auto"/>
          <w:sz w:val="24"/>
          <w:szCs w:val="24"/>
        </w:rPr>
      </w:pPr>
    </w:p>
    <w:p w14:paraId="0C998590" w14:textId="4D7516E9"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Information gathering via network mapping allows officers to gather information on known/suspected members of organised crime groups involved in ‘county lines’ (Manning, 2008). Intelligence can be obtained through informants, surveillance, and analysis of past cases. Monitoring communication includes the monitoring of phone </w:t>
      </w:r>
      <w:r w:rsidRPr="3062587F">
        <w:rPr>
          <w:rFonts w:eastAsia="Arial"/>
          <w:color w:val="auto"/>
          <w:sz w:val="24"/>
          <w:szCs w:val="24"/>
        </w:rPr>
        <w:lastRenderedPageBreak/>
        <w:t>calls, text messages, and online communications to identify patterns, locations, and individuals involved in coordinating 'county lines' activities. This includes tracking known phone numbers associated with these operations.</w:t>
      </w:r>
    </w:p>
    <w:p w14:paraId="765FAD35" w14:textId="1C58A79B" w:rsidR="00025650" w:rsidRPr="00270EEB" w:rsidRDefault="00025650" w:rsidP="3062587F">
      <w:pPr>
        <w:spacing w:line="360" w:lineRule="auto"/>
        <w:jc w:val="both"/>
        <w:rPr>
          <w:rFonts w:eastAsia="Arial"/>
          <w:color w:val="auto"/>
          <w:sz w:val="24"/>
          <w:szCs w:val="24"/>
        </w:rPr>
      </w:pPr>
    </w:p>
    <w:p w14:paraId="771AED03" w14:textId="1A287181"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Intelligence analysis via networks requires analysing social connections within and between different organised crime groups which aids understanding the hierarchy, identifying key players, and finding potential new leads for investigation (Coles, 2001). Studying the travel patterns of individuals involved in 'county lines' operations aids identifying common routes, transportation methods, and key locations where these individuals frequently travel.</w:t>
      </w:r>
    </w:p>
    <w:p w14:paraId="175330BD" w14:textId="34961F25"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426508BA" w14:textId="4324D879"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Collaboration with other law enforcement units is crucial. By sharing real-time intelligence and coordinating efforts, agencies optimise their responses. This collaborative approach extends to highway patrols, border control, and local police units, ensuring a unified front against organised crime (</w:t>
      </w:r>
      <w:proofErr w:type="spellStart"/>
      <w:r w:rsidRPr="3062587F">
        <w:rPr>
          <w:rFonts w:eastAsia="Arial"/>
          <w:color w:val="auto"/>
          <w:sz w:val="24"/>
          <w:szCs w:val="24"/>
          <w:lang w:val="en-US"/>
        </w:rPr>
        <w:t>Schaible</w:t>
      </w:r>
      <w:proofErr w:type="spellEnd"/>
      <w:r w:rsidRPr="3062587F">
        <w:rPr>
          <w:rFonts w:eastAsia="Arial"/>
          <w:color w:val="auto"/>
          <w:sz w:val="24"/>
          <w:szCs w:val="24"/>
          <w:lang w:val="en-US"/>
        </w:rPr>
        <w:t xml:space="preserve"> and Sheffield, 2012)</w:t>
      </w:r>
      <w:r w:rsidRPr="3062587F">
        <w:rPr>
          <w:rFonts w:eastAsia="Arial"/>
          <w:color w:val="auto"/>
          <w:sz w:val="24"/>
          <w:szCs w:val="24"/>
        </w:rPr>
        <w:t>. Community engagement serves as an additional layer of defence. Public awareness campaigns empower citizens to recognise and report suspicious activities related to 'county lines,' creating a robust network of vigilant community members (</w:t>
      </w:r>
      <w:r w:rsidRPr="3062587F">
        <w:rPr>
          <w:rFonts w:eastAsia="Arial"/>
          <w:color w:val="auto"/>
          <w:sz w:val="24"/>
          <w:szCs w:val="24"/>
          <w:lang w:val="en-US"/>
        </w:rPr>
        <w:t>Bradford, Jackson, and Stanko, 2009)</w:t>
      </w:r>
      <w:r w:rsidRPr="3062587F">
        <w:rPr>
          <w:rFonts w:eastAsia="Arial"/>
          <w:color w:val="auto"/>
          <w:sz w:val="24"/>
          <w:szCs w:val="24"/>
        </w:rPr>
        <w:t xml:space="preserve">. Proactive investigations play a significant role in disrupting these criminal operations. Undercover operations within 'county lines' networks provide critical intelligence. By infiltrating these groups, law enforcement gains </w:t>
      </w:r>
      <w:proofErr w:type="spellStart"/>
      <w:r w:rsidRPr="3062587F">
        <w:rPr>
          <w:rFonts w:eastAsia="Arial"/>
          <w:color w:val="auto"/>
          <w:sz w:val="24"/>
          <w:szCs w:val="24"/>
        </w:rPr>
        <w:t>firsthand</w:t>
      </w:r>
      <w:proofErr w:type="spellEnd"/>
      <w:r w:rsidRPr="3062587F">
        <w:rPr>
          <w:rFonts w:eastAsia="Arial"/>
          <w:color w:val="auto"/>
          <w:sz w:val="24"/>
          <w:szCs w:val="24"/>
        </w:rPr>
        <w:t xml:space="preserve"> insights, leading to key arrests and the dismantling of the criminal structure. Understanding the financial dynamics of these operations is equally important. Asset forfeiture, targeting assets acquired through illegal activities, weakens the financial foundation of organised crime groups, disrupting their ability to sustain operations. </w:t>
      </w:r>
    </w:p>
    <w:p w14:paraId="215365D4" w14:textId="55AF98B4" w:rsidR="00025650" w:rsidRPr="00270EEB" w:rsidRDefault="00025650" w:rsidP="3062587F">
      <w:pPr>
        <w:spacing w:line="360" w:lineRule="auto"/>
        <w:jc w:val="both"/>
        <w:rPr>
          <w:rFonts w:eastAsia="Arial"/>
          <w:color w:val="auto"/>
          <w:sz w:val="24"/>
          <w:szCs w:val="24"/>
        </w:rPr>
      </w:pPr>
    </w:p>
    <w:p w14:paraId="135E4667" w14:textId="4F81082D"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 essence, effective policing of the roads relies heavily on the intelligent use of information and collaborative efforts. By leveraging gathered intelligence to inform targeted vehicle checks, recognizing signs of criminal activity, fostering inter-agency collaboration, empowering communities, and conducting proactive investigations, law enforcement agencies significantly disrupt 'county lines' operations. This comprehensive strategy disrupts criminal operations, leads to arrests, and hampers </w:t>
      </w:r>
      <w:r w:rsidRPr="3062587F">
        <w:rPr>
          <w:rFonts w:eastAsia="Arial"/>
          <w:color w:val="auto"/>
          <w:sz w:val="24"/>
          <w:szCs w:val="24"/>
        </w:rPr>
        <w:lastRenderedPageBreak/>
        <w:t xml:space="preserve">the overall functioning of organized crime groups, safeguarding communities and ensuring a safer society.  </w:t>
      </w:r>
    </w:p>
    <w:p w14:paraId="122A7845" w14:textId="294F4FC3" w:rsidR="00025650" w:rsidRPr="00270EEB" w:rsidRDefault="00025650" w:rsidP="3062587F">
      <w:pPr>
        <w:spacing w:line="360" w:lineRule="auto"/>
        <w:jc w:val="both"/>
        <w:rPr>
          <w:rFonts w:eastAsia="Arial"/>
          <w:color w:val="auto"/>
          <w:sz w:val="24"/>
          <w:szCs w:val="24"/>
        </w:rPr>
      </w:pPr>
    </w:p>
    <w:p w14:paraId="2B721596" w14:textId="0AB91533"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technology serves as a powerful investigative resource, providing law enforcement with real-time and historical data that can be instrumental in disrupting criminal activities, mapping criminal networks, and enhancing overall public safety. By leveraging ANPR systems effectively, law enforcement agencies can improve their ability to investigate crimes, apprehend suspects, and contribute to a safer society.  </w:t>
      </w:r>
    </w:p>
    <w:p w14:paraId="1132088C" w14:textId="6FBCD744" w:rsidR="00025650" w:rsidRPr="00270EEB" w:rsidRDefault="00025650" w:rsidP="3062587F">
      <w:pPr>
        <w:spacing w:line="360" w:lineRule="auto"/>
        <w:jc w:val="both"/>
        <w:rPr>
          <w:rFonts w:eastAsia="Arial"/>
          <w:color w:val="auto"/>
          <w:sz w:val="24"/>
          <w:szCs w:val="24"/>
        </w:rPr>
      </w:pPr>
    </w:p>
    <w:p w14:paraId="5F3AAC27" w14:textId="2571235E"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Using Automatic Number Plate Recognition (ANPR) as an Investigative Tool:</w:t>
      </w:r>
      <w:r w:rsidRPr="3062587F">
        <w:rPr>
          <w:rFonts w:eastAsia="Arial"/>
          <w:color w:val="auto"/>
          <w:sz w:val="24"/>
          <w:szCs w:val="24"/>
        </w:rPr>
        <w:t xml:space="preserve"> </w:t>
      </w:r>
    </w:p>
    <w:p w14:paraId="7BF2FBF8" w14:textId="3DDA842C"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1. Data Collection:</w:t>
      </w:r>
      <w:r w:rsidRPr="3062587F">
        <w:rPr>
          <w:rFonts w:eastAsia="Arial"/>
          <w:color w:val="auto"/>
          <w:sz w:val="24"/>
          <w:szCs w:val="24"/>
        </w:rPr>
        <w:t xml:space="preserve"> </w:t>
      </w:r>
    </w:p>
    <w:p w14:paraId="1AC15FF4" w14:textId="2247FFB0"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systems play a crucial role in swiftly capturing license plate details of vehicles in motion. This technology enables instant data capture, including essential information from passing vehicles' license plates. Once collected, this data undergoes an automated processing system where it is meticulously cross-referenced with a multitude of databases. Through this seamless integration, the ANPR system efficiently identifies and extracts relevant vehicle information. This process has widespread applications, including law enforcement, toll collection, and parking management, making it an invaluable tool in enhancing overall security and operational efficiency. </w:t>
      </w:r>
    </w:p>
    <w:p w14:paraId="3399EB2F" w14:textId="707D7ACE"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systems have the capability to store historical data, creating a valuable database of past vehicle movements. These systems retain detailed records over time, offering a comprehensive overview of traffic patterns and individual vehicle activities. This stored data proves to be invaluable for law enforcement agencies, providing them with the means to access and analyse historical information. By scrutinising these records, law enforcement can identify patterns and establish potential links to criminal activities. This analytical approach aids in investigations and enhances the overall effectiveness of law enforcement efforts, ensuring a safer and more secure environment for communities. </w:t>
      </w:r>
    </w:p>
    <w:p w14:paraId="529653BC" w14:textId="55A53CE9" w:rsidR="00025650" w:rsidRPr="00270EEB" w:rsidRDefault="00025650" w:rsidP="3062587F">
      <w:pPr>
        <w:spacing w:line="360" w:lineRule="auto"/>
        <w:jc w:val="both"/>
        <w:rPr>
          <w:rFonts w:eastAsia="Arial"/>
          <w:b/>
          <w:bCs/>
          <w:color w:val="auto"/>
          <w:sz w:val="24"/>
          <w:szCs w:val="24"/>
        </w:rPr>
      </w:pPr>
    </w:p>
    <w:p w14:paraId="165D709E" w14:textId="6334FF03"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2. Crime Scene Analysis:</w:t>
      </w:r>
      <w:r w:rsidRPr="3062587F">
        <w:rPr>
          <w:rFonts w:eastAsia="Arial"/>
          <w:color w:val="auto"/>
          <w:sz w:val="24"/>
          <w:szCs w:val="24"/>
        </w:rPr>
        <w:t xml:space="preserve"> </w:t>
      </w:r>
    </w:p>
    <w:p w14:paraId="2D674AE5" w14:textId="30AFF5B5"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data proves instrumental in identifying vehicles in proximity to crime scenes. Investigators leverage this data by cross-referencing it with other databases, enabling them to pinpoint potential suspects or witnesses linked to specific incidents. This </w:t>
      </w:r>
      <w:r w:rsidRPr="3062587F">
        <w:rPr>
          <w:rFonts w:eastAsia="Arial"/>
          <w:color w:val="auto"/>
          <w:sz w:val="24"/>
          <w:szCs w:val="24"/>
        </w:rPr>
        <w:lastRenderedPageBreak/>
        <w:t xml:space="preserve">methodical cross-referencing enhances law enforcement's ability to narrow down their focus and gather relevant leads, facilitating a more efficient investigative process. </w:t>
      </w:r>
    </w:p>
    <w:p w14:paraId="150CE77D" w14:textId="688319FD" w:rsidR="00025650" w:rsidRPr="00270EEB" w:rsidRDefault="3062587F" w:rsidP="3062587F">
      <w:pPr>
        <w:spacing w:line="360" w:lineRule="auto"/>
        <w:jc w:val="both"/>
        <w:rPr>
          <w:rFonts w:eastAsia="Arial"/>
          <w:b/>
          <w:bCs/>
          <w:color w:val="auto"/>
          <w:sz w:val="24"/>
          <w:szCs w:val="24"/>
        </w:rPr>
      </w:pPr>
      <w:r w:rsidRPr="3062587F">
        <w:rPr>
          <w:rFonts w:eastAsia="Arial"/>
          <w:color w:val="auto"/>
          <w:sz w:val="24"/>
          <w:szCs w:val="24"/>
        </w:rPr>
        <w:t xml:space="preserve">ANPR records play a vital role in validating alibis presented during criminal investigations. Investigators can confirm or disprove a suspect's alibi by verifying their vehicle's presence at a specific location and time relevant to the crime. This verification process is crucial in establishing the credibility of alibis, providing law enforcement with concrete evidence to support or challenge the statements made by the individuals involved. As a result, ANPR technology enhances the accuracy of investigations and ensures a more thorough examination of suspects' claims. </w:t>
      </w:r>
      <w:r w:rsidRPr="3062587F">
        <w:rPr>
          <w:rFonts w:eastAsia="Arial"/>
          <w:b/>
          <w:bCs/>
          <w:color w:val="auto"/>
          <w:sz w:val="24"/>
          <w:szCs w:val="24"/>
        </w:rPr>
        <w:t xml:space="preserve"> </w:t>
      </w:r>
    </w:p>
    <w:p w14:paraId="40F09468" w14:textId="4FF6EBB9" w:rsidR="00025650" w:rsidRPr="00270EEB" w:rsidRDefault="3062587F" w:rsidP="3062587F">
      <w:pPr>
        <w:spacing w:line="360" w:lineRule="auto"/>
        <w:jc w:val="both"/>
        <w:rPr>
          <w:rFonts w:eastAsia="Arial"/>
          <w:b/>
          <w:bCs/>
          <w:color w:val="auto"/>
          <w:sz w:val="24"/>
          <w:szCs w:val="24"/>
        </w:rPr>
      </w:pPr>
      <w:r w:rsidRPr="3062587F">
        <w:rPr>
          <w:rFonts w:eastAsia="Arial"/>
          <w:b/>
          <w:bCs/>
          <w:color w:val="auto"/>
          <w:sz w:val="24"/>
          <w:szCs w:val="24"/>
        </w:rPr>
        <w:t xml:space="preserve"> </w:t>
      </w:r>
    </w:p>
    <w:p w14:paraId="5712FB60" w14:textId="46D4054D"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3. Targeted Policing:</w:t>
      </w:r>
      <w:r w:rsidRPr="3062587F">
        <w:rPr>
          <w:rFonts w:eastAsia="Arial"/>
          <w:color w:val="auto"/>
          <w:sz w:val="24"/>
          <w:szCs w:val="24"/>
        </w:rPr>
        <w:t xml:space="preserve"> </w:t>
      </w:r>
    </w:p>
    <w:p w14:paraId="5E4EE333" w14:textId="0C32B9EC"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Integrated ANPR systems are equipped with alert mechanisms that trigger instant notifications when a vehicle of interest is detected. This rapid response mechanism significantly improves the likelihood of intercepting suspects or recovering stolen vehicles. By providing real-time alerts, law enforcement agencies can swiftly deploy resources to apprehend individuals involved in criminal activities. The timely nature of these alerts is critical in preventing crimes and ensuring a proactive approach to law enforcement. </w:t>
      </w:r>
    </w:p>
    <w:p w14:paraId="3F167BEB" w14:textId="4ABA351B"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Law enforcement agencies strategically position ANPR systems in high-risk areas or routes frequented by criminals. By concentrating their efforts in these crime-prone zones, ANPR technology aids in identifying and apprehending individuals involved in unlawful activities. The proactive placement of ANPR systems serves as a deterrent to criminals, as they are aware of the increased surveillance in these high-risk areas. This strategic approach not only enhances public safety but also disrupts criminal operations, making communities more secure. </w:t>
      </w:r>
    </w:p>
    <w:p w14:paraId="320BAEF9" w14:textId="1DC6CBF3" w:rsidR="00025650" w:rsidRPr="00270EEB" w:rsidRDefault="00025650" w:rsidP="3062587F">
      <w:pPr>
        <w:spacing w:line="360" w:lineRule="auto"/>
        <w:jc w:val="both"/>
        <w:rPr>
          <w:rFonts w:eastAsia="Arial"/>
          <w:color w:val="auto"/>
          <w:sz w:val="24"/>
          <w:szCs w:val="24"/>
        </w:rPr>
      </w:pPr>
      <w:r>
        <w:br/>
      </w:r>
      <w:r w:rsidR="3062587F" w:rsidRPr="3062587F">
        <w:rPr>
          <w:rFonts w:eastAsia="Arial"/>
          <w:b/>
          <w:bCs/>
          <w:color w:val="auto"/>
          <w:sz w:val="24"/>
          <w:szCs w:val="24"/>
        </w:rPr>
        <w:t>4. Investigating Organized Crime:</w:t>
      </w:r>
      <w:r w:rsidR="3062587F" w:rsidRPr="3062587F">
        <w:rPr>
          <w:rFonts w:eastAsia="Arial"/>
          <w:color w:val="auto"/>
          <w:sz w:val="24"/>
          <w:szCs w:val="24"/>
        </w:rPr>
        <w:t xml:space="preserve"> </w:t>
      </w:r>
    </w:p>
    <w:p w14:paraId="62C92030" w14:textId="1416A586"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By tracing the movements of vehicles associated with organised crime, law enforcement can analyse travel patterns and identify common locations. This provides valuable insights into the structures and activities of criminal networks. By understanding how these vehicles move and where they converge, law enforcement agencies gain critical intelligence, allowing them to take targeted actions against criminal organisations, ultimately enhancing community safety. </w:t>
      </w:r>
    </w:p>
    <w:p w14:paraId="74E48EC7" w14:textId="6EBBB657"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lastRenderedPageBreak/>
        <w:t xml:space="preserve">By tracking vehicles involved in these illicit activities, law enforcement can monitor routes and identify associated vehicles. This detailed tracking not only helps in understanding the method of these operations but also enables authorities to disrupt the drug supply chain. Law enforcement agencies can strategically intervene, apprehending key individuals involved in 'county lines' operations and dismantling the networks responsible for the distribution of illegal substances. ANPR technology thus plays a pivotal role in curbing drug-related crimes and ensuring the safety and well-being of communities. </w:t>
      </w:r>
    </w:p>
    <w:p w14:paraId="28BD195C" w14:textId="6B16B24F"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6AC8E954" w14:textId="714EB840"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5. Missing Persons and Amber Alerts:</w:t>
      </w:r>
      <w:r w:rsidRPr="3062587F">
        <w:rPr>
          <w:rFonts w:eastAsia="Arial"/>
          <w:color w:val="auto"/>
          <w:sz w:val="24"/>
          <w:szCs w:val="24"/>
        </w:rPr>
        <w:t xml:space="preserve"> </w:t>
      </w:r>
    </w:p>
    <w:p w14:paraId="1453E7B6" w14:textId="264A882C"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Law enforcement agencies can efficiently utilize ANPR data to aid in the recovery of stolen vehicles or locating missing individuals. By cross-referencing the captured license plate details with the database, authorities can quickly identify vehicles associated with missing persons or criminal activities. This swift identification enhances the chances of successful recovery, ensuring the safety and security of both the vehicle and the individuals involved. </w:t>
      </w:r>
    </w:p>
    <w:p w14:paraId="511F354A" w14:textId="10C073CD"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systems significantly contribute to Amber Alerts, especially in cases of child abductions. By actively tracking vehicles involved in such incidents, ANPR technology increases the likelihood of swiftly locating and rescuing abducted children. The rapid identification and monitoring of these vehicles enable law enforcement to respond promptly, deploying resources to the precise locations where the abductors and victims might be. This quick response is crucial in ensuring the safe return of abducted children and plays a pivotal role in safeguarding vulnerable individuals in society. </w:t>
      </w:r>
    </w:p>
    <w:p w14:paraId="34AF8BE3" w14:textId="1E33DD32" w:rsidR="00025650" w:rsidRPr="00270EEB" w:rsidRDefault="00025650" w:rsidP="3062587F">
      <w:pPr>
        <w:spacing w:line="360" w:lineRule="auto"/>
        <w:jc w:val="both"/>
        <w:rPr>
          <w:rFonts w:eastAsia="Arial"/>
          <w:color w:val="auto"/>
          <w:sz w:val="24"/>
          <w:szCs w:val="24"/>
        </w:rPr>
      </w:pPr>
      <w:r>
        <w:br/>
      </w:r>
      <w:r w:rsidR="3062587F" w:rsidRPr="3062587F">
        <w:rPr>
          <w:rFonts w:eastAsia="Arial"/>
          <w:b/>
          <w:bCs/>
          <w:color w:val="auto"/>
          <w:sz w:val="24"/>
          <w:szCs w:val="24"/>
        </w:rPr>
        <w:t>6. Forensic Investigations:</w:t>
      </w:r>
      <w:r w:rsidR="3062587F" w:rsidRPr="3062587F">
        <w:rPr>
          <w:rFonts w:eastAsia="Arial"/>
          <w:color w:val="auto"/>
          <w:sz w:val="24"/>
          <w:szCs w:val="24"/>
        </w:rPr>
        <w:t xml:space="preserve"> </w:t>
      </w:r>
    </w:p>
    <w:p w14:paraId="548BD386" w14:textId="328776D9"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The detailed records of a vehicle's presence at specific times and locations are invaluable in establishing timelines and connections in criminal cases. In court, law enforcement agencies can provide compelling evidence that strengthens their case. This information serves as a crucial component in building a comprehensive and accurate narrative, aiding prosecutors and investigators in establishing the sequence of events and the involvement of individuals in criminal activities. ANPR data serves as a reliable means to corroborate witness accounts. By validating witness statements, law enforcement gains additional evidence to reinforce the credibility of witnesses in court. This corroboration strengthens the prosecution's case, offering tangible </w:t>
      </w:r>
      <w:r w:rsidRPr="3062587F">
        <w:rPr>
          <w:rFonts w:eastAsia="Arial"/>
          <w:color w:val="auto"/>
          <w:sz w:val="24"/>
          <w:szCs w:val="24"/>
        </w:rPr>
        <w:lastRenderedPageBreak/>
        <w:t xml:space="preserve">evidence that aligns with witness testimonies. The ability to substantiate witness statements with concrete data enhances the overall reliability of the case presented in court, ensuring a more robust legal argument and increasing the likelihood of a just outcome in criminal trials. </w:t>
      </w:r>
    </w:p>
    <w:p w14:paraId="46A610EE" w14:textId="03034839"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441A414D" w14:textId="145AC965" w:rsidR="00025650" w:rsidRPr="00270EEB" w:rsidRDefault="3062587F" w:rsidP="3062587F">
      <w:pPr>
        <w:spacing w:line="360" w:lineRule="auto"/>
        <w:jc w:val="both"/>
        <w:rPr>
          <w:rFonts w:eastAsia="Arial"/>
          <w:color w:val="auto"/>
          <w:sz w:val="24"/>
          <w:szCs w:val="24"/>
        </w:rPr>
      </w:pPr>
      <w:r w:rsidRPr="3062587F">
        <w:rPr>
          <w:rFonts w:eastAsia="Arial"/>
          <w:b/>
          <w:bCs/>
          <w:color w:val="auto"/>
          <w:sz w:val="24"/>
          <w:szCs w:val="24"/>
        </w:rPr>
        <w:t>7. International Collaboration:</w:t>
      </w:r>
      <w:r w:rsidRPr="3062587F">
        <w:rPr>
          <w:rFonts w:eastAsia="Arial"/>
          <w:color w:val="auto"/>
          <w:sz w:val="24"/>
          <w:szCs w:val="24"/>
        </w:rPr>
        <w:t xml:space="preserve"> </w:t>
      </w:r>
    </w:p>
    <w:p w14:paraId="3F594F28" w14:textId="0C729B81"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ANPR data can be shared internationally, fostering essential cooperation between law enforcement agencies across borders. This collaboration is particularly vital in cases involving transnational crimes such as human trafficking, drug smuggling, or terrorism. By sharing data, countries can enhance their collective efforts to combat these global challenges. The seamless exchange of information allows law enforcement agencies from different nations to identify and track suspect vehicles as they cross international boundaries. This collaborative approach not only facilitates the apprehension of individuals involved in criminal activities but also helps dismantle criminal networks that operate across multiple countries. ANPR technology serves as a powerful tool in promoting global security and ensuring the swift and coordinated response of international law enforcement agencies to combat cross-border crimes effectively. </w:t>
      </w:r>
    </w:p>
    <w:p w14:paraId="22167C88" w14:textId="05EB4C83" w:rsidR="00025650" w:rsidRPr="00270EEB" w:rsidRDefault="00025650" w:rsidP="3062587F">
      <w:pPr>
        <w:spacing w:line="360" w:lineRule="auto"/>
        <w:jc w:val="both"/>
        <w:rPr>
          <w:rFonts w:eastAsia="Arial"/>
          <w:color w:val="auto"/>
          <w:sz w:val="24"/>
          <w:szCs w:val="24"/>
        </w:rPr>
      </w:pPr>
      <w:r>
        <w:br/>
      </w:r>
      <w:r w:rsidR="3062587F" w:rsidRPr="3062587F">
        <w:rPr>
          <w:rFonts w:eastAsia="Arial"/>
          <w:color w:val="auto"/>
          <w:sz w:val="24"/>
          <w:szCs w:val="24"/>
        </w:rPr>
        <w:t xml:space="preserve"> </w:t>
      </w:r>
    </w:p>
    <w:p w14:paraId="53FE9EB4" w14:textId="2A717446"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While ANPR technology offers significant benefits in law enforcement, there are also notable downsides. For example, ANPR systems can generate false positives, misidentifying license plates due to various factors like bad lighting, poor image quality, or similar-looking characters. Incorrect identifications can lead to wrongful detentions or investigations. Also, if ANPR databases are not regularly updated, they might contain outdated or incorrect information, leading to law enforcement actions against innocent vehicle owners. </w:t>
      </w:r>
    </w:p>
    <w:p w14:paraId="07FE00C4" w14:textId="2148190D" w:rsidR="00025650" w:rsidRPr="00270EEB" w:rsidRDefault="3062587F" w:rsidP="3062587F">
      <w:pPr>
        <w:spacing w:line="360" w:lineRule="auto"/>
        <w:jc w:val="both"/>
        <w:rPr>
          <w:rFonts w:eastAsia="Arial"/>
          <w:color w:val="auto"/>
          <w:sz w:val="24"/>
          <w:szCs w:val="24"/>
        </w:rPr>
      </w:pPr>
      <w:r w:rsidRPr="3062587F">
        <w:rPr>
          <w:rFonts w:eastAsia="Arial"/>
          <w:color w:val="auto"/>
          <w:sz w:val="24"/>
          <w:szCs w:val="24"/>
        </w:rPr>
        <w:t xml:space="preserve"> </w:t>
      </w:r>
    </w:p>
    <w:p w14:paraId="270466BE" w14:textId="3772693B" w:rsidR="00025650" w:rsidRPr="00270EEB" w:rsidRDefault="3062587F" w:rsidP="3062587F">
      <w:pPr>
        <w:spacing w:line="360" w:lineRule="auto"/>
        <w:jc w:val="both"/>
        <w:rPr>
          <w:rFonts w:eastAsia="Arial"/>
          <w:color w:val="000000" w:themeColor="text1"/>
          <w:sz w:val="24"/>
          <w:szCs w:val="24"/>
        </w:rPr>
      </w:pPr>
      <w:r w:rsidRPr="3062587F">
        <w:rPr>
          <w:rFonts w:eastAsia="Arial"/>
          <w:color w:val="auto"/>
          <w:sz w:val="24"/>
          <w:szCs w:val="24"/>
        </w:rPr>
        <w:t xml:space="preserve">Overall, ANPR technology plays a pivotal role in the fight against 'county lines' operations on roads. By capturing real-time license plate data and cross-referencing it with criminal databases, law enforcement agencies can swiftly identify, and track vehicles linked to 'county lines' activities. ANPR facilitates targeted surveillance in hotspots, aids in correlating incidents, maps out criminal networks, and enables rapid responses. Its seamless integration across law enforcement agencies ensures coordinated efforts, leading to effective disruption of 'county lines' activities. Through </w:t>
      </w:r>
      <w:r w:rsidRPr="3062587F">
        <w:rPr>
          <w:rFonts w:eastAsia="Arial"/>
          <w:color w:val="auto"/>
          <w:sz w:val="24"/>
          <w:szCs w:val="24"/>
        </w:rPr>
        <w:lastRenderedPageBreak/>
        <w:t>strategic ANPR utilisation, law enforcement achieves proactive interventions, targeted apprehensions, and ultimately, safer roads and communities.</w:t>
      </w:r>
    </w:p>
    <w:p w14:paraId="4C50E184" w14:textId="322F1693" w:rsidR="00025650" w:rsidRPr="00270EEB" w:rsidRDefault="00025650" w:rsidP="3062587F">
      <w:pPr>
        <w:ind w:right="237"/>
        <w:jc w:val="both"/>
        <w:rPr>
          <w:rFonts w:eastAsia="Arial"/>
          <w:sz w:val="24"/>
          <w:szCs w:val="24"/>
        </w:rPr>
      </w:pPr>
    </w:p>
    <w:p w14:paraId="23E2CEA3" w14:textId="32754E47" w:rsidR="3062587F" w:rsidRDefault="3062587F" w:rsidP="3062587F">
      <w:pPr>
        <w:ind w:right="237"/>
        <w:jc w:val="both"/>
        <w:rPr>
          <w:rFonts w:eastAsia="Arial"/>
          <w:sz w:val="24"/>
          <w:szCs w:val="24"/>
        </w:rPr>
      </w:pPr>
      <w:r w:rsidRPr="3062587F">
        <w:rPr>
          <w:rFonts w:eastAsia="Arial"/>
          <w:sz w:val="24"/>
          <w:szCs w:val="24"/>
        </w:rPr>
        <w:t>Word Count: 1810</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3062587F">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3062587F">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BB4DD9" w14:textId="307A337B"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5-7 </w:t>
            </w:r>
          </w:p>
          <w:p w14:paraId="048228DD" w14:textId="30A2E061" w:rsidR="00FE5420" w:rsidRPr="00FE5420" w:rsidRDefault="00FE5420" w:rsidP="3062587F">
            <w:pPr>
              <w:overflowPunct/>
              <w:autoSpaceDE/>
              <w:autoSpaceDN/>
              <w:adjustRightInd/>
              <w:rPr>
                <w:sz w:val="22"/>
                <w:szCs w:val="22"/>
                <w:lang w:eastAsia="zh-TW"/>
              </w:rPr>
            </w:pPr>
          </w:p>
          <w:p w14:paraId="4F4734CC" w14:textId="167E3AFB" w:rsidR="00FE5420" w:rsidRPr="00FE5420" w:rsidRDefault="3062587F" w:rsidP="3062587F">
            <w:pPr>
              <w:overflowPunct/>
              <w:autoSpaceDE/>
              <w:autoSpaceDN/>
              <w:adjustRightInd/>
              <w:rPr>
                <w:sz w:val="22"/>
                <w:szCs w:val="22"/>
                <w:lang w:eastAsia="zh-TW"/>
              </w:rPr>
            </w:pPr>
            <w:r w:rsidRPr="3062587F">
              <w:rPr>
                <w:sz w:val="22"/>
                <w:szCs w:val="22"/>
                <w:lang w:eastAsia="zh-TW"/>
              </w:rPr>
              <w:t>YES</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2F36190" w14:textId="2D1C5721"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1-4 </w:t>
            </w:r>
          </w:p>
          <w:p w14:paraId="303B7053" w14:textId="5D214084" w:rsidR="00FE5420" w:rsidRPr="00FE5420" w:rsidRDefault="00FE5420" w:rsidP="3062587F">
            <w:pPr>
              <w:overflowPunct/>
              <w:autoSpaceDE/>
              <w:autoSpaceDN/>
              <w:adjustRightInd/>
              <w:rPr>
                <w:sz w:val="22"/>
                <w:szCs w:val="22"/>
                <w:lang w:eastAsia="zh-TW"/>
              </w:rPr>
            </w:pPr>
          </w:p>
          <w:p w14:paraId="34DF0630" w14:textId="382F491C" w:rsidR="00FE5420" w:rsidRPr="00FE5420" w:rsidRDefault="3062587F" w:rsidP="3062587F">
            <w:pPr>
              <w:overflowPunct/>
              <w:autoSpaceDE/>
              <w:autoSpaceDN/>
              <w:adjustRightInd/>
              <w:rPr>
                <w:sz w:val="22"/>
                <w:szCs w:val="22"/>
                <w:lang w:eastAsia="zh-TW"/>
              </w:rPr>
            </w:pPr>
            <w:r w:rsidRPr="3062587F">
              <w:rPr>
                <w:sz w:val="22"/>
                <w:szCs w:val="22"/>
                <w:lang w:eastAsia="zh-TW"/>
              </w:rPr>
              <w:t>YES</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912653F" w:rsidR="00FE5420" w:rsidRPr="00FE5420" w:rsidRDefault="3062587F" w:rsidP="3062587F">
            <w:pPr>
              <w:overflowPunct/>
              <w:autoSpaceDE/>
              <w:autoSpaceDN/>
              <w:adjustRightInd/>
              <w:spacing w:line="360" w:lineRule="auto"/>
              <w:rPr>
                <w:rFonts w:ascii="Times New Roman" w:hAnsi="Times New Roman" w:cs="Times New Roman"/>
                <w:sz w:val="24"/>
                <w:szCs w:val="24"/>
                <w:lang w:eastAsia="zh-TW"/>
              </w:rPr>
            </w:pPr>
            <w:r w:rsidRPr="3062587F">
              <w:rPr>
                <w:sz w:val="22"/>
                <w:szCs w:val="22"/>
                <w:lang w:eastAsia="zh-TW"/>
              </w:rPr>
              <w:t> </w:t>
            </w:r>
            <w:r w:rsidRPr="3062587F">
              <w:rPr>
                <w:rFonts w:ascii="Calibri" w:eastAsia="Calibri" w:hAnsi="Calibri" w:cs="Calibri"/>
                <w:color w:val="auto"/>
                <w:sz w:val="24"/>
                <w:szCs w:val="24"/>
              </w:rPr>
              <w:t xml:space="preserve">I firmly believe that knowledge in policing is deeply intertwined with experience. While a response policing role provides foundational understanding, there are intricate facets of law enforcement that often remain unexplored. These uncharted </w:t>
            </w:r>
            <w:r w:rsidRPr="3062587F">
              <w:rPr>
                <w:rFonts w:ascii="Calibri" w:eastAsia="Calibri" w:hAnsi="Calibri" w:cs="Calibri"/>
                <w:color w:val="auto"/>
                <w:sz w:val="24"/>
                <w:szCs w:val="24"/>
              </w:rPr>
              <w:lastRenderedPageBreak/>
              <w:t>territories encompass specialized domains like cybercrime investigation, community engagement strategies, or advanced forensic techniques. To fill these knowledge gaps, attachments and secondments with diverse departments become invaluable. These experiences offer a gateway to specialized realms, providing insights unattainable through textbooks. Although I haven't completed these attachments yet, the anticipation of gaining expertise in these areas drives my commitment to continuous learning. Through these immersive experiences, I am not only broadening my expertise but also fostering adaptability, ensuring I'm well-equipped to navigate the complexities of modern policing.</w:t>
            </w:r>
            <w:r w:rsidRPr="3062587F">
              <w:rPr>
                <w:color w:val="auto"/>
                <w:sz w:val="22"/>
                <w:szCs w:val="22"/>
                <w:lang w:eastAsia="zh-TW"/>
              </w:rPr>
              <w:t xml:space="preserve">  </w:t>
            </w:r>
          </w:p>
        </w:tc>
      </w:tr>
      <w:tr w:rsidR="00FE5420" w:rsidRPr="00FE5420" w14:paraId="27FB4397" w14:textId="77777777" w:rsidTr="3062587F">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457E3A" w14:textId="5258182C"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5-7</w:t>
            </w:r>
          </w:p>
          <w:p w14:paraId="22CC7295" w14:textId="58B91579" w:rsidR="00FE5420" w:rsidRPr="00FE5420" w:rsidRDefault="00FE5420" w:rsidP="3062587F">
            <w:pPr>
              <w:overflowPunct/>
              <w:autoSpaceDE/>
              <w:autoSpaceDN/>
              <w:adjustRightInd/>
              <w:rPr>
                <w:sz w:val="22"/>
                <w:szCs w:val="22"/>
                <w:lang w:eastAsia="zh-TW"/>
              </w:rPr>
            </w:pPr>
          </w:p>
          <w:p w14:paraId="03B44AF5" w14:textId="02422269" w:rsidR="00FE5420" w:rsidRPr="00FE5420" w:rsidRDefault="3062587F" w:rsidP="00FE5420">
            <w:pPr>
              <w:overflowPunct/>
              <w:autoSpaceDE/>
              <w:autoSpaceDN/>
              <w:adjustRightInd/>
              <w:rPr>
                <w:rFonts w:ascii="Times New Roman" w:hAnsi="Times New Roman" w:cs="Times New Roman"/>
                <w:sz w:val="24"/>
                <w:szCs w:val="24"/>
                <w:lang w:eastAsia="zh-TW"/>
              </w:rPr>
            </w:pPr>
            <w:r w:rsidRPr="3062587F">
              <w:rPr>
                <w:sz w:val="22"/>
                <w:szCs w:val="22"/>
                <w:lang w:eastAsia="zh-TW"/>
              </w:rPr>
              <w:t>YES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F7A430" w14:textId="644976F3"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5-7</w:t>
            </w:r>
          </w:p>
          <w:p w14:paraId="2A0EFFF0" w14:textId="758A3160" w:rsidR="00FE5420" w:rsidRPr="00FE5420" w:rsidRDefault="00FE5420" w:rsidP="3062587F">
            <w:pPr>
              <w:overflowPunct/>
              <w:autoSpaceDE/>
              <w:autoSpaceDN/>
              <w:adjustRightInd/>
              <w:rPr>
                <w:sz w:val="22"/>
                <w:szCs w:val="22"/>
                <w:lang w:eastAsia="zh-TW"/>
              </w:rPr>
            </w:pPr>
          </w:p>
          <w:p w14:paraId="33334C9E" w14:textId="62B3C9F9" w:rsidR="00FE5420" w:rsidRPr="00FE5420" w:rsidRDefault="3062587F" w:rsidP="00FE5420">
            <w:pPr>
              <w:overflowPunct/>
              <w:autoSpaceDE/>
              <w:autoSpaceDN/>
              <w:adjustRightInd/>
              <w:rPr>
                <w:rFonts w:ascii="Times New Roman" w:hAnsi="Times New Roman" w:cs="Times New Roman"/>
                <w:sz w:val="24"/>
                <w:szCs w:val="24"/>
                <w:lang w:eastAsia="zh-TW"/>
              </w:rPr>
            </w:pPr>
            <w:r w:rsidRPr="3062587F">
              <w:rPr>
                <w:sz w:val="22"/>
                <w:szCs w:val="22"/>
                <w:lang w:eastAsia="zh-TW"/>
              </w:rPr>
              <w:t>YES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60B8A3" w14:textId="5364F216" w:rsidR="00FE5420" w:rsidRPr="00FE5420" w:rsidRDefault="3062587F" w:rsidP="3062587F">
            <w:pPr>
              <w:overflowPunct/>
              <w:autoSpaceDE/>
              <w:autoSpaceDN/>
              <w:adjustRightInd/>
              <w:spacing w:line="360" w:lineRule="auto"/>
              <w:rPr>
                <w:rFonts w:ascii="Calibri" w:eastAsia="Calibri" w:hAnsi="Calibri" w:cs="Calibri"/>
                <w:color w:val="auto"/>
                <w:sz w:val="24"/>
                <w:szCs w:val="24"/>
              </w:rPr>
            </w:pPr>
            <w:r w:rsidRPr="3062587F">
              <w:rPr>
                <w:sz w:val="22"/>
                <w:szCs w:val="22"/>
                <w:lang w:eastAsia="zh-TW"/>
              </w:rPr>
              <w:t> </w:t>
            </w:r>
            <w:r w:rsidRPr="3062587F">
              <w:rPr>
                <w:rFonts w:ascii="Calibri" w:eastAsia="Calibri" w:hAnsi="Calibri" w:cs="Calibri"/>
                <w:color w:val="374151"/>
                <w:sz w:val="24"/>
                <w:szCs w:val="24"/>
              </w:rPr>
              <w:t xml:space="preserve"> </w:t>
            </w:r>
            <w:r w:rsidRPr="3062587F">
              <w:rPr>
                <w:rFonts w:ascii="Calibri" w:eastAsia="Calibri" w:hAnsi="Calibri" w:cs="Calibri"/>
                <w:color w:val="auto"/>
                <w:sz w:val="24"/>
                <w:szCs w:val="24"/>
              </w:rPr>
              <w:t>Skills in policing undeniably sharpen through daily experiences in the field. The understanding of policing nuances is not just a skill; it embodies a holistic comprehension that spans all three vital components within this framework. Engaging with real-life situations hones our abilities, making us adept at handling diverse challenges.</w:t>
            </w:r>
          </w:p>
          <w:p w14:paraId="33DF344A" w14:textId="7E76B633" w:rsidR="00FE5420" w:rsidRPr="00FE5420" w:rsidRDefault="3062587F" w:rsidP="3062587F">
            <w:pPr>
              <w:overflowPunct/>
              <w:autoSpaceDE/>
              <w:autoSpaceDN/>
              <w:adjustRightInd/>
              <w:spacing w:line="360" w:lineRule="auto"/>
              <w:rPr>
                <w:rFonts w:ascii="Calibri" w:eastAsia="Calibri" w:hAnsi="Calibri" w:cs="Calibri"/>
                <w:color w:val="auto"/>
                <w:sz w:val="24"/>
                <w:szCs w:val="24"/>
              </w:rPr>
            </w:pPr>
            <w:r w:rsidRPr="3062587F">
              <w:rPr>
                <w:rFonts w:ascii="Calibri" w:eastAsia="Calibri" w:hAnsi="Calibri" w:cs="Calibri"/>
                <w:color w:val="auto"/>
                <w:sz w:val="24"/>
                <w:szCs w:val="24"/>
              </w:rPr>
              <w:t xml:space="preserve">Moreover, formal courses, including specialized response training, serve as invaluable resources. These courses offer a structured platform for officers, particularly those with limited exposure, to enhance their skill set comprehensively. By participating in these programs, officers gain practical insights, learn </w:t>
            </w:r>
            <w:r w:rsidRPr="3062587F">
              <w:rPr>
                <w:rFonts w:ascii="Calibri" w:eastAsia="Calibri" w:hAnsi="Calibri" w:cs="Calibri"/>
                <w:color w:val="auto"/>
                <w:sz w:val="24"/>
                <w:szCs w:val="24"/>
              </w:rPr>
              <w:lastRenderedPageBreak/>
              <w:t>advanced techniques, and broaden their expertise, ensuring they are well-prepared to tackle the complexities of modern law enforcement. Through this continuous learning process, our skills not only evolve but also adapt, ensuring we remain at the forefront of effective policing strategies.</w:t>
            </w:r>
          </w:p>
          <w:p w14:paraId="7DF7D6E0" w14:textId="672B46CA" w:rsidR="00FE5420" w:rsidRPr="00FE5420" w:rsidRDefault="00FE5420" w:rsidP="3062587F">
            <w:pPr>
              <w:overflowPunct/>
              <w:autoSpaceDE/>
              <w:autoSpaceDN/>
              <w:adjustRightInd/>
              <w:spacing w:line="360" w:lineRule="auto"/>
              <w:rPr>
                <w:sz w:val="22"/>
                <w:szCs w:val="22"/>
                <w:lang w:eastAsia="zh-TW"/>
              </w:rPr>
            </w:pPr>
          </w:p>
        </w:tc>
      </w:tr>
      <w:tr w:rsidR="00FE5420" w:rsidRPr="00FE5420" w14:paraId="68AF4F86" w14:textId="77777777" w:rsidTr="3062587F">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1CE712" w14:textId="63B50B3B"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1-4 </w:t>
            </w:r>
          </w:p>
          <w:p w14:paraId="3ADF9C4F" w14:textId="18B3824D" w:rsidR="00FE5420" w:rsidRPr="00FE5420" w:rsidRDefault="00FE5420" w:rsidP="3062587F">
            <w:pPr>
              <w:overflowPunct/>
              <w:autoSpaceDE/>
              <w:autoSpaceDN/>
              <w:adjustRightInd/>
              <w:rPr>
                <w:sz w:val="22"/>
                <w:szCs w:val="22"/>
                <w:lang w:eastAsia="zh-TW"/>
              </w:rPr>
            </w:pPr>
          </w:p>
          <w:p w14:paraId="5132A9E8" w14:textId="2B8F2051" w:rsidR="00FE5420" w:rsidRPr="00FE5420" w:rsidRDefault="3062587F" w:rsidP="3062587F">
            <w:pPr>
              <w:overflowPunct/>
              <w:autoSpaceDE/>
              <w:autoSpaceDN/>
              <w:adjustRightInd/>
              <w:rPr>
                <w:sz w:val="22"/>
                <w:szCs w:val="22"/>
                <w:lang w:eastAsia="zh-TW"/>
              </w:rPr>
            </w:pPr>
            <w:r w:rsidRPr="3062587F">
              <w:rPr>
                <w:sz w:val="22"/>
                <w:szCs w:val="22"/>
                <w:lang w:eastAsia="zh-TW"/>
              </w:rPr>
              <w:t>YES</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D60D33" w14:textId="147B9143" w:rsidR="00FE5420" w:rsidRPr="00FE5420" w:rsidRDefault="3062587F" w:rsidP="3062587F">
            <w:pPr>
              <w:overflowPunct/>
              <w:autoSpaceDE/>
              <w:autoSpaceDN/>
              <w:adjustRightInd/>
              <w:rPr>
                <w:rFonts w:ascii="Times New Roman" w:hAnsi="Times New Roman" w:cs="Times New Roman"/>
                <w:sz w:val="24"/>
                <w:szCs w:val="24"/>
                <w:lang w:eastAsia="zh-TW"/>
              </w:rPr>
            </w:pPr>
            <w:r w:rsidRPr="3062587F">
              <w:rPr>
                <w:sz w:val="22"/>
                <w:szCs w:val="22"/>
                <w:lang w:eastAsia="zh-TW"/>
              </w:rPr>
              <w:t>5-7 </w:t>
            </w:r>
          </w:p>
          <w:p w14:paraId="12F25A84" w14:textId="25815ABA" w:rsidR="00FE5420" w:rsidRPr="00FE5420" w:rsidRDefault="00FE5420" w:rsidP="3062587F">
            <w:pPr>
              <w:overflowPunct/>
              <w:autoSpaceDE/>
              <w:autoSpaceDN/>
              <w:adjustRightInd/>
              <w:rPr>
                <w:sz w:val="22"/>
                <w:szCs w:val="22"/>
                <w:lang w:eastAsia="zh-TW"/>
              </w:rPr>
            </w:pPr>
          </w:p>
          <w:p w14:paraId="19ACC4DF" w14:textId="5FFFE191" w:rsidR="00FE5420" w:rsidRPr="00FE5420" w:rsidRDefault="3062587F" w:rsidP="3062587F">
            <w:pPr>
              <w:overflowPunct/>
              <w:autoSpaceDE/>
              <w:autoSpaceDN/>
              <w:adjustRightInd/>
              <w:rPr>
                <w:sz w:val="22"/>
                <w:szCs w:val="22"/>
                <w:lang w:eastAsia="zh-TW"/>
              </w:rPr>
            </w:pPr>
            <w:r w:rsidRPr="3062587F">
              <w:rPr>
                <w:sz w:val="22"/>
                <w:szCs w:val="22"/>
                <w:lang w:eastAsia="zh-TW"/>
              </w:rPr>
              <w:t>YES</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32526F8" w14:textId="141078C0" w:rsidR="00FE5420" w:rsidRPr="00FE5420" w:rsidRDefault="3062587F" w:rsidP="3062587F">
            <w:pPr>
              <w:overflowPunct/>
              <w:autoSpaceDE/>
              <w:autoSpaceDN/>
              <w:adjustRightInd/>
              <w:rPr>
                <w:rFonts w:ascii="Calibri" w:eastAsia="Calibri" w:hAnsi="Calibri" w:cs="Calibri"/>
                <w:color w:val="auto"/>
                <w:sz w:val="24"/>
                <w:szCs w:val="24"/>
              </w:rPr>
            </w:pPr>
            <w:r w:rsidRPr="3062587F">
              <w:rPr>
                <w:sz w:val="22"/>
                <w:szCs w:val="22"/>
                <w:lang w:eastAsia="zh-TW"/>
              </w:rPr>
              <w:t> </w:t>
            </w:r>
            <w:r w:rsidRPr="3062587F">
              <w:rPr>
                <w:rFonts w:ascii="Calibri" w:eastAsia="Calibri" w:hAnsi="Calibri" w:cs="Calibri"/>
                <w:color w:val="374151"/>
                <w:sz w:val="24"/>
                <w:szCs w:val="24"/>
              </w:rPr>
              <w:t xml:space="preserve"> </w:t>
            </w:r>
            <w:r w:rsidRPr="3062587F">
              <w:rPr>
                <w:rFonts w:ascii="Calibri" w:eastAsia="Calibri" w:hAnsi="Calibri" w:cs="Calibri"/>
                <w:color w:val="auto"/>
                <w:sz w:val="24"/>
                <w:szCs w:val="24"/>
              </w:rPr>
              <w:t>Experience in policing is unparalleled, and it speaks volumes about an officer's capabilities. The depth of this experience can only be enhanced through active engagement with real-world situations — by responding to calls and incidents that demand our immediate attention. The frequency and diversity of these calls and incidents vary daily, providing a dynamic learning ground. Each response presents a unique challenge, enabling officers to refine their skills, enhance their decision-making abilities, and learn to adapt swiftly to evolving situations.</w:t>
            </w:r>
          </w:p>
          <w:p w14:paraId="4B21BF28" w14:textId="132B7BA5" w:rsidR="00FE5420" w:rsidRPr="00FE5420" w:rsidRDefault="3062587F" w:rsidP="3062587F">
            <w:pPr>
              <w:overflowPunct/>
              <w:autoSpaceDE/>
              <w:autoSpaceDN/>
              <w:adjustRightInd/>
              <w:rPr>
                <w:rFonts w:ascii="Calibri" w:eastAsia="Calibri" w:hAnsi="Calibri" w:cs="Calibri"/>
                <w:color w:val="auto"/>
                <w:sz w:val="24"/>
                <w:szCs w:val="24"/>
              </w:rPr>
            </w:pPr>
            <w:r w:rsidRPr="3062587F">
              <w:rPr>
                <w:rFonts w:ascii="Calibri" w:eastAsia="Calibri" w:hAnsi="Calibri" w:cs="Calibri"/>
                <w:color w:val="auto"/>
                <w:sz w:val="24"/>
                <w:szCs w:val="24"/>
              </w:rPr>
              <w:lastRenderedPageBreak/>
              <w:t>Furthermore, the sheer volume of incidents and the varied measures required to address them contribute significantly to an officer's expertise. Handling a broad spectrum of incidents, from routine matters to high-stakes emergencies, provides a multifaceted understanding of policing. It's through these experiences that officers gain invaluable insights, honing their judgment, communication skills, and crisis management abilities. This continuous exposure not only amplifies an officer's proficiency but also instils a sense of confidence, ensuring they are well-prepared to handle any situation that comes their way. As officers respond to these incidents, their expertise deepens, underscoring the importance of hands-on experience in the ever-evolving landscape of law enforcement.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5523080" w14:textId="17D84095"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Anshel</w:t>
      </w:r>
      <w:proofErr w:type="spellEnd"/>
      <w:r w:rsidRPr="3062587F">
        <w:rPr>
          <w:rFonts w:eastAsia="Arial"/>
          <w:sz w:val="24"/>
          <w:szCs w:val="24"/>
          <w:lang w:val="en-US"/>
        </w:rPr>
        <w:t xml:space="preserve">, M. H., </w:t>
      </w:r>
      <w:proofErr w:type="spellStart"/>
      <w:r w:rsidRPr="3062587F">
        <w:rPr>
          <w:rFonts w:eastAsia="Arial"/>
          <w:sz w:val="24"/>
          <w:szCs w:val="24"/>
          <w:lang w:val="en-US"/>
        </w:rPr>
        <w:t>Umscheid</w:t>
      </w:r>
      <w:proofErr w:type="spellEnd"/>
      <w:r w:rsidRPr="3062587F">
        <w:rPr>
          <w:rFonts w:eastAsia="Arial"/>
          <w:sz w:val="24"/>
          <w:szCs w:val="24"/>
          <w:lang w:val="en-US"/>
        </w:rPr>
        <w:t xml:space="preserve">, D., and </w:t>
      </w:r>
      <w:proofErr w:type="spellStart"/>
      <w:r w:rsidRPr="3062587F">
        <w:rPr>
          <w:rFonts w:eastAsia="Arial"/>
          <w:sz w:val="24"/>
          <w:szCs w:val="24"/>
          <w:lang w:val="en-US"/>
        </w:rPr>
        <w:t>Brinthaupt</w:t>
      </w:r>
      <w:proofErr w:type="spellEnd"/>
      <w:r w:rsidRPr="3062587F">
        <w:rPr>
          <w:rFonts w:eastAsia="Arial"/>
          <w:sz w:val="24"/>
          <w:szCs w:val="24"/>
          <w:lang w:val="en-US"/>
        </w:rPr>
        <w:t xml:space="preserve">, T. M. (2013) Effect of a Combined Coping Skills and Wellness Program on Perceived Stress and Physical Energy among Police Emergency Dispatchers: An Exploratory Study. </w:t>
      </w:r>
      <w:r w:rsidRPr="3062587F">
        <w:rPr>
          <w:rFonts w:eastAsia="Arial"/>
          <w:i/>
          <w:iCs/>
          <w:sz w:val="24"/>
          <w:szCs w:val="24"/>
          <w:lang w:val="en-US"/>
        </w:rPr>
        <w:t>Journal of Police and Criminal Psychology</w:t>
      </w:r>
      <w:r w:rsidRPr="3062587F">
        <w:rPr>
          <w:rFonts w:eastAsia="Arial"/>
          <w:sz w:val="24"/>
          <w:szCs w:val="24"/>
          <w:lang w:val="en-US"/>
        </w:rPr>
        <w:t xml:space="preserve">. 28(1). Pp.1-14.  </w:t>
      </w:r>
    </w:p>
    <w:p w14:paraId="14C8E5B8" w14:textId="3A5028A1"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Bandow, D. (2001). Time to create teamwork. </w:t>
      </w:r>
      <w:r w:rsidRPr="3062587F">
        <w:rPr>
          <w:rFonts w:eastAsia="Arial"/>
          <w:i/>
          <w:iCs/>
          <w:sz w:val="24"/>
          <w:szCs w:val="24"/>
          <w:lang w:val="en-US"/>
        </w:rPr>
        <w:t>The Journal of Quality and Participation</w:t>
      </w:r>
      <w:r w:rsidRPr="3062587F">
        <w:rPr>
          <w:rFonts w:eastAsia="Arial"/>
          <w:sz w:val="24"/>
          <w:szCs w:val="24"/>
          <w:lang w:val="en-US"/>
        </w:rPr>
        <w:t xml:space="preserve">. 25(2). Pp.41-47.  </w:t>
      </w:r>
    </w:p>
    <w:p w14:paraId="092ACE5D" w14:textId="424192EC"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rPr>
        <w:t xml:space="preserve">Blank, W., </w:t>
      </w:r>
      <w:proofErr w:type="spellStart"/>
      <w:r w:rsidRPr="3062587F">
        <w:rPr>
          <w:rFonts w:eastAsia="Arial"/>
          <w:sz w:val="24"/>
          <w:szCs w:val="24"/>
        </w:rPr>
        <w:t>Wietzel</w:t>
      </w:r>
      <w:proofErr w:type="spellEnd"/>
      <w:r w:rsidRPr="3062587F">
        <w:rPr>
          <w:rFonts w:eastAsia="Arial"/>
          <w:sz w:val="24"/>
          <w:szCs w:val="24"/>
        </w:rPr>
        <w:t xml:space="preserve">, J., and Green, S. G. (1986). Situational leadership theory: A test of underlying assumptions. </w:t>
      </w:r>
      <w:r w:rsidRPr="3062587F">
        <w:rPr>
          <w:rFonts w:eastAsia="Arial"/>
          <w:i/>
          <w:iCs/>
          <w:sz w:val="24"/>
          <w:szCs w:val="24"/>
        </w:rPr>
        <w:t>Proceedings of the Academy of Management</w:t>
      </w:r>
      <w:r w:rsidRPr="3062587F">
        <w:rPr>
          <w:rFonts w:eastAsia="Arial"/>
          <w:sz w:val="24"/>
          <w:szCs w:val="24"/>
        </w:rPr>
        <w:t>, 384.</w:t>
      </w:r>
      <w:r w:rsidRPr="3062587F">
        <w:rPr>
          <w:rFonts w:eastAsia="Arial"/>
          <w:sz w:val="24"/>
          <w:szCs w:val="24"/>
          <w:lang w:val="en-US"/>
        </w:rPr>
        <w:t xml:space="preserve"> </w:t>
      </w:r>
    </w:p>
    <w:p w14:paraId="26CEBE88" w14:textId="79AA4086"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Bradford, B., Jackson, J., and Stanko, E. A., (2009) Contact and confidence: Revisiting the impact of public encounters with the police. </w:t>
      </w:r>
      <w:r w:rsidRPr="3062587F">
        <w:rPr>
          <w:rFonts w:eastAsia="Arial"/>
          <w:i/>
          <w:iCs/>
          <w:sz w:val="24"/>
          <w:szCs w:val="24"/>
          <w:lang w:val="en-US"/>
        </w:rPr>
        <w:t>An International Journal of Research and Policy</w:t>
      </w:r>
      <w:r w:rsidRPr="3062587F">
        <w:rPr>
          <w:rFonts w:eastAsia="Arial"/>
          <w:sz w:val="24"/>
          <w:szCs w:val="24"/>
          <w:lang w:val="en-US"/>
        </w:rPr>
        <w:t xml:space="preserve">. 19(1). Pp.20-46. </w:t>
      </w:r>
    </w:p>
    <w:p w14:paraId="5D826D5F" w14:textId="79FC5074" w:rsidR="3062587F" w:rsidRDefault="3062587F" w:rsidP="00715841">
      <w:pPr>
        <w:pStyle w:val="ListParagraph"/>
        <w:numPr>
          <w:ilvl w:val="0"/>
          <w:numId w:val="1"/>
        </w:numPr>
        <w:spacing w:line="360" w:lineRule="auto"/>
        <w:jc w:val="both"/>
        <w:rPr>
          <w:rFonts w:eastAsia="Arial"/>
          <w:sz w:val="24"/>
          <w:szCs w:val="24"/>
          <w:lang w:val="en-US"/>
        </w:rPr>
      </w:pPr>
      <w:r w:rsidRPr="3062587F">
        <w:rPr>
          <w:rFonts w:eastAsia="Arial"/>
          <w:sz w:val="24"/>
          <w:szCs w:val="24"/>
        </w:rPr>
        <w:t>Burns, J. M. (1978). ‘Leadership’. New York: Harper &amp; Row.</w:t>
      </w:r>
      <w:r w:rsidRPr="3062587F">
        <w:rPr>
          <w:rFonts w:eastAsia="Arial"/>
          <w:sz w:val="24"/>
          <w:szCs w:val="24"/>
          <w:lang w:val="en-US"/>
        </w:rPr>
        <w:t xml:space="preserve"> </w:t>
      </w:r>
    </w:p>
    <w:p w14:paraId="4264808F" w14:textId="6888A394"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Charman</w:t>
      </w:r>
      <w:proofErr w:type="spellEnd"/>
      <w:r w:rsidRPr="3062587F">
        <w:rPr>
          <w:rFonts w:eastAsia="Arial"/>
          <w:sz w:val="24"/>
          <w:szCs w:val="24"/>
          <w:lang w:val="en-US"/>
        </w:rPr>
        <w:t xml:space="preserve">, S. (2017) ‘Police </w:t>
      </w:r>
      <w:proofErr w:type="spellStart"/>
      <w:r w:rsidRPr="3062587F">
        <w:rPr>
          <w:rFonts w:eastAsia="Arial"/>
          <w:sz w:val="24"/>
          <w:szCs w:val="24"/>
          <w:lang w:val="en-US"/>
        </w:rPr>
        <w:t>Socialisation</w:t>
      </w:r>
      <w:proofErr w:type="spellEnd"/>
      <w:r w:rsidRPr="3062587F">
        <w:rPr>
          <w:rFonts w:eastAsia="Arial"/>
          <w:sz w:val="24"/>
          <w:szCs w:val="24"/>
          <w:lang w:val="en-US"/>
        </w:rPr>
        <w:t xml:space="preserve">, Identity and Culture: Becoming Blue’.  Palgrave Macmillan Cham: London. </w:t>
      </w:r>
      <w:r w:rsidRPr="3062587F">
        <w:rPr>
          <w:rFonts w:eastAsia="Arial"/>
          <w:sz w:val="24"/>
          <w:szCs w:val="24"/>
        </w:rPr>
        <w:t xml:space="preserve"> </w:t>
      </w:r>
    </w:p>
    <w:p w14:paraId="4DD1AB10" w14:textId="296810F3"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Chimote</w:t>
      </w:r>
      <w:proofErr w:type="spellEnd"/>
      <w:r w:rsidRPr="3062587F">
        <w:rPr>
          <w:rFonts w:eastAsia="Arial"/>
          <w:sz w:val="24"/>
          <w:szCs w:val="24"/>
          <w:lang w:val="en-US"/>
        </w:rPr>
        <w:t xml:space="preserve">, N. K., and Srivastava, V. N. (2013) Work-Life Balance Benefits: From the Perspective of Organizations and Employees. </w:t>
      </w:r>
      <w:r w:rsidRPr="3062587F">
        <w:rPr>
          <w:rFonts w:eastAsia="Arial"/>
          <w:i/>
          <w:iCs/>
          <w:sz w:val="24"/>
          <w:szCs w:val="24"/>
          <w:lang w:val="en-US"/>
        </w:rPr>
        <w:t>IUP Journal of Management Research</w:t>
      </w:r>
      <w:r w:rsidRPr="3062587F">
        <w:rPr>
          <w:rFonts w:eastAsia="Arial"/>
          <w:sz w:val="24"/>
          <w:szCs w:val="24"/>
          <w:lang w:val="en-US"/>
        </w:rPr>
        <w:t xml:space="preserve">. 12(1). Pp.62-73.  </w:t>
      </w:r>
    </w:p>
    <w:p w14:paraId="36FFFCC5" w14:textId="0C06BE53"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Chopko</w:t>
      </w:r>
      <w:proofErr w:type="spellEnd"/>
      <w:r w:rsidRPr="3062587F">
        <w:rPr>
          <w:rFonts w:eastAsia="Arial"/>
          <w:sz w:val="24"/>
          <w:szCs w:val="24"/>
          <w:lang w:val="en-US"/>
        </w:rPr>
        <w:t xml:space="preserve">, B. A., </w:t>
      </w:r>
      <w:proofErr w:type="spellStart"/>
      <w:r w:rsidRPr="3062587F">
        <w:rPr>
          <w:rFonts w:eastAsia="Arial"/>
          <w:sz w:val="24"/>
          <w:szCs w:val="24"/>
          <w:lang w:val="en-US"/>
        </w:rPr>
        <w:t>Palmeri</w:t>
      </w:r>
      <w:proofErr w:type="spellEnd"/>
      <w:r w:rsidRPr="3062587F">
        <w:rPr>
          <w:rFonts w:eastAsia="Arial"/>
          <w:sz w:val="24"/>
          <w:szCs w:val="24"/>
          <w:lang w:val="en-US"/>
        </w:rPr>
        <w:t xml:space="preserve">, P. A., and Adams, R. E. (2018) Relationships among traumatic experiences, PTSD, and posttraumatic growth for police officers: A path analysis. </w:t>
      </w:r>
      <w:r w:rsidRPr="3062587F">
        <w:rPr>
          <w:rFonts w:eastAsia="Arial"/>
          <w:i/>
          <w:iCs/>
          <w:sz w:val="24"/>
          <w:szCs w:val="24"/>
          <w:lang w:val="en-US"/>
        </w:rPr>
        <w:t>Psychological Trauma: Theory, Research, Practice, and Policy</w:t>
      </w:r>
      <w:r w:rsidRPr="3062587F">
        <w:rPr>
          <w:rFonts w:eastAsia="Arial"/>
          <w:sz w:val="24"/>
          <w:szCs w:val="24"/>
          <w:lang w:val="en-US"/>
        </w:rPr>
        <w:t xml:space="preserve">. 10(2), pp.183-189. </w:t>
      </w:r>
      <w:r w:rsidRPr="3062587F">
        <w:rPr>
          <w:rFonts w:eastAsia="Arial"/>
          <w:sz w:val="24"/>
          <w:szCs w:val="24"/>
        </w:rPr>
        <w:t xml:space="preserve"> </w:t>
      </w:r>
    </w:p>
    <w:p w14:paraId="1F5AB751" w14:textId="785604B9"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Coles, N. (2001) It’s Not What You Know – It's Who You Know That Counts. </w:t>
      </w:r>
      <w:proofErr w:type="spellStart"/>
      <w:r w:rsidRPr="3062587F">
        <w:rPr>
          <w:rFonts w:eastAsia="Arial"/>
          <w:sz w:val="24"/>
          <w:szCs w:val="24"/>
          <w:lang w:val="en-US"/>
        </w:rPr>
        <w:t>Analysing</w:t>
      </w:r>
      <w:proofErr w:type="spellEnd"/>
      <w:r w:rsidRPr="3062587F">
        <w:rPr>
          <w:rFonts w:eastAsia="Arial"/>
          <w:sz w:val="24"/>
          <w:szCs w:val="24"/>
          <w:lang w:val="en-US"/>
        </w:rPr>
        <w:t xml:space="preserve"> Serious Crime Groups as Social Networks. </w:t>
      </w:r>
      <w:r w:rsidRPr="3062587F">
        <w:rPr>
          <w:rFonts w:eastAsia="Arial"/>
          <w:i/>
          <w:iCs/>
          <w:sz w:val="24"/>
          <w:szCs w:val="24"/>
          <w:lang w:val="en-US"/>
        </w:rPr>
        <w:t>The British Journal of Criminology</w:t>
      </w:r>
      <w:r w:rsidRPr="3062587F">
        <w:rPr>
          <w:rFonts w:eastAsia="Arial"/>
          <w:sz w:val="24"/>
          <w:szCs w:val="24"/>
          <w:lang w:val="en-US"/>
        </w:rPr>
        <w:t xml:space="preserve">. 41(4). Pp.580-594.  </w:t>
      </w:r>
    </w:p>
    <w:p w14:paraId="35944167" w14:textId="5C1EE322"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rPr>
        <w:t>College of Policing (2014). Code of ethics [Online]. Available at: https://assets.college.police.uk/s3fs-public/2021-02/code_of_ethics.pdf</w:t>
      </w:r>
      <w:r w:rsidRPr="3062587F">
        <w:rPr>
          <w:rFonts w:eastAsia="Arial"/>
          <w:sz w:val="24"/>
          <w:szCs w:val="24"/>
          <w:lang w:val="en-US"/>
        </w:rPr>
        <w:t xml:space="preserve"> </w:t>
      </w:r>
    </w:p>
    <w:p w14:paraId="3047312E" w14:textId="016BC6BB"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lastRenderedPageBreak/>
        <w:t xml:space="preserve">College of Policing (2014). Curriculum and training [Online]. Available at:  https://www.college.police.uk/app/public-order-public-safety/curriculum-and-training </w:t>
      </w:r>
    </w:p>
    <w:p w14:paraId="2FF2889B" w14:textId="7585433A"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College of Policing (2014). National decision model [Online]. Available at:  https://www.college.police.uk/app/national-decision-model/national-decision-model </w:t>
      </w:r>
    </w:p>
    <w:p w14:paraId="2EDFAC6B" w14:textId="02A97B5D" w:rsidR="3062587F" w:rsidRDefault="3062587F" w:rsidP="00715841">
      <w:pPr>
        <w:pStyle w:val="ListParagraph"/>
        <w:numPr>
          <w:ilvl w:val="0"/>
          <w:numId w:val="1"/>
        </w:numPr>
        <w:spacing w:line="360" w:lineRule="auto"/>
        <w:jc w:val="both"/>
        <w:rPr>
          <w:rFonts w:eastAsia="Arial"/>
          <w:sz w:val="24"/>
          <w:szCs w:val="24"/>
          <w:lang w:val="en-US"/>
        </w:rPr>
      </w:pPr>
      <w:r w:rsidRPr="3062587F">
        <w:rPr>
          <w:rFonts w:eastAsia="Arial"/>
          <w:sz w:val="24"/>
          <w:szCs w:val="24"/>
        </w:rPr>
        <w:t>College of Policing (2020). Conflict management using de-escalation, communication and negotiation Guidelines [Online]. Available at: https://assets.college.police.uk/s3fs-public/2020-09/Conflict-management-guidelines.pdf</w:t>
      </w:r>
      <w:r w:rsidRPr="3062587F">
        <w:rPr>
          <w:rFonts w:eastAsia="Arial"/>
          <w:sz w:val="24"/>
          <w:szCs w:val="24"/>
          <w:lang w:val="en-US"/>
        </w:rPr>
        <w:t xml:space="preserve"> </w:t>
      </w:r>
    </w:p>
    <w:p w14:paraId="25ADEA03" w14:textId="4066C31A"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Crank, J. P. (2014) ‘Understanding Police Culture’. Routledge: </w:t>
      </w:r>
      <w:proofErr w:type="spellStart"/>
      <w:r w:rsidRPr="3062587F">
        <w:rPr>
          <w:rFonts w:eastAsia="Arial"/>
          <w:sz w:val="24"/>
          <w:szCs w:val="24"/>
          <w:lang w:val="en-US"/>
        </w:rPr>
        <w:t>Oxfordshire</w:t>
      </w:r>
      <w:proofErr w:type="spellEnd"/>
      <w:r w:rsidRPr="3062587F">
        <w:rPr>
          <w:rFonts w:eastAsia="Arial"/>
          <w:sz w:val="24"/>
          <w:szCs w:val="24"/>
          <w:lang w:val="en-US"/>
        </w:rPr>
        <w:t xml:space="preserve">.  </w:t>
      </w:r>
    </w:p>
    <w:p w14:paraId="44EB7495" w14:textId="2C263E4F"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Edwards, A. M., and </w:t>
      </w:r>
      <w:proofErr w:type="spellStart"/>
      <w:r w:rsidRPr="3062587F">
        <w:rPr>
          <w:rFonts w:eastAsia="Arial"/>
          <w:sz w:val="24"/>
          <w:szCs w:val="24"/>
          <w:lang w:val="en-US"/>
        </w:rPr>
        <w:t>Kotera</w:t>
      </w:r>
      <w:proofErr w:type="spellEnd"/>
      <w:r w:rsidRPr="3062587F">
        <w:rPr>
          <w:rFonts w:eastAsia="Arial"/>
          <w:sz w:val="24"/>
          <w:szCs w:val="24"/>
          <w:lang w:val="en-US"/>
        </w:rPr>
        <w:t xml:space="preserve">, Y. (2020) Mental Health in the UK Police Force: </w:t>
      </w:r>
      <w:proofErr w:type="gramStart"/>
      <w:r w:rsidRPr="3062587F">
        <w:rPr>
          <w:rFonts w:eastAsia="Arial"/>
          <w:sz w:val="24"/>
          <w:szCs w:val="24"/>
          <w:lang w:val="en-US"/>
        </w:rPr>
        <w:t>a</w:t>
      </w:r>
      <w:proofErr w:type="gramEnd"/>
      <w:r w:rsidRPr="3062587F">
        <w:rPr>
          <w:rFonts w:eastAsia="Arial"/>
          <w:sz w:val="24"/>
          <w:szCs w:val="24"/>
          <w:lang w:val="en-US"/>
        </w:rPr>
        <w:t xml:space="preserve"> Qualitative Investigation into the Stigma with Mental Illness. </w:t>
      </w:r>
      <w:r w:rsidRPr="3062587F">
        <w:rPr>
          <w:rFonts w:eastAsia="Arial"/>
          <w:i/>
          <w:iCs/>
          <w:sz w:val="24"/>
          <w:szCs w:val="24"/>
          <w:lang w:val="en-US"/>
        </w:rPr>
        <w:t>International Journal of Mental Health and Addiction.</w:t>
      </w:r>
      <w:r w:rsidRPr="3062587F">
        <w:rPr>
          <w:rFonts w:eastAsia="Arial"/>
          <w:sz w:val="24"/>
          <w:szCs w:val="24"/>
          <w:lang w:val="en-US"/>
        </w:rPr>
        <w:t xml:space="preserve"> 19(1). Pp.1116-1134. </w:t>
      </w:r>
      <w:r w:rsidRPr="3062587F">
        <w:rPr>
          <w:rFonts w:eastAsia="Arial"/>
          <w:sz w:val="24"/>
          <w:szCs w:val="24"/>
        </w:rPr>
        <w:t xml:space="preserve"> </w:t>
      </w:r>
    </w:p>
    <w:p w14:paraId="5D87D62F" w14:textId="14CB9FD0"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rPr>
        <w:t xml:space="preserve">Everly, G. S., Jr., and Boyle, S. H. (1999). Critical Incident Stress Debriefing (CISD): A meta-analysis. </w:t>
      </w:r>
      <w:r w:rsidRPr="3062587F">
        <w:rPr>
          <w:rFonts w:eastAsia="Arial"/>
          <w:i/>
          <w:iCs/>
          <w:sz w:val="24"/>
          <w:szCs w:val="24"/>
        </w:rPr>
        <w:t>International Journal of Emergency Mental Health.</w:t>
      </w:r>
      <w:r w:rsidRPr="3062587F">
        <w:rPr>
          <w:rFonts w:eastAsia="Arial"/>
          <w:sz w:val="24"/>
          <w:szCs w:val="24"/>
        </w:rPr>
        <w:t xml:space="preserve"> 1(3). Pp.165–168.)</w:t>
      </w:r>
      <w:r w:rsidRPr="3062587F">
        <w:rPr>
          <w:rFonts w:eastAsia="Arial"/>
          <w:sz w:val="24"/>
          <w:szCs w:val="24"/>
          <w:lang w:val="en-US"/>
        </w:rPr>
        <w:t xml:space="preserve"> </w:t>
      </w:r>
    </w:p>
    <w:p w14:paraId="1A6EF43B" w14:textId="68C1649D"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Gallegos, P. V. (2013) ‘The Work of Inclusive Leadership’. Diversity at Work: The Practice of Inclusion. John Wiley and Sons: United States. </w:t>
      </w:r>
    </w:p>
    <w:p w14:paraId="2F849FD4" w14:textId="2AA5A51C"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Gill, C., Weisburd, D., </w:t>
      </w:r>
      <w:proofErr w:type="spellStart"/>
      <w:r w:rsidRPr="3062587F">
        <w:rPr>
          <w:rFonts w:eastAsia="Arial"/>
          <w:sz w:val="24"/>
          <w:szCs w:val="24"/>
          <w:lang w:val="en-US"/>
        </w:rPr>
        <w:t>Telep</w:t>
      </w:r>
      <w:proofErr w:type="spellEnd"/>
      <w:r w:rsidRPr="3062587F">
        <w:rPr>
          <w:rFonts w:eastAsia="Arial"/>
          <w:sz w:val="24"/>
          <w:szCs w:val="24"/>
          <w:lang w:val="en-US"/>
        </w:rPr>
        <w:t xml:space="preserve">, C. W., Vitter, Z., and Bennett, T. (2014) Community-oriented policing to reduce crime, disorder and fear and increase satisfaction and legitimacy among citizens: a systematic review. </w:t>
      </w:r>
      <w:r w:rsidRPr="3062587F">
        <w:rPr>
          <w:rFonts w:eastAsia="Arial"/>
          <w:i/>
          <w:iCs/>
          <w:sz w:val="24"/>
          <w:szCs w:val="24"/>
          <w:lang w:val="en-US"/>
        </w:rPr>
        <w:t>Journal of Experimental Criminology</w:t>
      </w:r>
      <w:r w:rsidRPr="3062587F">
        <w:rPr>
          <w:rFonts w:eastAsia="Arial"/>
          <w:sz w:val="24"/>
          <w:szCs w:val="24"/>
          <w:lang w:val="en-US"/>
        </w:rPr>
        <w:t xml:space="preserve">. 10(1). Pp.399-428. </w:t>
      </w:r>
      <w:r w:rsidRPr="3062587F">
        <w:rPr>
          <w:rFonts w:eastAsia="Arial"/>
          <w:sz w:val="24"/>
          <w:szCs w:val="24"/>
        </w:rPr>
        <w:t xml:space="preserve"> </w:t>
      </w:r>
    </w:p>
    <w:p w14:paraId="7EF8041A" w14:textId="0A5E78E4"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Gottschalk, P. (2009) ‘Policing Organized Crime: Intelligence Strategy Implementation’. CRC Press: Florida.  </w:t>
      </w:r>
    </w:p>
    <w:p w14:paraId="42B950E2" w14:textId="3B32D4CA"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Hedberg, E. C., Katz, C. M., and Choate, D. E. (2017) Body-Worn Cameras and Citizen Interactions with Police Officers: Estimating Plausible Effects Given Varying Compliance Levels. </w:t>
      </w:r>
      <w:r w:rsidRPr="3062587F">
        <w:rPr>
          <w:rFonts w:eastAsia="Arial"/>
          <w:i/>
          <w:iCs/>
          <w:sz w:val="24"/>
          <w:szCs w:val="24"/>
          <w:lang w:val="en-US"/>
        </w:rPr>
        <w:t>Justice Quarterly</w:t>
      </w:r>
      <w:r w:rsidRPr="3062587F">
        <w:rPr>
          <w:rFonts w:eastAsia="Arial"/>
          <w:sz w:val="24"/>
          <w:szCs w:val="24"/>
          <w:lang w:val="en-US"/>
        </w:rPr>
        <w:t xml:space="preserve">. 34(4). Pp.627-651. </w:t>
      </w:r>
      <w:r w:rsidRPr="3062587F">
        <w:rPr>
          <w:rFonts w:eastAsia="Arial"/>
          <w:sz w:val="24"/>
          <w:szCs w:val="24"/>
        </w:rPr>
        <w:t xml:space="preserve"> </w:t>
      </w:r>
    </w:p>
    <w:p w14:paraId="0955D88D" w14:textId="7FC53852"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H</w:t>
      </w:r>
      <w:proofErr w:type="spellStart"/>
      <w:r w:rsidRPr="3062587F">
        <w:rPr>
          <w:rFonts w:eastAsia="Arial"/>
          <w:sz w:val="24"/>
          <w:szCs w:val="24"/>
        </w:rPr>
        <w:t>ersey</w:t>
      </w:r>
      <w:proofErr w:type="spellEnd"/>
      <w:r w:rsidRPr="3062587F">
        <w:rPr>
          <w:rFonts w:eastAsia="Arial"/>
          <w:sz w:val="24"/>
          <w:szCs w:val="24"/>
        </w:rPr>
        <w:t xml:space="preserve">, P., Blanchard., K. H., and </w:t>
      </w:r>
      <w:proofErr w:type="spellStart"/>
      <w:r w:rsidRPr="3062587F">
        <w:rPr>
          <w:rFonts w:eastAsia="Arial"/>
          <w:sz w:val="24"/>
          <w:szCs w:val="24"/>
        </w:rPr>
        <w:t>Natemeyer</w:t>
      </w:r>
      <w:proofErr w:type="spellEnd"/>
      <w:r w:rsidRPr="3062587F">
        <w:rPr>
          <w:rFonts w:eastAsia="Arial"/>
          <w:sz w:val="24"/>
          <w:szCs w:val="24"/>
        </w:rPr>
        <w:t xml:space="preserve">, W. E. (2001) Situational Leadership, Perception, and the Impact of Power. </w:t>
      </w:r>
      <w:r w:rsidRPr="3062587F">
        <w:rPr>
          <w:rFonts w:eastAsia="Arial"/>
          <w:i/>
          <w:iCs/>
          <w:sz w:val="24"/>
          <w:szCs w:val="24"/>
        </w:rPr>
        <w:t xml:space="preserve">Classics of Organizational </w:t>
      </w:r>
      <w:proofErr w:type="spellStart"/>
      <w:r w:rsidRPr="3062587F">
        <w:rPr>
          <w:rFonts w:eastAsia="Arial"/>
          <w:i/>
          <w:iCs/>
          <w:sz w:val="24"/>
          <w:szCs w:val="24"/>
        </w:rPr>
        <w:t>Behavior</w:t>
      </w:r>
      <w:proofErr w:type="spellEnd"/>
      <w:r w:rsidRPr="3062587F">
        <w:rPr>
          <w:rFonts w:eastAsia="Arial"/>
          <w:sz w:val="24"/>
          <w:szCs w:val="24"/>
        </w:rPr>
        <w:t>. 4(4). Pp.321.</w:t>
      </w:r>
      <w:r w:rsidRPr="3062587F">
        <w:rPr>
          <w:rFonts w:eastAsia="Arial"/>
          <w:sz w:val="24"/>
          <w:szCs w:val="24"/>
          <w:lang w:val="en-US"/>
        </w:rPr>
        <w:t xml:space="preserve"> </w:t>
      </w:r>
    </w:p>
    <w:p w14:paraId="6D352BDF" w14:textId="3090B2AF"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Hesketh</w:t>
      </w:r>
      <w:proofErr w:type="spellEnd"/>
      <w:r w:rsidRPr="3062587F">
        <w:rPr>
          <w:rFonts w:eastAsia="Arial"/>
          <w:sz w:val="24"/>
          <w:szCs w:val="24"/>
          <w:lang w:val="en-US"/>
        </w:rPr>
        <w:t xml:space="preserve">, I., Cooper, C. L., and Ivy, J. (2015) Well-being, austerity and policing: Is it worth investing in resilience </w:t>
      </w:r>
      <w:proofErr w:type="gramStart"/>
      <w:r w:rsidRPr="3062587F">
        <w:rPr>
          <w:rFonts w:eastAsia="Arial"/>
          <w:sz w:val="24"/>
          <w:szCs w:val="24"/>
          <w:lang w:val="en-US"/>
        </w:rPr>
        <w:t>training?.</w:t>
      </w:r>
      <w:proofErr w:type="gramEnd"/>
      <w:r w:rsidRPr="3062587F">
        <w:rPr>
          <w:rFonts w:eastAsia="Arial"/>
          <w:sz w:val="24"/>
          <w:szCs w:val="24"/>
          <w:lang w:val="en-US"/>
        </w:rPr>
        <w:t xml:space="preserve"> </w:t>
      </w:r>
      <w:r w:rsidRPr="3062587F">
        <w:rPr>
          <w:rFonts w:eastAsia="Arial"/>
          <w:i/>
          <w:iCs/>
          <w:sz w:val="24"/>
          <w:szCs w:val="24"/>
          <w:lang w:val="en-US"/>
        </w:rPr>
        <w:t>The Police Journal: Theory, Practice and Principles</w:t>
      </w:r>
      <w:r w:rsidRPr="3062587F">
        <w:rPr>
          <w:rFonts w:eastAsia="Arial"/>
          <w:sz w:val="24"/>
          <w:szCs w:val="24"/>
          <w:lang w:val="en-US"/>
        </w:rPr>
        <w:t xml:space="preserve">. 88(3). </w:t>
      </w:r>
      <w:r w:rsidRPr="3062587F">
        <w:rPr>
          <w:rFonts w:eastAsia="Arial"/>
          <w:sz w:val="24"/>
          <w:szCs w:val="24"/>
        </w:rPr>
        <w:t xml:space="preserve"> </w:t>
      </w:r>
    </w:p>
    <w:p w14:paraId="17ECFB48" w14:textId="2CB7A880"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lastRenderedPageBreak/>
        <w:t>Hoeve</w:t>
      </w:r>
      <w:proofErr w:type="spellEnd"/>
      <w:r w:rsidRPr="3062587F">
        <w:rPr>
          <w:rFonts w:eastAsia="Arial"/>
          <w:sz w:val="24"/>
          <w:szCs w:val="24"/>
          <w:lang w:val="en-US"/>
        </w:rPr>
        <w:t xml:space="preserve">, M., de Bruin, E. I., van </w:t>
      </w:r>
      <w:proofErr w:type="spellStart"/>
      <w:r w:rsidRPr="3062587F">
        <w:rPr>
          <w:rFonts w:eastAsia="Arial"/>
          <w:sz w:val="24"/>
          <w:szCs w:val="24"/>
          <w:lang w:val="en-US"/>
        </w:rPr>
        <w:t>Rooij</w:t>
      </w:r>
      <w:proofErr w:type="spellEnd"/>
      <w:r w:rsidRPr="3062587F">
        <w:rPr>
          <w:rFonts w:eastAsia="Arial"/>
          <w:sz w:val="24"/>
          <w:szCs w:val="24"/>
          <w:lang w:val="en-US"/>
        </w:rPr>
        <w:t xml:space="preserve">, F., and </w:t>
      </w:r>
      <w:proofErr w:type="spellStart"/>
      <w:r w:rsidRPr="3062587F">
        <w:rPr>
          <w:rFonts w:eastAsia="Arial"/>
          <w:sz w:val="24"/>
          <w:szCs w:val="24"/>
          <w:lang w:val="en-US"/>
        </w:rPr>
        <w:t>Bogels</w:t>
      </w:r>
      <w:proofErr w:type="spellEnd"/>
      <w:r w:rsidRPr="3062587F">
        <w:rPr>
          <w:rFonts w:eastAsia="Arial"/>
          <w:sz w:val="24"/>
          <w:szCs w:val="24"/>
          <w:lang w:val="en-US"/>
        </w:rPr>
        <w:t xml:space="preserve">, S. M. (2021) Effects of Mindfulness-Based Intervention for Police Officers. </w:t>
      </w:r>
      <w:r w:rsidRPr="3062587F">
        <w:rPr>
          <w:rFonts w:eastAsia="Arial"/>
          <w:i/>
          <w:iCs/>
          <w:sz w:val="24"/>
          <w:szCs w:val="24"/>
          <w:lang w:val="en-US"/>
        </w:rPr>
        <w:t>Mindfulness</w:t>
      </w:r>
      <w:r w:rsidRPr="3062587F">
        <w:rPr>
          <w:rFonts w:eastAsia="Arial"/>
          <w:sz w:val="24"/>
          <w:szCs w:val="24"/>
          <w:lang w:val="en-US"/>
        </w:rPr>
        <w:t xml:space="preserve">. 12(1). Pp.1672-1684.  </w:t>
      </w:r>
    </w:p>
    <w:p w14:paraId="19B3EB03" w14:textId="6CCBD9E4"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Hoggett</w:t>
      </w:r>
      <w:proofErr w:type="spellEnd"/>
      <w:r w:rsidRPr="3062587F">
        <w:rPr>
          <w:rFonts w:eastAsia="Arial"/>
          <w:sz w:val="24"/>
          <w:szCs w:val="24"/>
          <w:lang w:val="en-US"/>
        </w:rPr>
        <w:t xml:space="preserve">, J., Redford, P., </w:t>
      </w:r>
      <w:proofErr w:type="spellStart"/>
      <w:r w:rsidRPr="3062587F">
        <w:rPr>
          <w:rFonts w:eastAsia="Arial"/>
          <w:sz w:val="24"/>
          <w:szCs w:val="24"/>
          <w:lang w:val="en-US"/>
        </w:rPr>
        <w:t>Toher</w:t>
      </w:r>
      <w:proofErr w:type="spellEnd"/>
      <w:r w:rsidRPr="3062587F">
        <w:rPr>
          <w:rFonts w:eastAsia="Arial"/>
          <w:sz w:val="24"/>
          <w:szCs w:val="24"/>
          <w:lang w:val="en-US"/>
        </w:rPr>
        <w:t xml:space="preserve">, D., and White, P. (2019) Challenges for Police Leadership: Identity, Experience, Legitimacy and Direct Entry. </w:t>
      </w:r>
      <w:r w:rsidRPr="3062587F">
        <w:rPr>
          <w:rFonts w:eastAsia="Arial"/>
          <w:i/>
          <w:iCs/>
          <w:sz w:val="24"/>
          <w:szCs w:val="24"/>
          <w:lang w:val="en-US"/>
        </w:rPr>
        <w:t>Journal of Police and Criminal Psychology</w:t>
      </w:r>
      <w:r w:rsidRPr="3062587F">
        <w:rPr>
          <w:rFonts w:eastAsia="Arial"/>
          <w:sz w:val="24"/>
          <w:szCs w:val="24"/>
          <w:lang w:val="en-US"/>
        </w:rPr>
        <w:t xml:space="preserve">. 34(1). Pp.145-155. </w:t>
      </w:r>
      <w:r w:rsidRPr="3062587F">
        <w:rPr>
          <w:rFonts w:eastAsia="Arial"/>
          <w:sz w:val="24"/>
          <w:szCs w:val="24"/>
        </w:rPr>
        <w:t xml:space="preserve"> </w:t>
      </w:r>
    </w:p>
    <w:p w14:paraId="09ED737E" w14:textId="23756A86"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Hong, S. (2017) Black in Blue: Racial Profiling and Representative Bureaucracy in Policing Revisited. </w:t>
      </w:r>
      <w:r w:rsidRPr="3062587F">
        <w:rPr>
          <w:rFonts w:eastAsia="Arial"/>
          <w:i/>
          <w:iCs/>
          <w:sz w:val="24"/>
          <w:szCs w:val="24"/>
          <w:lang w:val="en-US"/>
        </w:rPr>
        <w:t>Journal of Public Administration Research and Theory</w:t>
      </w:r>
      <w:r w:rsidRPr="3062587F">
        <w:rPr>
          <w:rFonts w:eastAsia="Arial"/>
          <w:sz w:val="24"/>
          <w:szCs w:val="24"/>
          <w:lang w:val="en-US"/>
        </w:rPr>
        <w:t xml:space="preserve">. 27(4). Pp.547-561.  </w:t>
      </w:r>
    </w:p>
    <w:p w14:paraId="21283C15" w14:textId="4D728FA1"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Kim, S., </w:t>
      </w:r>
      <w:proofErr w:type="spellStart"/>
      <w:r w:rsidRPr="3062587F">
        <w:rPr>
          <w:rFonts w:eastAsia="Arial"/>
          <w:sz w:val="24"/>
          <w:szCs w:val="24"/>
          <w:lang w:val="en-US"/>
        </w:rPr>
        <w:t>Bochatay</w:t>
      </w:r>
      <w:proofErr w:type="spellEnd"/>
      <w:r w:rsidRPr="3062587F">
        <w:rPr>
          <w:rFonts w:eastAsia="Arial"/>
          <w:sz w:val="24"/>
          <w:szCs w:val="24"/>
          <w:lang w:val="en-US"/>
        </w:rPr>
        <w:t xml:space="preserve">, N., Relyea-Chew, A., </w:t>
      </w:r>
      <w:proofErr w:type="spellStart"/>
      <w:r w:rsidRPr="3062587F">
        <w:rPr>
          <w:rFonts w:eastAsia="Arial"/>
          <w:sz w:val="24"/>
          <w:szCs w:val="24"/>
          <w:lang w:val="en-US"/>
        </w:rPr>
        <w:t>Buttrick</w:t>
      </w:r>
      <w:proofErr w:type="spellEnd"/>
      <w:r w:rsidRPr="3062587F">
        <w:rPr>
          <w:rFonts w:eastAsia="Arial"/>
          <w:sz w:val="24"/>
          <w:szCs w:val="24"/>
          <w:lang w:val="en-US"/>
        </w:rPr>
        <w:t xml:space="preserve">, E., Amdahl, C., Kim, L., Frans, E., </w:t>
      </w:r>
      <w:proofErr w:type="spellStart"/>
      <w:r w:rsidRPr="3062587F">
        <w:rPr>
          <w:rFonts w:eastAsia="Arial"/>
          <w:sz w:val="24"/>
          <w:szCs w:val="24"/>
          <w:lang w:val="en-US"/>
        </w:rPr>
        <w:t>Mossanen</w:t>
      </w:r>
      <w:proofErr w:type="spellEnd"/>
      <w:r w:rsidRPr="3062587F">
        <w:rPr>
          <w:rFonts w:eastAsia="Arial"/>
          <w:sz w:val="24"/>
          <w:szCs w:val="24"/>
          <w:lang w:val="en-US"/>
        </w:rPr>
        <w:t xml:space="preserve">, M., </w:t>
      </w:r>
      <w:proofErr w:type="spellStart"/>
      <w:r w:rsidRPr="3062587F">
        <w:rPr>
          <w:rFonts w:eastAsia="Arial"/>
          <w:sz w:val="24"/>
          <w:szCs w:val="24"/>
          <w:lang w:val="en-US"/>
        </w:rPr>
        <w:t>Khandekar</w:t>
      </w:r>
      <w:proofErr w:type="spellEnd"/>
      <w:r w:rsidRPr="3062587F">
        <w:rPr>
          <w:rFonts w:eastAsia="Arial"/>
          <w:sz w:val="24"/>
          <w:szCs w:val="24"/>
          <w:lang w:val="en-US"/>
        </w:rPr>
        <w:t xml:space="preserve">, A., Fehr, R., and Lee, Y. (2017) Individual, interpersonal, and </w:t>
      </w:r>
      <w:proofErr w:type="spellStart"/>
      <w:r w:rsidRPr="3062587F">
        <w:rPr>
          <w:rFonts w:eastAsia="Arial"/>
          <w:sz w:val="24"/>
          <w:szCs w:val="24"/>
          <w:lang w:val="en-US"/>
        </w:rPr>
        <w:t>organisational</w:t>
      </w:r>
      <w:proofErr w:type="spellEnd"/>
      <w:r w:rsidRPr="3062587F">
        <w:rPr>
          <w:rFonts w:eastAsia="Arial"/>
          <w:sz w:val="24"/>
          <w:szCs w:val="24"/>
          <w:lang w:val="en-US"/>
        </w:rPr>
        <w:t xml:space="preserve"> factors of healthcare conflict: A scoping review. </w:t>
      </w:r>
      <w:r w:rsidRPr="3062587F">
        <w:rPr>
          <w:rFonts w:eastAsia="Arial"/>
          <w:i/>
          <w:iCs/>
          <w:sz w:val="24"/>
          <w:szCs w:val="24"/>
          <w:lang w:val="en-US"/>
        </w:rPr>
        <w:t>Journal of Interprofessional Care</w:t>
      </w:r>
      <w:r w:rsidRPr="3062587F">
        <w:rPr>
          <w:rFonts w:eastAsia="Arial"/>
          <w:sz w:val="24"/>
          <w:szCs w:val="24"/>
          <w:lang w:val="en-US"/>
        </w:rPr>
        <w:t xml:space="preserve">. 31(3). Pp.282-290.  </w:t>
      </w:r>
    </w:p>
    <w:p w14:paraId="5D63D144" w14:textId="166DE281"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Laing, L. and Humphreys, C. (2013) ‘Social Work and Domestic Violence: Developing Critical and Reflective Practice’. SAGE: California.  </w:t>
      </w:r>
    </w:p>
    <w:p w14:paraId="156EC573" w14:textId="20253E65"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Loftus, B., </w:t>
      </w:r>
      <w:proofErr w:type="spellStart"/>
      <w:r w:rsidRPr="3062587F">
        <w:rPr>
          <w:rFonts w:eastAsia="Arial"/>
          <w:sz w:val="24"/>
          <w:szCs w:val="24"/>
          <w:lang w:val="en-US"/>
        </w:rPr>
        <w:t>Goold</w:t>
      </w:r>
      <w:proofErr w:type="spellEnd"/>
      <w:r w:rsidRPr="3062587F">
        <w:rPr>
          <w:rFonts w:eastAsia="Arial"/>
          <w:sz w:val="24"/>
          <w:szCs w:val="24"/>
          <w:lang w:val="en-US"/>
        </w:rPr>
        <w:t xml:space="preserve">, B., and </w:t>
      </w:r>
      <w:proofErr w:type="spellStart"/>
      <w:r w:rsidRPr="3062587F">
        <w:rPr>
          <w:rFonts w:eastAsia="Arial"/>
          <w:sz w:val="24"/>
          <w:szCs w:val="24"/>
          <w:lang w:val="en-US"/>
        </w:rPr>
        <w:t>Giollabhui</w:t>
      </w:r>
      <w:proofErr w:type="spellEnd"/>
      <w:r w:rsidRPr="3062587F">
        <w:rPr>
          <w:rFonts w:eastAsia="Arial"/>
          <w:sz w:val="24"/>
          <w:szCs w:val="24"/>
          <w:lang w:val="en-US"/>
        </w:rPr>
        <w:t xml:space="preserve">, S. S. (2016) From a Visible Spectacle to an Invisible Presence: The Working Culture of Covert Policing. </w:t>
      </w:r>
      <w:r w:rsidRPr="3062587F">
        <w:rPr>
          <w:rFonts w:eastAsia="Arial"/>
          <w:i/>
          <w:iCs/>
          <w:sz w:val="24"/>
          <w:szCs w:val="24"/>
          <w:lang w:val="en-US"/>
        </w:rPr>
        <w:t>The British Journal of Criminology</w:t>
      </w:r>
      <w:r w:rsidRPr="3062587F">
        <w:rPr>
          <w:rFonts w:eastAsia="Arial"/>
          <w:sz w:val="24"/>
          <w:szCs w:val="24"/>
          <w:lang w:val="en-US"/>
        </w:rPr>
        <w:t xml:space="preserve">. 56(4). Pp.629-645. </w:t>
      </w:r>
      <w:r w:rsidRPr="3062587F">
        <w:rPr>
          <w:rFonts w:eastAsia="Arial"/>
          <w:sz w:val="24"/>
          <w:szCs w:val="24"/>
        </w:rPr>
        <w:t xml:space="preserve"> </w:t>
      </w:r>
    </w:p>
    <w:p w14:paraId="4447ADF9" w14:textId="7C5F4A2A"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Manning, P. M. (2008) ‘The Technology of Policing: Crime Mapping, Information Technology, and the Rationality of Crime Control’. NYU Press: New York. </w:t>
      </w:r>
    </w:p>
    <w:p w14:paraId="48D105FF" w14:textId="41548B30"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McCarty, W. P., and </w:t>
      </w:r>
      <w:proofErr w:type="spellStart"/>
      <w:r w:rsidRPr="3062587F">
        <w:rPr>
          <w:rFonts w:eastAsia="Arial"/>
          <w:sz w:val="24"/>
          <w:szCs w:val="24"/>
          <w:lang w:val="en-US"/>
        </w:rPr>
        <w:t>Skogen</w:t>
      </w:r>
      <w:proofErr w:type="spellEnd"/>
      <w:r w:rsidRPr="3062587F">
        <w:rPr>
          <w:rFonts w:eastAsia="Arial"/>
          <w:sz w:val="24"/>
          <w:szCs w:val="24"/>
          <w:lang w:val="en-US"/>
        </w:rPr>
        <w:t xml:space="preserve">, W. G. (2012) Job-Related Burnout Among Civilian and Sworn Police Personnel. </w:t>
      </w:r>
      <w:r w:rsidRPr="3062587F">
        <w:rPr>
          <w:rFonts w:eastAsia="Arial"/>
          <w:i/>
          <w:iCs/>
          <w:sz w:val="24"/>
          <w:szCs w:val="24"/>
          <w:lang w:val="en-US"/>
        </w:rPr>
        <w:t>Police Quarterly</w:t>
      </w:r>
      <w:r w:rsidRPr="3062587F">
        <w:rPr>
          <w:rFonts w:eastAsia="Arial"/>
          <w:sz w:val="24"/>
          <w:szCs w:val="24"/>
          <w:lang w:val="en-US"/>
        </w:rPr>
        <w:t xml:space="preserve">. 16(1). Pp.66-84.  </w:t>
      </w:r>
    </w:p>
    <w:p w14:paraId="679DC8D1" w14:textId="3E7CD74D"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McDowall, A., and Lindsay, A. (2014) Work-Life Balance in the Police: The Development of a Self-Management Competency Framework. Journal of Business and Psychology. 29(1). Pp.397-411.</w:t>
      </w:r>
      <w:r w:rsidRPr="3062587F">
        <w:rPr>
          <w:rFonts w:eastAsia="Arial"/>
          <w:sz w:val="24"/>
          <w:szCs w:val="24"/>
        </w:rPr>
        <w:t xml:space="preserve"> </w:t>
      </w:r>
    </w:p>
    <w:p w14:paraId="6FDB5EC3" w14:textId="4EC6C6B0"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Miller, H., and Rayner, C. (2012) The Form and Function of “Bullying” Behaviors in a Strong Occupational Culture: Bullying in a U.K. Police Force. </w:t>
      </w:r>
      <w:r w:rsidRPr="3062587F">
        <w:rPr>
          <w:rFonts w:eastAsia="Arial"/>
          <w:i/>
          <w:iCs/>
          <w:sz w:val="24"/>
          <w:szCs w:val="24"/>
          <w:lang w:val="en-US"/>
        </w:rPr>
        <w:t>Group and Organization Management</w:t>
      </w:r>
      <w:r w:rsidRPr="3062587F">
        <w:rPr>
          <w:rFonts w:eastAsia="Arial"/>
          <w:sz w:val="24"/>
          <w:szCs w:val="24"/>
          <w:lang w:val="en-US"/>
        </w:rPr>
        <w:t xml:space="preserve">. 37(3). Pp.347-375. </w:t>
      </w:r>
    </w:p>
    <w:p w14:paraId="1D18223D" w14:textId="1FB9F145"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Palttala</w:t>
      </w:r>
      <w:proofErr w:type="spellEnd"/>
      <w:r w:rsidRPr="3062587F">
        <w:rPr>
          <w:rFonts w:eastAsia="Arial"/>
          <w:sz w:val="24"/>
          <w:szCs w:val="24"/>
          <w:lang w:val="en-US"/>
        </w:rPr>
        <w:t xml:space="preserve">, P., </w:t>
      </w:r>
      <w:proofErr w:type="spellStart"/>
      <w:r w:rsidRPr="3062587F">
        <w:rPr>
          <w:rFonts w:eastAsia="Arial"/>
          <w:sz w:val="24"/>
          <w:szCs w:val="24"/>
          <w:lang w:val="en-US"/>
        </w:rPr>
        <w:t>Boano</w:t>
      </w:r>
      <w:proofErr w:type="spellEnd"/>
      <w:r w:rsidRPr="3062587F">
        <w:rPr>
          <w:rFonts w:eastAsia="Arial"/>
          <w:sz w:val="24"/>
          <w:szCs w:val="24"/>
          <w:lang w:val="en-US"/>
        </w:rPr>
        <w:t xml:space="preserve">, C., Lund, R., and Vos, M. (2011) Communication Gaps in Disaster Management: Perceptions by Experts from Governmental and Non-Governmental Organizations. </w:t>
      </w:r>
      <w:r w:rsidRPr="3062587F">
        <w:rPr>
          <w:rFonts w:eastAsia="Arial"/>
          <w:i/>
          <w:iCs/>
          <w:sz w:val="24"/>
          <w:szCs w:val="24"/>
          <w:lang w:val="en-US"/>
        </w:rPr>
        <w:t>Journal of Contingencies and Crisis Management</w:t>
      </w:r>
      <w:r w:rsidRPr="3062587F">
        <w:rPr>
          <w:rFonts w:eastAsia="Arial"/>
          <w:sz w:val="24"/>
          <w:szCs w:val="24"/>
          <w:lang w:val="en-US"/>
        </w:rPr>
        <w:t xml:space="preserve">. 20(1). Pp.2-12. </w:t>
      </w:r>
    </w:p>
    <w:p w14:paraId="580AEC09" w14:textId="2E2F9A3E"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lastRenderedPageBreak/>
        <w:t>Papazoglou</w:t>
      </w:r>
      <w:proofErr w:type="spellEnd"/>
      <w:r w:rsidRPr="3062587F">
        <w:rPr>
          <w:rFonts w:eastAsia="Arial"/>
          <w:sz w:val="24"/>
          <w:szCs w:val="24"/>
          <w:lang w:val="en-US"/>
        </w:rPr>
        <w:t xml:space="preserve">, K., and Andersen, J. P. (2014) A guide to utilizing police training as a tool to promote resilience and improve health outcomes among police officers. </w:t>
      </w:r>
      <w:proofErr w:type="spellStart"/>
      <w:r w:rsidRPr="3062587F">
        <w:rPr>
          <w:rFonts w:eastAsia="Arial"/>
          <w:i/>
          <w:iCs/>
          <w:sz w:val="24"/>
          <w:szCs w:val="24"/>
          <w:lang w:val="en-US"/>
        </w:rPr>
        <w:t>Tramautology</w:t>
      </w:r>
      <w:proofErr w:type="spellEnd"/>
      <w:r w:rsidRPr="3062587F">
        <w:rPr>
          <w:rFonts w:eastAsia="Arial"/>
          <w:i/>
          <w:iCs/>
          <w:sz w:val="24"/>
          <w:szCs w:val="24"/>
          <w:lang w:val="en-US"/>
        </w:rPr>
        <w:t>: An International Journal</w:t>
      </w:r>
      <w:r w:rsidRPr="3062587F">
        <w:rPr>
          <w:rFonts w:eastAsia="Arial"/>
          <w:sz w:val="24"/>
          <w:szCs w:val="24"/>
          <w:lang w:val="en-US"/>
        </w:rPr>
        <w:t xml:space="preserve">. 20(2). Pp.103-111. </w:t>
      </w:r>
      <w:r w:rsidRPr="3062587F">
        <w:rPr>
          <w:rFonts w:eastAsia="Arial"/>
          <w:sz w:val="24"/>
          <w:szCs w:val="24"/>
        </w:rPr>
        <w:t xml:space="preserve"> </w:t>
      </w:r>
    </w:p>
    <w:p w14:paraId="0C8A2439" w14:textId="2CEF2D79"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Pless</w:t>
      </w:r>
      <w:proofErr w:type="spellEnd"/>
      <w:r w:rsidRPr="3062587F">
        <w:rPr>
          <w:rFonts w:eastAsia="Arial"/>
          <w:sz w:val="24"/>
          <w:szCs w:val="24"/>
          <w:lang w:val="en-US"/>
        </w:rPr>
        <w:t xml:space="preserve">, N., and Maak, T. (2004) Building and Inclusive Diversity Culture: Principles, Processes and Practice. </w:t>
      </w:r>
      <w:r w:rsidRPr="3062587F">
        <w:rPr>
          <w:rFonts w:eastAsia="Arial"/>
          <w:i/>
          <w:iCs/>
          <w:sz w:val="24"/>
          <w:szCs w:val="24"/>
          <w:lang w:val="en-US"/>
        </w:rPr>
        <w:t>Journal of Business Ethics</w:t>
      </w:r>
      <w:r w:rsidRPr="3062587F">
        <w:rPr>
          <w:rFonts w:eastAsia="Arial"/>
          <w:sz w:val="24"/>
          <w:szCs w:val="24"/>
          <w:lang w:val="en-US"/>
        </w:rPr>
        <w:t xml:space="preserve">. 54(1). Pp.129-147. </w:t>
      </w:r>
    </w:p>
    <w:p w14:paraId="7B16EE02" w14:textId="66601252"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Price, M. (2017) Psychiatric Disability in Law Enforcement Officers. </w:t>
      </w:r>
      <w:r w:rsidRPr="3062587F">
        <w:rPr>
          <w:rFonts w:eastAsia="Arial"/>
          <w:i/>
          <w:iCs/>
          <w:sz w:val="24"/>
          <w:szCs w:val="24"/>
          <w:lang w:val="en-US"/>
        </w:rPr>
        <w:t>Behavioral Sciences and the Law.</w:t>
      </w:r>
      <w:r w:rsidRPr="3062587F">
        <w:rPr>
          <w:rFonts w:eastAsia="Arial"/>
          <w:sz w:val="24"/>
          <w:szCs w:val="24"/>
          <w:lang w:val="en-US"/>
        </w:rPr>
        <w:t xml:space="preserve"> 35(2). Pp.113-123. </w:t>
      </w:r>
      <w:r w:rsidRPr="3062587F">
        <w:rPr>
          <w:rFonts w:eastAsia="Arial"/>
          <w:sz w:val="24"/>
          <w:szCs w:val="24"/>
        </w:rPr>
        <w:t xml:space="preserve"> </w:t>
      </w:r>
    </w:p>
    <w:p w14:paraId="4E1B4E4F" w14:textId="49FB985C"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Ramchunder</w:t>
      </w:r>
      <w:proofErr w:type="spellEnd"/>
      <w:r w:rsidRPr="3062587F">
        <w:rPr>
          <w:rFonts w:eastAsia="Arial"/>
          <w:sz w:val="24"/>
          <w:szCs w:val="24"/>
          <w:lang w:val="en-US"/>
        </w:rPr>
        <w:t xml:space="preserve">, Y. and Martins, N. (2014) The role of self-efficacy, emotional intelligence and leadership style as attributes of leadership effectiveness: original research. SA Journal of Industrial Psychology. 40(1). </w:t>
      </w:r>
    </w:p>
    <w:p w14:paraId="5F410FBB" w14:textId="22B438E8"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Riccucci</w:t>
      </w:r>
      <w:proofErr w:type="spellEnd"/>
      <w:r w:rsidRPr="3062587F">
        <w:rPr>
          <w:rFonts w:eastAsia="Arial"/>
          <w:sz w:val="24"/>
          <w:szCs w:val="24"/>
          <w:lang w:val="en-US"/>
        </w:rPr>
        <w:t xml:space="preserve">, N. M., and Van </w:t>
      </w:r>
      <w:proofErr w:type="spellStart"/>
      <w:r w:rsidRPr="3062587F">
        <w:rPr>
          <w:rFonts w:eastAsia="Arial"/>
          <w:sz w:val="24"/>
          <w:szCs w:val="24"/>
          <w:lang w:val="en-US"/>
        </w:rPr>
        <w:t>Ryzin</w:t>
      </w:r>
      <w:proofErr w:type="spellEnd"/>
      <w:r w:rsidRPr="3062587F">
        <w:rPr>
          <w:rFonts w:eastAsia="Arial"/>
          <w:sz w:val="24"/>
          <w:szCs w:val="24"/>
          <w:lang w:val="en-US"/>
        </w:rPr>
        <w:t xml:space="preserve">, G. G. (2016) Representative Bureaucracy: A Lever to Enhance Social Equity, Coproduction, and Democracy. </w:t>
      </w:r>
      <w:r w:rsidRPr="3062587F">
        <w:rPr>
          <w:rFonts w:eastAsia="Arial"/>
          <w:i/>
          <w:iCs/>
          <w:sz w:val="24"/>
          <w:szCs w:val="24"/>
          <w:lang w:val="en-US"/>
        </w:rPr>
        <w:t>Public Administration Review</w:t>
      </w:r>
      <w:r w:rsidRPr="3062587F">
        <w:rPr>
          <w:rFonts w:eastAsia="Arial"/>
          <w:sz w:val="24"/>
          <w:szCs w:val="24"/>
          <w:lang w:val="en-US"/>
        </w:rPr>
        <w:t xml:space="preserve">. 77(1). Pp.21-30. </w:t>
      </w:r>
      <w:r w:rsidRPr="3062587F">
        <w:rPr>
          <w:rFonts w:eastAsia="Arial"/>
          <w:sz w:val="24"/>
          <w:szCs w:val="24"/>
        </w:rPr>
        <w:t xml:space="preserve"> </w:t>
      </w:r>
    </w:p>
    <w:p w14:paraId="04AD4F04" w14:textId="474B0442"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Schaible</w:t>
      </w:r>
      <w:proofErr w:type="spellEnd"/>
      <w:r w:rsidRPr="3062587F">
        <w:rPr>
          <w:rFonts w:eastAsia="Arial"/>
          <w:sz w:val="24"/>
          <w:szCs w:val="24"/>
          <w:lang w:val="en-US"/>
        </w:rPr>
        <w:t xml:space="preserve">, L. M., and Sheffield, J. (2012) Intelligence-led policing and change in state law enforcement. </w:t>
      </w:r>
      <w:r w:rsidRPr="3062587F">
        <w:rPr>
          <w:rFonts w:eastAsia="Arial"/>
          <w:i/>
          <w:iCs/>
          <w:sz w:val="24"/>
          <w:szCs w:val="24"/>
          <w:lang w:val="en-US"/>
        </w:rPr>
        <w:t>Policing: An International journal</w:t>
      </w:r>
      <w:r w:rsidRPr="3062587F">
        <w:rPr>
          <w:rFonts w:eastAsia="Arial"/>
          <w:sz w:val="24"/>
          <w:szCs w:val="24"/>
          <w:lang w:val="en-US"/>
        </w:rPr>
        <w:t xml:space="preserve">. 35(4). Pp.761-784.  </w:t>
      </w:r>
    </w:p>
    <w:p w14:paraId="7588BB7D" w14:textId="1DF79A15" w:rsidR="3062587F" w:rsidRDefault="3062587F" w:rsidP="00715841">
      <w:pPr>
        <w:pStyle w:val="ListParagraph"/>
        <w:numPr>
          <w:ilvl w:val="0"/>
          <w:numId w:val="1"/>
        </w:numPr>
        <w:spacing w:line="360" w:lineRule="auto"/>
        <w:rPr>
          <w:rFonts w:eastAsia="Arial"/>
          <w:sz w:val="24"/>
          <w:szCs w:val="24"/>
          <w:lang w:val="en-US"/>
        </w:rPr>
      </w:pPr>
      <w:proofErr w:type="spellStart"/>
      <w:r w:rsidRPr="3062587F">
        <w:rPr>
          <w:rFonts w:eastAsia="Arial"/>
          <w:sz w:val="24"/>
          <w:szCs w:val="24"/>
          <w:lang w:val="en-US"/>
        </w:rPr>
        <w:t>Sonnentag</w:t>
      </w:r>
      <w:proofErr w:type="spellEnd"/>
      <w:r w:rsidRPr="3062587F">
        <w:rPr>
          <w:rFonts w:eastAsia="Arial"/>
          <w:sz w:val="24"/>
          <w:szCs w:val="24"/>
          <w:lang w:val="en-US"/>
        </w:rPr>
        <w:t xml:space="preserve">, S., and Fritz, C. (2014). Recovery from job stress: The stressor-detachment model as an integrative framework. </w:t>
      </w:r>
      <w:r w:rsidRPr="3062587F">
        <w:rPr>
          <w:rFonts w:eastAsia="Arial"/>
          <w:i/>
          <w:iCs/>
          <w:sz w:val="24"/>
          <w:szCs w:val="24"/>
          <w:lang w:val="en-US"/>
        </w:rPr>
        <w:t>Journal of Organizational Behavior</w:t>
      </w:r>
      <w:r w:rsidRPr="3062587F">
        <w:rPr>
          <w:rFonts w:eastAsia="Arial"/>
          <w:sz w:val="24"/>
          <w:szCs w:val="24"/>
          <w:lang w:val="en-US"/>
        </w:rPr>
        <w:t xml:space="preserve">. 36(S1). </w:t>
      </w:r>
      <w:proofErr w:type="gramStart"/>
      <w:r w:rsidRPr="3062587F">
        <w:rPr>
          <w:rFonts w:eastAsia="Arial"/>
          <w:sz w:val="24"/>
          <w:szCs w:val="24"/>
          <w:lang w:val="en-US"/>
        </w:rPr>
        <w:t>Pp.S</w:t>
      </w:r>
      <w:proofErr w:type="gramEnd"/>
      <w:r w:rsidRPr="3062587F">
        <w:rPr>
          <w:rFonts w:eastAsia="Arial"/>
          <w:sz w:val="24"/>
          <w:szCs w:val="24"/>
          <w:lang w:val="en-US"/>
        </w:rPr>
        <w:t xml:space="preserve">72-S103.  </w:t>
      </w:r>
    </w:p>
    <w:p w14:paraId="359C3F8C" w14:textId="101AA996" w:rsidR="3062587F" w:rsidRDefault="3062587F" w:rsidP="00715841">
      <w:pPr>
        <w:pStyle w:val="ListParagraph"/>
        <w:numPr>
          <w:ilvl w:val="0"/>
          <w:numId w:val="1"/>
        </w:numPr>
        <w:spacing w:line="360" w:lineRule="auto"/>
        <w:rPr>
          <w:rFonts w:eastAsia="Arial"/>
          <w:sz w:val="24"/>
          <w:szCs w:val="24"/>
        </w:rPr>
      </w:pPr>
      <w:proofErr w:type="spellStart"/>
      <w:r w:rsidRPr="3062587F">
        <w:rPr>
          <w:rFonts w:eastAsia="Arial"/>
          <w:sz w:val="24"/>
          <w:szCs w:val="24"/>
          <w:lang w:val="en-US"/>
        </w:rPr>
        <w:t>Swid</w:t>
      </w:r>
      <w:proofErr w:type="spellEnd"/>
      <w:r w:rsidRPr="3062587F">
        <w:rPr>
          <w:rFonts w:eastAsia="Arial"/>
          <w:sz w:val="24"/>
          <w:szCs w:val="24"/>
          <w:lang w:val="en-US"/>
        </w:rPr>
        <w:t xml:space="preserve">, A. (2014) Police members perception of their leaders’ leadership style and its implications. </w:t>
      </w:r>
      <w:r w:rsidRPr="3062587F">
        <w:rPr>
          <w:rFonts w:eastAsia="Arial"/>
          <w:i/>
          <w:iCs/>
          <w:sz w:val="24"/>
          <w:szCs w:val="24"/>
          <w:lang w:val="en-US"/>
        </w:rPr>
        <w:t>Policing: An International Journal</w:t>
      </w:r>
      <w:r w:rsidRPr="3062587F">
        <w:rPr>
          <w:rFonts w:eastAsia="Arial"/>
          <w:sz w:val="24"/>
          <w:szCs w:val="24"/>
          <w:lang w:val="en-US"/>
        </w:rPr>
        <w:t>. 37(3).</w:t>
      </w:r>
      <w:r w:rsidRPr="3062587F">
        <w:rPr>
          <w:rFonts w:eastAsia="Arial"/>
          <w:sz w:val="24"/>
          <w:szCs w:val="24"/>
        </w:rPr>
        <w:t xml:space="preserve"> </w:t>
      </w:r>
    </w:p>
    <w:p w14:paraId="4F24EC90" w14:textId="14B48107"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t xml:space="preserve">Tol, W. A., </w:t>
      </w:r>
      <w:proofErr w:type="spellStart"/>
      <w:r w:rsidRPr="3062587F">
        <w:rPr>
          <w:rFonts w:eastAsia="Arial"/>
          <w:sz w:val="24"/>
          <w:szCs w:val="24"/>
          <w:lang w:val="en-US"/>
        </w:rPr>
        <w:t>Purgato</w:t>
      </w:r>
      <w:proofErr w:type="spellEnd"/>
      <w:r w:rsidRPr="3062587F">
        <w:rPr>
          <w:rFonts w:eastAsia="Arial"/>
          <w:sz w:val="24"/>
          <w:szCs w:val="24"/>
          <w:lang w:val="en-US"/>
        </w:rPr>
        <w:t xml:space="preserve">, M, Bass., J. K., </w:t>
      </w:r>
      <w:proofErr w:type="spellStart"/>
      <w:r w:rsidRPr="3062587F">
        <w:rPr>
          <w:rFonts w:eastAsia="Arial"/>
          <w:sz w:val="24"/>
          <w:szCs w:val="24"/>
          <w:lang w:val="en-US"/>
        </w:rPr>
        <w:t>Galappatti</w:t>
      </w:r>
      <w:proofErr w:type="spellEnd"/>
      <w:r w:rsidRPr="3062587F">
        <w:rPr>
          <w:rFonts w:eastAsia="Arial"/>
          <w:sz w:val="24"/>
          <w:szCs w:val="24"/>
          <w:lang w:val="en-US"/>
        </w:rPr>
        <w:t xml:space="preserve">, A., and Eaton, W. (2015) Mental health and psychological support in humanitarian settings: a public mental health perspective. </w:t>
      </w:r>
      <w:r w:rsidRPr="3062587F">
        <w:rPr>
          <w:rFonts w:eastAsia="Arial"/>
          <w:i/>
          <w:iCs/>
          <w:sz w:val="24"/>
          <w:szCs w:val="24"/>
          <w:lang w:val="en-US"/>
        </w:rPr>
        <w:t>Epidemiology and Psychiatric Sciences</w:t>
      </w:r>
      <w:r w:rsidRPr="3062587F">
        <w:rPr>
          <w:rFonts w:eastAsia="Arial"/>
          <w:sz w:val="24"/>
          <w:szCs w:val="24"/>
          <w:lang w:val="en-US"/>
        </w:rPr>
        <w:t xml:space="preserve">. 24(6). Pp.484-494. </w:t>
      </w:r>
      <w:r w:rsidRPr="3062587F">
        <w:rPr>
          <w:rFonts w:eastAsia="Arial"/>
          <w:sz w:val="24"/>
          <w:szCs w:val="24"/>
        </w:rPr>
        <w:t xml:space="preserve"> </w:t>
      </w:r>
    </w:p>
    <w:p w14:paraId="5E6D1671" w14:textId="1EF3F0BB"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Van Dijk, A., and Crofts, N. (2017) Law enforcement and public health as an emerging field. An </w:t>
      </w:r>
      <w:r w:rsidRPr="3062587F">
        <w:rPr>
          <w:rFonts w:eastAsia="Arial"/>
          <w:i/>
          <w:iCs/>
          <w:sz w:val="24"/>
          <w:szCs w:val="24"/>
          <w:lang w:val="en-US"/>
        </w:rPr>
        <w:t>International Journal of Research and Policy</w:t>
      </w:r>
      <w:r w:rsidRPr="3062587F">
        <w:rPr>
          <w:rFonts w:eastAsia="Arial"/>
          <w:sz w:val="24"/>
          <w:szCs w:val="24"/>
          <w:lang w:val="en-US"/>
        </w:rPr>
        <w:t xml:space="preserve">. 27(3). Pp.261-275.  </w:t>
      </w:r>
    </w:p>
    <w:p w14:paraId="69E612B8" w14:textId="1E3694BC" w:rsidR="3062587F" w:rsidRDefault="3062587F" w:rsidP="00715841">
      <w:pPr>
        <w:pStyle w:val="ListParagraph"/>
        <w:numPr>
          <w:ilvl w:val="0"/>
          <w:numId w:val="1"/>
        </w:numPr>
        <w:spacing w:line="360" w:lineRule="auto"/>
        <w:rPr>
          <w:rFonts w:eastAsia="Arial"/>
          <w:sz w:val="24"/>
          <w:szCs w:val="24"/>
          <w:lang w:val="en-US"/>
        </w:rPr>
      </w:pPr>
      <w:r w:rsidRPr="3062587F">
        <w:rPr>
          <w:rFonts w:eastAsia="Arial"/>
          <w:sz w:val="24"/>
          <w:szCs w:val="24"/>
          <w:lang w:val="en-US"/>
        </w:rPr>
        <w:t xml:space="preserve">Violence against Women, Domestic Abuse and Sexual Violence (2015). United Kingdom: Wales. Available at: https://www.legislation.gov.uk/anaw/2015/3/contents/enacted. </w:t>
      </w:r>
    </w:p>
    <w:p w14:paraId="793FCF9E" w14:textId="723E342A" w:rsidR="3062587F" w:rsidRDefault="3062587F" w:rsidP="00715841">
      <w:pPr>
        <w:pStyle w:val="ListParagraph"/>
        <w:numPr>
          <w:ilvl w:val="0"/>
          <w:numId w:val="1"/>
        </w:numPr>
        <w:spacing w:line="360" w:lineRule="auto"/>
        <w:rPr>
          <w:rFonts w:eastAsia="Arial"/>
          <w:sz w:val="24"/>
          <w:szCs w:val="24"/>
        </w:rPr>
      </w:pPr>
      <w:r w:rsidRPr="3062587F">
        <w:rPr>
          <w:rFonts w:eastAsia="Arial"/>
          <w:sz w:val="24"/>
          <w:szCs w:val="24"/>
          <w:lang w:val="en-US"/>
        </w:rPr>
        <w:lastRenderedPageBreak/>
        <w:t xml:space="preserve">Wang, X. (2015) Psychological Empowerment of Frontline Police Officers in Response to Social Services Role Strain in China. </w:t>
      </w:r>
      <w:r w:rsidRPr="3062587F">
        <w:rPr>
          <w:rFonts w:eastAsia="Arial"/>
          <w:i/>
          <w:iCs/>
          <w:sz w:val="24"/>
          <w:szCs w:val="24"/>
          <w:lang w:val="en-US"/>
        </w:rPr>
        <w:t>Asian Journal of Criminology</w:t>
      </w:r>
      <w:r w:rsidRPr="3062587F">
        <w:rPr>
          <w:rFonts w:eastAsia="Arial"/>
          <w:sz w:val="24"/>
          <w:szCs w:val="24"/>
          <w:lang w:val="en-US"/>
        </w:rPr>
        <w:t>. 10(1). Pp.209-229.</w:t>
      </w:r>
    </w:p>
    <w:p w14:paraId="64F46948" w14:textId="45CDCAE5" w:rsidR="3062587F" w:rsidRDefault="3062587F" w:rsidP="3062587F"/>
    <w:sectPr w:rsidR="3062587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ACFD8" w14:textId="77777777" w:rsidR="00715841" w:rsidRDefault="007158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144CF" w14:textId="77777777" w:rsidR="00715841" w:rsidRDefault="00715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EC33C" w14:textId="77777777" w:rsidR="00715841" w:rsidRDefault="007158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7BA35" w14:textId="77777777" w:rsidR="00715841" w:rsidRDefault="007158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7E075" w14:textId="77777777" w:rsidR="00715841" w:rsidRDefault="007158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0CCEFA"/>
    <w:multiLevelType w:val="hybridMultilevel"/>
    <w:tmpl w:val="88BAB1F4"/>
    <w:lvl w:ilvl="0" w:tplc="89E22D2C">
      <w:start w:val="1"/>
      <w:numFmt w:val="decimal"/>
      <w:lvlText w:val="%1."/>
      <w:lvlJc w:val="left"/>
      <w:pPr>
        <w:ind w:left="720" w:hanging="360"/>
      </w:pPr>
    </w:lvl>
    <w:lvl w:ilvl="1" w:tplc="41C446A2">
      <w:start w:val="1"/>
      <w:numFmt w:val="lowerLetter"/>
      <w:lvlText w:val="%2."/>
      <w:lvlJc w:val="left"/>
      <w:pPr>
        <w:ind w:left="1440" w:hanging="360"/>
      </w:pPr>
    </w:lvl>
    <w:lvl w:ilvl="2" w:tplc="24FE6EE2">
      <w:start w:val="1"/>
      <w:numFmt w:val="lowerRoman"/>
      <w:lvlText w:val="%3."/>
      <w:lvlJc w:val="right"/>
      <w:pPr>
        <w:ind w:left="2160" w:hanging="180"/>
      </w:pPr>
    </w:lvl>
    <w:lvl w:ilvl="3" w:tplc="72524C50">
      <w:start w:val="1"/>
      <w:numFmt w:val="decimal"/>
      <w:lvlText w:val="%4."/>
      <w:lvlJc w:val="left"/>
      <w:pPr>
        <w:ind w:left="2880" w:hanging="360"/>
      </w:pPr>
    </w:lvl>
    <w:lvl w:ilvl="4" w:tplc="F078C378">
      <w:start w:val="1"/>
      <w:numFmt w:val="lowerLetter"/>
      <w:lvlText w:val="%5."/>
      <w:lvlJc w:val="left"/>
      <w:pPr>
        <w:ind w:left="3600" w:hanging="360"/>
      </w:pPr>
    </w:lvl>
    <w:lvl w:ilvl="5" w:tplc="84FE992A">
      <w:start w:val="1"/>
      <w:numFmt w:val="lowerRoman"/>
      <w:lvlText w:val="%6."/>
      <w:lvlJc w:val="right"/>
      <w:pPr>
        <w:ind w:left="4320" w:hanging="180"/>
      </w:pPr>
    </w:lvl>
    <w:lvl w:ilvl="6" w:tplc="47D87C38">
      <w:start w:val="1"/>
      <w:numFmt w:val="decimal"/>
      <w:lvlText w:val="%7."/>
      <w:lvlJc w:val="left"/>
      <w:pPr>
        <w:ind w:left="5040" w:hanging="360"/>
      </w:pPr>
    </w:lvl>
    <w:lvl w:ilvl="7" w:tplc="F43A1270">
      <w:start w:val="1"/>
      <w:numFmt w:val="lowerLetter"/>
      <w:lvlText w:val="%8."/>
      <w:lvlJc w:val="left"/>
      <w:pPr>
        <w:ind w:left="5760" w:hanging="360"/>
      </w:pPr>
    </w:lvl>
    <w:lvl w:ilvl="8" w:tplc="C6F8AAB8">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1243078">
    <w:abstractNumId w:val="1"/>
  </w:num>
  <w:num w:numId="2" w16cid:durableId="170418252">
    <w:abstractNumId w:val="3"/>
  </w:num>
  <w:num w:numId="3" w16cid:durableId="766540101">
    <w:abstractNumId w:val="2"/>
  </w:num>
  <w:num w:numId="4" w16cid:durableId="1738430156">
    <w:abstractNumId w:val="0"/>
  </w:num>
  <w:num w:numId="5" w16cid:durableId="65614972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5841"/>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4763"/>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062587F"/>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9882</Words>
  <Characters>56330</Characters>
  <Application>Microsoft Office Word</Application>
  <DocSecurity>0</DocSecurity>
  <Lines>469</Lines>
  <Paragraphs>132</Paragraphs>
  <ScaleCrop>false</ScaleCrop>
  <Company>Powys County Council</Company>
  <LinksUpToDate>false</LinksUpToDate>
  <CharactersWithSpaces>66080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Burrows,Dylan swp8223</cp:lastModifiedBy>
  <cp:revision>2</cp:revision>
  <cp:lastPrinted>2014-08-26T08:55:00Z</cp:lastPrinted>
  <dcterms:created xsi:type="dcterms:W3CDTF">2023-10-02T21:11:00Z</dcterms:created>
  <dcterms:modified xsi:type="dcterms:W3CDTF">2023-10-02T21:11:00Z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2023-10-02T21:08:53Z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4ba74622-7d7b-4b6b-af9b-9d70b1c01651</vt:lpwstr>
  </property>
  <property fmtid="{D5CDD505-2E9C-101B-9397-08002B2CF9AE}" pid="9" name="MSIP_Label_66cf8fe5-b7b7-4df7-b38d-1c61ac2f6639_ContentBits">
    <vt:lpwstr>0</vt:lpwstr>
  </property>
</Properties>
</file>