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0C87A799" w14:textId="217AA963" w:rsidR="000E2E7E" w:rsidRPr="000E2E7E" w:rsidRDefault="000E2E7E">
      <w:pPr>
        <w:rPr>
          <w:b/>
          <w:bCs/>
          <w:sz w:val="52"/>
          <w:szCs w:val="52"/>
        </w:rPr>
      </w:pPr>
      <w:r w:rsidRPr="000E2E7E">
        <w:rPr>
          <w:b/>
          <w:bCs/>
          <w:sz w:val="52"/>
          <w:szCs w:val="52"/>
        </w:rPr>
        <w:t>Module Code:</w:t>
      </w:r>
      <w:r>
        <w:rPr>
          <w:b/>
          <w:bCs/>
          <w:sz w:val="52"/>
          <w:szCs w:val="52"/>
        </w:rPr>
        <w:t xml:space="preserve">  </w:t>
      </w:r>
      <w:r w:rsidRPr="00D163BC">
        <w:rPr>
          <w:b/>
          <w:bCs/>
          <w:color w:val="FF0000"/>
          <w:sz w:val="48"/>
          <w:szCs w:val="48"/>
        </w:rPr>
        <w:t>ECAD</w:t>
      </w:r>
      <w:r w:rsidR="00510D18" w:rsidRPr="00D163BC">
        <w:rPr>
          <w:b/>
          <w:bCs/>
          <w:color w:val="FF0000"/>
          <w:sz w:val="48"/>
          <w:szCs w:val="48"/>
        </w:rPr>
        <w:t>501</w:t>
      </w:r>
      <w:r w:rsidR="00D163BC" w:rsidRPr="00D163BC">
        <w:rPr>
          <w:b/>
          <w:bCs/>
          <w:color w:val="FF0000"/>
          <w:sz w:val="48"/>
          <w:szCs w:val="48"/>
        </w:rPr>
        <w:t>5</w:t>
      </w:r>
    </w:p>
    <w:p w14:paraId="10FFAE95" w14:textId="77777777" w:rsidR="000E2E7E" w:rsidRPr="000E2E7E" w:rsidRDefault="000E2E7E">
      <w:pPr>
        <w:rPr>
          <w:b/>
          <w:bCs/>
          <w:sz w:val="52"/>
          <w:szCs w:val="52"/>
        </w:rPr>
      </w:pPr>
    </w:p>
    <w:p w14:paraId="78DCE9B9" w14:textId="553AE9B7" w:rsidR="000E2E7E" w:rsidRPr="00D163BC" w:rsidRDefault="000E2E7E" w:rsidP="00D163BC">
      <w:pPr>
        <w:rPr>
          <w:b/>
          <w:bCs/>
          <w:color w:val="FF0000"/>
          <w:sz w:val="52"/>
          <w:szCs w:val="52"/>
        </w:rPr>
      </w:pPr>
      <w:r w:rsidRPr="000E2E7E">
        <w:rPr>
          <w:b/>
          <w:bCs/>
          <w:sz w:val="52"/>
          <w:szCs w:val="52"/>
        </w:rPr>
        <w:t>Assignment Title:</w:t>
      </w:r>
      <w:r>
        <w:rPr>
          <w:b/>
          <w:bCs/>
          <w:sz w:val="52"/>
          <w:szCs w:val="52"/>
        </w:rPr>
        <w:t xml:space="preserve"> </w:t>
      </w:r>
      <w:r w:rsidR="00D163BC" w:rsidRPr="00D163BC">
        <w:rPr>
          <w:b/>
          <w:bCs/>
          <w:color w:val="FF0000"/>
          <w:sz w:val="52"/>
          <w:szCs w:val="52"/>
        </w:rPr>
        <w:t xml:space="preserve">Deepening Practice </w:t>
      </w:r>
    </w:p>
    <w:p w14:paraId="32D7A0CD" w14:textId="6F189B33" w:rsidR="00D163BC" w:rsidRPr="00D163BC" w:rsidRDefault="00D163BC" w:rsidP="00D163BC">
      <w:pPr>
        <w:rPr>
          <w:b/>
          <w:bCs/>
          <w:color w:val="FF0000"/>
          <w:sz w:val="52"/>
          <w:szCs w:val="52"/>
        </w:rPr>
      </w:pPr>
      <w:r w:rsidRPr="00D163BC">
        <w:rPr>
          <w:b/>
          <w:bCs/>
          <w:color w:val="FF0000"/>
          <w:sz w:val="52"/>
          <w:szCs w:val="52"/>
        </w:rPr>
        <w:t xml:space="preserve">ALN – Part 1 </w:t>
      </w:r>
      <w:proofErr w:type="gramStart"/>
      <w:r w:rsidRPr="00D163BC">
        <w:rPr>
          <w:b/>
          <w:bCs/>
          <w:color w:val="FF0000"/>
          <w:sz w:val="52"/>
          <w:szCs w:val="52"/>
        </w:rPr>
        <w:t>Journal  /</w:t>
      </w:r>
      <w:proofErr w:type="gramEnd"/>
      <w:r w:rsidRPr="00D163BC">
        <w:rPr>
          <w:b/>
          <w:bCs/>
          <w:color w:val="FF0000"/>
          <w:sz w:val="52"/>
          <w:szCs w:val="52"/>
        </w:rPr>
        <w:t xml:space="preserve"> Part 2 Video </w:t>
      </w:r>
      <w:r>
        <w:rPr>
          <w:b/>
          <w:bCs/>
          <w:color w:val="FF0000"/>
          <w:sz w:val="52"/>
          <w:szCs w:val="52"/>
        </w:rPr>
        <w:t xml:space="preserve">Reference list and link  </w:t>
      </w:r>
      <w:r w:rsidRPr="00D163BC">
        <w:rPr>
          <w:b/>
          <w:bCs/>
          <w:color w:val="FF0000"/>
          <w:sz w:val="52"/>
          <w:szCs w:val="52"/>
        </w:rPr>
        <w:t>(delete a</w:t>
      </w:r>
      <w:r>
        <w:rPr>
          <w:b/>
          <w:bCs/>
          <w:color w:val="FF0000"/>
          <w:sz w:val="52"/>
          <w:szCs w:val="52"/>
        </w:rPr>
        <w:t>s appropriate)</w:t>
      </w:r>
    </w:p>
    <w:p w14:paraId="47D65DC0" w14:textId="59314D6A" w:rsidR="000E2E7E" w:rsidRPr="00D163BC" w:rsidRDefault="000E2E7E">
      <w:pPr>
        <w:rPr>
          <w:b/>
          <w:bCs/>
          <w:sz w:val="52"/>
          <w:szCs w:val="52"/>
        </w:rPr>
      </w:pPr>
      <w:r w:rsidRPr="00D163BC">
        <w:rPr>
          <w:b/>
          <w:bCs/>
          <w:sz w:val="52"/>
          <w:szCs w:val="52"/>
        </w:rPr>
        <w:t>Student Name:</w:t>
      </w:r>
      <w:r w:rsidR="00102CD4">
        <w:rPr>
          <w:b/>
          <w:bCs/>
          <w:sz w:val="52"/>
          <w:szCs w:val="52"/>
        </w:rPr>
        <w:t xml:space="preserve"> Megan Howard </w:t>
      </w:r>
    </w:p>
    <w:p w14:paraId="1025240F" w14:textId="5671B23F" w:rsidR="000E2E7E" w:rsidRPr="000E2E7E" w:rsidRDefault="000E2E7E">
      <w:pPr>
        <w:rPr>
          <w:b/>
          <w:bCs/>
          <w:sz w:val="52"/>
          <w:szCs w:val="52"/>
        </w:rPr>
      </w:pPr>
      <w:r w:rsidRPr="000E2E7E">
        <w:rPr>
          <w:b/>
          <w:bCs/>
          <w:sz w:val="52"/>
          <w:szCs w:val="52"/>
        </w:rPr>
        <w:t>Student Number:</w:t>
      </w:r>
      <w:r w:rsidR="00102CD4">
        <w:rPr>
          <w:b/>
          <w:bCs/>
          <w:sz w:val="52"/>
          <w:szCs w:val="52"/>
        </w:rPr>
        <w:t xml:space="preserve"> 2304259</w:t>
      </w:r>
    </w:p>
    <w:p w14:paraId="66EB3C44" w14:textId="3EA69FAC" w:rsidR="000E2E7E" w:rsidRDefault="000E2E7E">
      <w:pPr>
        <w:rPr>
          <w:b/>
          <w:bCs/>
          <w:sz w:val="52"/>
          <w:szCs w:val="52"/>
        </w:rPr>
      </w:pPr>
      <w:r w:rsidRPr="000E2E7E">
        <w:rPr>
          <w:b/>
          <w:bCs/>
          <w:sz w:val="52"/>
          <w:szCs w:val="52"/>
        </w:rPr>
        <w:t>BA Primary Education (QTS)</w:t>
      </w:r>
    </w:p>
    <w:p w14:paraId="097A6454" w14:textId="77777777" w:rsidR="000E2E7E" w:rsidRPr="000E2E7E" w:rsidRDefault="000E2E7E">
      <w:pPr>
        <w:rPr>
          <w:b/>
          <w:bCs/>
          <w:sz w:val="52"/>
          <w:szCs w:val="52"/>
        </w:rPr>
      </w:pPr>
    </w:p>
    <w:p w14:paraId="0BE6D22C" w14:textId="77777777" w:rsidR="000E2E7E" w:rsidRPr="00E243A8" w:rsidRDefault="000E2E7E" w:rsidP="000E2E7E">
      <w:pPr>
        <w:rPr>
          <w:b/>
          <w:bCs/>
          <w:sz w:val="32"/>
          <w:szCs w:val="32"/>
          <w:u w:val="single"/>
        </w:rPr>
      </w:pPr>
      <w:r w:rsidRPr="00E243A8">
        <w:rPr>
          <w:b/>
          <w:bCs/>
          <w:sz w:val="32"/>
          <w:szCs w:val="32"/>
          <w:u w:val="single"/>
        </w:rPr>
        <w:t>AI Acknowledgement</w:t>
      </w:r>
    </w:p>
    <w:p w14:paraId="311990D1" w14:textId="77777777" w:rsidR="000E2E7E" w:rsidRDefault="000E2E7E" w:rsidP="000E2E7E"/>
    <w:p w14:paraId="19B651B3" w14:textId="77777777" w:rsidR="00102CD4" w:rsidRDefault="000E2E7E" w:rsidP="000E2E7E">
      <w:r w:rsidRPr="00E243A8">
        <w:t xml:space="preserve">I confirm that I have not presented any AI generated materials as my own work. </w:t>
      </w:r>
    </w:p>
    <w:p w14:paraId="3437EA56" w14:textId="5FAA0CB4" w:rsidR="000E2E7E" w:rsidRPr="00E243A8" w:rsidRDefault="000E2E7E" w:rsidP="000E2E7E">
      <w:r w:rsidRPr="00E243A8">
        <w:lastRenderedPageBreak/>
        <w:t xml:space="preserve">I confirm </w:t>
      </w:r>
      <w:r>
        <w:t xml:space="preserve">that </w:t>
      </w:r>
      <w:r w:rsidRPr="00E243A8">
        <w:t>I have copies of my drafts, notes, and other resources I used, which I may be asked to provide in evidence.</w:t>
      </w:r>
    </w:p>
    <w:p w14:paraId="2009F732" w14:textId="77777777" w:rsidR="000E2E7E" w:rsidRDefault="000E2E7E" w:rsidP="000E2E7E"/>
    <w:p w14:paraId="395CF8DB" w14:textId="3D1B6BD3" w:rsidR="000E2E7E" w:rsidRPr="00DD5969" w:rsidRDefault="000E2E7E" w:rsidP="000E2E7E">
      <w:r w:rsidRPr="00DD5969">
        <w:t xml:space="preserve">I acknowledge the use of </w:t>
      </w:r>
      <w:r w:rsidR="00102CD4">
        <w:t xml:space="preserve">chat GBT </w:t>
      </w:r>
      <w:r w:rsidRPr="00DD5969">
        <w:t>on [</w:t>
      </w:r>
      <w:r w:rsidR="00102CD4">
        <w:t>9</w:t>
      </w:r>
      <w:r w:rsidR="00102CD4" w:rsidRPr="00102CD4">
        <w:rPr>
          <w:vertAlign w:val="superscript"/>
        </w:rPr>
        <w:t>th</w:t>
      </w:r>
      <w:r w:rsidR="00102CD4">
        <w:t xml:space="preserve"> of May</w:t>
      </w:r>
      <w:r w:rsidRPr="00DD5969">
        <w:t xml:space="preserve">] to </w:t>
      </w:r>
      <w:r w:rsidR="00102CD4">
        <w:t xml:space="preserve">help me find different useful resources in supporting my two strategies </w:t>
      </w:r>
      <w:r w:rsidRPr="00DD5969">
        <w:t xml:space="preserve">I used the prompt(s): </w:t>
      </w:r>
    </w:p>
    <w:p w14:paraId="3EC3AC2C" w14:textId="70360ECA" w:rsidR="000E2E7E" w:rsidRPr="00DD5969" w:rsidRDefault="000E2E7E" w:rsidP="000E2E7E">
      <w:r w:rsidRPr="00DD5969">
        <w:t xml:space="preserve">1. </w:t>
      </w:r>
      <w:r w:rsidR="00102CD4">
        <w:t>find me replacement sources to support my point that visual timetables may be helpful in the classroom.</w:t>
      </w:r>
    </w:p>
    <w:p w14:paraId="6CDE5B9A" w14:textId="66125613" w:rsidR="000E2E7E" w:rsidRPr="00102CD4" w:rsidRDefault="000E2E7E" w:rsidP="000E2E7E">
      <w:r w:rsidRPr="00DD5969">
        <w:t xml:space="preserve">2. </w:t>
      </w:r>
      <w:r w:rsidR="00102CD4">
        <w:t>find me relevant sources that can support my point that movement breaks can help a school day</w:t>
      </w:r>
      <w:r w:rsidRPr="00DD5969">
        <w:t xml:space="preserve"> </w:t>
      </w:r>
    </w:p>
    <w:p w14:paraId="576F22A4" w14:textId="26E203E1" w:rsidR="000E2E7E" w:rsidRDefault="000E2E7E" w:rsidP="000E2E7E">
      <w:pPr>
        <w:rPr>
          <w:sz w:val="16"/>
          <w:szCs w:val="16"/>
        </w:rPr>
      </w:pPr>
    </w:p>
    <w:tbl>
      <w:tblPr>
        <w:tblStyle w:val="TableGrid"/>
        <w:tblW w:w="9739" w:type="dxa"/>
        <w:tblLook w:val="04A0" w:firstRow="1" w:lastRow="0" w:firstColumn="1" w:lastColumn="0" w:noHBand="0" w:noVBand="1"/>
      </w:tblPr>
      <w:tblGrid>
        <w:gridCol w:w="4975"/>
        <w:gridCol w:w="4764"/>
      </w:tblGrid>
      <w:tr w:rsidR="00102CD4" w:rsidRPr="001B4AB4" w14:paraId="0ADB3F25" w14:textId="77777777" w:rsidTr="00102CD4">
        <w:trPr>
          <w:trHeight w:val="377"/>
        </w:trPr>
        <w:tc>
          <w:tcPr>
            <w:tcW w:w="4975" w:type="dxa"/>
          </w:tcPr>
          <w:p w14:paraId="2110C93E" w14:textId="45B7432A" w:rsidR="00102CD4" w:rsidRPr="00121BB2" w:rsidRDefault="00102CD4" w:rsidP="00AE36BB">
            <w:pPr>
              <w:rPr>
                <w:b/>
                <w:bCs/>
                <w:color w:val="FFFFFF"/>
                <w:sz w:val="28"/>
                <w:szCs w:val="28"/>
                <w:lang w:val="cy-GB"/>
              </w:rPr>
            </w:pPr>
            <w:r w:rsidRPr="00121BB2">
              <w:rPr>
                <w:b/>
                <w:bCs/>
                <w:sz w:val="28"/>
                <w:szCs w:val="28"/>
                <w:lang w:val="cy-GB"/>
              </w:rPr>
              <w:t>Targets from previous module</w:t>
            </w:r>
          </w:p>
        </w:tc>
        <w:tc>
          <w:tcPr>
            <w:tcW w:w="4764" w:type="dxa"/>
          </w:tcPr>
          <w:p w14:paraId="1C0504E0" w14:textId="252CFEA2" w:rsidR="00102CD4" w:rsidRPr="00121BB2" w:rsidRDefault="00102CD4" w:rsidP="00AE36BB">
            <w:pPr>
              <w:rPr>
                <w:b/>
                <w:bCs/>
                <w:color w:val="FFFFFF"/>
                <w:sz w:val="28"/>
                <w:szCs w:val="28"/>
                <w:lang w:val="cy-GB"/>
              </w:rPr>
            </w:pPr>
            <w:r w:rsidRPr="00121BB2">
              <w:rPr>
                <w:b/>
                <w:bCs/>
                <w:sz w:val="28"/>
                <w:szCs w:val="28"/>
                <w:lang w:val="cy-GB"/>
              </w:rPr>
              <w:t>How I have worked on these?</w:t>
            </w:r>
          </w:p>
        </w:tc>
      </w:tr>
      <w:tr w:rsidR="00102CD4" w:rsidRPr="001B4AB4" w14:paraId="0EC7171C" w14:textId="77777777" w:rsidTr="00102CD4">
        <w:trPr>
          <w:trHeight w:val="925"/>
        </w:trPr>
        <w:tc>
          <w:tcPr>
            <w:tcW w:w="4975" w:type="dxa"/>
          </w:tcPr>
          <w:p w14:paraId="4DC5C8A2" w14:textId="5ABA32A7" w:rsidR="00102CD4" w:rsidRDefault="00102CD4" w:rsidP="00AE36BB">
            <w:pPr>
              <w:rPr>
                <w:lang w:val="cy-GB"/>
              </w:rPr>
            </w:pPr>
            <w:r>
              <w:rPr>
                <w:lang w:val="cy-GB"/>
              </w:rPr>
              <w:t xml:space="preserve">Revise harvard refrencing </w:t>
            </w:r>
          </w:p>
          <w:p w14:paraId="18121FAC" w14:textId="77777777" w:rsidR="00102CD4" w:rsidRPr="001B4AB4" w:rsidRDefault="00102CD4" w:rsidP="00AE36BB">
            <w:pPr>
              <w:rPr>
                <w:lang w:val="cy-GB"/>
              </w:rPr>
            </w:pPr>
          </w:p>
        </w:tc>
        <w:tc>
          <w:tcPr>
            <w:tcW w:w="4764" w:type="dxa"/>
          </w:tcPr>
          <w:p w14:paraId="0A55C9ED" w14:textId="7A3A0B70" w:rsidR="00102CD4" w:rsidRPr="001B4AB4" w:rsidRDefault="00102CD4" w:rsidP="00AE36BB">
            <w:pPr>
              <w:rPr>
                <w:lang w:val="cy-GB"/>
              </w:rPr>
            </w:pPr>
            <w:r>
              <w:rPr>
                <w:lang w:val="cy-GB"/>
              </w:rPr>
              <w:t xml:space="preserve">Looked through the guide to allow me to cite my text correctly. </w:t>
            </w:r>
          </w:p>
        </w:tc>
      </w:tr>
      <w:tr w:rsidR="00102CD4" w:rsidRPr="001B4AB4" w14:paraId="388E36FE" w14:textId="77777777" w:rsidTr="00102CD4">
        <w:trPr>
          <w:trHeight w:val="354"/>
        </w:trPr>
        <w:tc>
          <w:tcPr>
            <w:tcW w:w="4975" w:type="dxa"/>
          </w:tcPr>
          <w:p w14:paraId="06CE4F7D" w14:textId="2E85B558" w:rsidR="00102CD4" w:rsidRPr="001B4AB4" w:rsidRDefault="00102CD4" w:rsidP="00AE36BB">
            <w:pPr>
              <w:rPr>
                <w:lang w:val="cy-GB"/>
              </w:rPr>
            </w:pPr>
            <w:r>
              <w:rPr>
                <w:lang w:val="cy-GB"/>
              </w:rPr>
              <w:t xml:space="preserve">Countune to develop my critical writing </w:t>
            </w:r>
          </w:p>
        </w:tc>
        <w:tc>
          <w:tcPr>
            <w:tcW w:w="4764" w:type="dxa"/>
          </w:tcPr>
          <w:p w14:paraId="33CC185F" w14:textId="27FDC229" w:rsidR="00102CD4" w:rsidRPr="001B4AB4" w:rsidRDefault="00102CD4" w:rsidP="00AE36BB">
            <w:pPr>
              <w:rPr>
                <w:lang w:val="cy-GB"/>
              </w:rPr>
            </w:pPr>
            <w:r>
              <w:rPr>
                <w:lang w:val="cy-GB"/>
              </w:rPr>
              <w:t>Researched websites to support my arguments</w:t>
            </w:r>
          </w:p>
        </w:tc>
      </w:tr>
      <w:tr w:rsidR="00102CD4" w:rsidRPr="001B4AB4" w14:paraId="05EE73CD" w14:textId="77777777" w:rsidTr="00102CD4">
        <w:trPr>
          <w:trHeight w:val="354"/>
        </w:trPr>
        <w:tc>
          <w:tcPr>
            <w:tcW w:w="4975" w:type="dxa"/>
          </w:tcPr>
          <w:p w14:paraId="5C658833" w14:textId="77777777" w:rsidR="00102CD4" w:rsidRDefault="00102CD4" w:rsidP="00AE36BB">
            <w:pPr>
              <w:rPr>
                <w:lang w:val="cy-GB"/>
              </w:rPr>
            </w:pPr>
          </w:p>
          <w:p w14:paraId="42E07348" w14:textId="77777777" w:rsidR="00102CD4" w:rsidRPr="001B4AB4" w:rsidRDefault="00102CD4" w:rsidP="00AE36BB">
            <w:pPr>
              <w:rPr>
                <w:lang w:val="cy-GB"/>
              </w:rPr>
            </w:pPr>
          </w:p>
        </w:tc>
        <w:tc>
          <w:tcPr>
            <w:tcW w:w="4764" w:type="dxa"/>
          </w:tcPr>
          <w:p w14:paraId="37B37629" w14:textId="4A957E1C" w:rsidR="00102CD4" w:rsidRPr="001B4AB4" w:rsidRDefault="00102CD4" w:rsidP="00AE36BB">
            <w:pPr>
              <w:rPr>
                <w:lang w:val="cy-GB"/>
              </w:rPr>
            </w:pPr>
          </w:p>
        </w:tc>
      </w:tr>
    </w:tbl>
    <w:p w14:paraId="1CD1FA79" w14:textId="1E826845" w:rsidR="000E2E7E" w:rsidRDefault="000E2E7E" w:rsidP="00D163BC">
      <w:pPr>
        <w:rPr>
          <w:sz w:val="52"/>
          <w:szCs w:val="52"/>
        </w:rPr>
      </w:pPr>
    </w:p>
    <w:p w14:paraId="7134EE79" w14:textId="77777777" w:rsidR="00102CD4" w:rsidRDefault="00102CD4" w:rsidP="00D163BC">
      <w:pPr>
        <w:rPr>
          <w:sz w:val="52"/>
          <w:szCs w:val="52"/>
        </w:rPr>
      </w:pPr>
    </w:p>
    <w:p w14:paraId="0A61C9F5" w14:textId="77777777" w:rsidR="00102CD4" w:rsidRPr="007A6E53" w:rsidRDefault="00102CD4" w:rsidP="00102CD4">
      <w:pPr>
        <w:spacing w:before="100" w:beforeAutospacing="1" w:after="100" w:afterAutospacing="1" w:line="240" w:lineRule="auto"/>
        <w:rPr>
          <w:color w:val="000000"/>
          <w:sz w:val="22"/>
          <w:szCs w:val="22"/>
          <w:u w:val="single"/>
        </w:rPr>
      </w:pPr>
      <w:r w:rsidRPr="007A6E53">
        <w:rPr>
          <w:color w:val="000000"/>
          <w:sz w:val="22"/>
          <w:szCs w:val="22"/>
          <w:u w:val="single"/>
        </w:rPr>
        <w:t xml:space="preserve">Additional Learning Needs Journal </w:t>
      </w:r>
    </w:p>
    <w:p w14:paraId="648D6630" w14:textId="5ABF7FB0" w:rsidR="00102CD4" w:rsidRPr="00507C0A" w:rsidRDefault="00102CD4" w:rsidP="00102CD4">
      <w:pPr>
        <w:spacing w:before="100" w:beforeAutospacing="1" w:after="100" w:afterAutospacing="1" w:line="240" w:lineRule="auto"/>
        <w:rPr>
          <w:color w:val="000000"/>
          <w:sz w:val="22"/>
          <w:szCs w:val="22"/>
        </w:rPr>
      </w:pPr>
      <w:r w:rsidRPr="00507C0A">
        <w:rPr>
          <w:color w:val="000000"/>
          <w:sz w:val="22"/>
          <w:szCs w:val="22"/>
        </w:rPr>
        <w:t xml:space="preserve">Inclusive education is a meaningful approach that reshapes how children learn and grow by ensuring all abilities or needs are met (University of Bolton, 2023). Inclusivity is central to the Curriculum for Wales, reflecting the belief that all learners should access high-quality education in mainstream settings. By adapting the curriculum to meet individual needs, schools ensure every child receives the support needed to reach their full potential (Welsh Government, 2024; Thomas, 2022). </w:t>
      </w:r>
    </w:p>
    <w:p w14:paraId="671D6CAB" w14:textId="4B433AF5" w:rsidR="00102CD4" w:rsidRDefault="00102CD4" w:rsidP="00102CD4">
      <w:pPr>
        <w:spacing w:before="100" w:beforeAutospacing="1" w:after="100" w:afterAutospacing="1" w:line="240" w:lineRule="auto"/>
        <w:rPr>
          <w:color w:val="000000"/>
          <w:sz w:val="22"/>
          <w:szCs w:val="22"/>
        </w:rPr>
      </w:pPr>
      <w:r w:rsidRPr="00B24854">
        <w:rPr>
          <w:color w:val="000000"/>
          <w:sz w:val="22"/>
          <w:szCs w:val="22"/>
        </w:rPr>
        <w:t xml:space="preserve">The Additional Learning </w:t>
      </w:r>
      <w:r>
        <w:rPr>
          <w:color w:val="000000"/>
          <w:sz w:val="22"/>
          <w:szCs w:val="22"/>
        </w:rPr>
        <w:t xml:space="preserve">Needs and Education Tribunal </w:t>
      </w:r>
      <w:r w:rsidRPr="00B24854">
        <w:rPr>
          <w:color w:val="000000"/>
          <w:sz w:val="22"/>
          <w:szCs w:val="22"/>
        </w:rPr>
        <w:t xml:space="preserve">(Wales) Act </w:t>
      </w:r>
      <w:r>
        <w:rPr>
          <w:color w:val="000000"/>
          <w:sz w:val="22"/>
          <w:szCs w:val="22"/>
        </w:rPr>
        <w:t xml:space="preserve">2018 is an act that supports children and young people in Wales with additional learning needs. </w:t>
      </w:r>
      <w:r w:rsidRPr="00B17A3B">
        <w:rPr>
          <w:color w:val="000000"/>
          <w:sz w:val="22"/>
          <w:szCs w:val="22"/>
        </w:rPr>
        <w:t xml:space="preserve">A key </w:t>
      </w:r>
      <w:r>
        <w:rPr>
          <w:color w:val="000000"/>
          <w:sz w:val="22"/>
          <w:szCs w:val="22"/>
        </w:rPr>
        <w:t xml:space="preserve">feature </w:t>
      </w:r>
      <w:r w:rsidRPr="00B17A3B">
        <w:rPr>
          <w:color w:val="000000"/>
          <w:sz w:val="22"/>
          <w:szCs w:val="22"/>
        </w:rPr>
        <w:t>of the Act is the introduction of Individual Development Plans (IDPs) for all learners with ALN, ensuring their needs are identified early and met through a person</w:t>
      </w:r>
      <w:r>
        <w:rPr>
          <w:color w:val="000000"/>
          <w:sz w:val="22"/>
          <w:szCs w:val="22"/>
        </w:rPr>
        <w:t>-centred</w:t>
      </w:r>
      <w:r w:rsidRPr="00B17A3B">
        <w:rPr>
          <w:color w:val="000000"/>
          <w:sz w:val="22"/>
          <w:szCs w:val="22"/>
        </w:rPr>
        <w:t xml:space="preserve"> approach. The Act also gives families the right to appeal decisions to the Education Tribunal for Wales.</w:t>
      </w:r>
      <w:r>
        <w:rPr>
          <w:color w:val="000000"/>
          <w:sz w:val="22"/>
          <w:szCs w:val="22"/>
        </w:rPr>
        <w:t xml:space="preserve"> </w:t>
      </w:r>
      <w:r w:rsidRPr="003B503D">
        <w:rPr>
          <w:color w:val="000000"/>
          <w:sz w:val="22"/>
          <w:szCs w:val="22"/>
        </w:rPr>
        <w:t>(Welsh Government, 2023)</w:t>
      </w:r>
      <w:r>
        <w:rPr>
          <w:color w:val="000000"/>
        </w:rPr>
        <w:t xml:space="preserve">. </w:t>
      </w:r>
      <w:r w:rsidRPr="00D34B26">
        <w:rPr>
          <w:color w:val="000000"/>
          <w:sz w:val="22"/>
          <w:szCs w:val="22"/>
        </w:rPr>
        <w:t>The act</w:t>
      </w:r>
      <w:r>
        <w:rPr>
          <w:color w:val="000000"/>
        </w:rPr>
        <w:t xml:space="preserve"> </w:t>
      </w:r>
      <w:r w:rsidRPr="00B24854">
        <w:rPr>
          <w:color w:val="000000"/>
          <w:sz w:val="22"/>
          <w:szCs w:val="22"/>
        </w:rPr>
        <w:t>replaced the former SEN system with a more unified approach, supporting</w:t>
      </w:r>
    </w:p>
    <w:p w14:paraId="5A060929" w14:textId="77777777" w:rsidR="00102CD4" w:rsidRDefault="00102CD4" w:rsidP="00102CD4">
      <w:pPr>
        <w:spacing w:before="100" w:beforeAutospacing="1" w:after="100" w:afterAutospacing="1" w:line="240" w:lineRule="auto"/>
        <w:rPr>
          <w:color w:val="000000"/>
          <w:sz w:val="22"/>
          <w:szCs w:val="22"/>
        </w:rPr>
      </w:pPr>
    </w:p>
    <w:p w14:paraId="2094ED66" w14:textId="77777777" w:rsidR="00102CD4" w:rsidRDefault="00102CD4" w:rsidP="00102CD4">
      <w:pPr>
        <w:spacing w:before="100" w:beforeAutospacing="1" w:after="100" w:afterAutospacing="1" w:line="240" w:lineRule="auto"/>
        <w:rPr>
          <w:color w:val="000000"/>
          <w:sz w:val="22"/>
          <w:szCs w:val="22"/>
        </w:rPr>
      </w:pPr>
    </w:p>
    <w:p w14:paraId="72CBFAF5" w14:textId="67D8942E" w:rsidR="00102CD4" w:rsidRDefault="00102CD4" w:rsidP="00102CD4">
      <w:pPr>
        <w:spacing w:before="100" w:beforeAutospacing="1" w:after="100" w:afterAutospacing="1" w:line="240" w:lineRule="auto"/>
        <w:rPr>
          <w:color w:val="000000"/>
          <w:sz w:val="22"/>
          <w:szCs w:val="22"/>
        </w:rPr>
      </w:pPr>
      <w:r>
        <w:rPr>
          <w:color w:val="000000"/>
          <w:sz w:val="22"/>
          <w:szCs w:val="22"/>
        </w:rPr>
        <w:lastRenderedPageBreak/>
        <w:t>(Welsh Government, 2024)</w:t>
      </w:r>
    </w:p>
    <w:p w14:paraId="5DD89901" w14:textId="6EDEC22C" w:rsidR="00102CD4" w:rsidRPr="00B24854" w:rsidRDefault="00102CD4" w:rsidP="00102CD4">
      <w:pPr>
        <w:spacing w:before="100" w:beforeAutospacing="1" w:after="100" w:afterAutospacing="1" w:line="240" w:lineRule="auto"/>
        <w:rPr>
          <w:color w:val="000000"/>
          <w:sz w:val="22"/>
          <w:szCs w:val="22"/>
        </w:rPr>
      </w:pPr>
      <w:r w:rsidRPr="00507C0A">
        <w:rPr>
          <w:noProof/>
          <w:color w:val="000000"/>
          <w:sz w:val="22"/>
          <w:szCs w:val="22"/>
        </w:rPr>
        <w:drawing>
          <wp:anchor distT="0" distB="0" distL="114300" distR="114300" simplePos="0" relativeHeight="251661312" behindDoc="0" locked="0" layoutInCell="1" allowOverlap="1" wp14:anchorId="3E69CB7E" wp14:editId="27D424AF">
            <wp:simplePos x="0" y="0"/>
            <wp:positionH relativeFrom="margin">
              <wp:posOffset>2402205</wp:posOffset>
            </wp:positionH>
            <wp:positionV relativeFrom="margin">
              <wp:posOffset>-551526</wp:posOffset>
            </wp:positionV>
            <wp:extent cx="3376728" cy="2314800"/>
            <wp:effectExtent l="0" t="0" r="1905" b="0"/>
            <wp:wrapThrough wrapText="bothSides">
              <wp:wrapPolygon edited="0">
                <wp:start x="0" y="0"/>
                <wp:lineTo x="0" y="21452"/>
                <wp:lineTo x="21531" y="21452"/>
                <wp:lineTo x="21531" y="0"/>
                <wp:lineTo x="0" y="0"/>
              </wp:wrapPolygon>
            </wp:wrapThrough>
            <wp:docPr id="978215804" name="Picture 3"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215804" name="Picture 3" descr="A diagram of a diagram&#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76728" cy="2314800"/>
                    </a:xfrm>
                    <a:prstGeom prst="rect">
                      <a:avLst/>
                    </a:prstGeom>
                  </pic:spPr>
                </pic:pic>
              </a:graphicData>
            </a:graphic>
            <wp14:sizeRelH relativeFrom="margin">
              <wp14:pctWidth>0</wp14:pctWidth>
            </wp14:sizeRelH>
            <wp14:sizeRelV relativeFrom="margin">
              <wp14:pctHeight>0</wp14:pctHeight>
            </wp14:sizeRelV>
          </wp:anchor>
        </w:drawing>
      </w:r>
      <w:r w:rsidRPr="00B24854">
        <w:rPr>
          <w:color w:val="000000"/>
          <w:sz w:val="22"/>
          <w:szCs w:val="22"/>
        </w:rPr>
        <w:t>learners from birth to age 25. This reform promotes a person-centred approach, tailoring support to each learner’s unique needs and encouraging inclusion in mainstream education (Welsh Government, 2020; Griffiths &amp; Jones, 2021). The Act also created a new legal framework for supporting children and young people with ALN.</w:t>
      </w:r>
      <w:r w:rsidRPr="00BB636B">
        <w:t xml:space="preserve"> </w:t>
      </w:r>
      <w:r w:rsidRPr="00BB636B">
        <w:rPr>
          <w:color w:val="000000"/>
          <w:sz w:val="22"/>
          <w:szCs w:val="22"/>
        </w:rPr>
        <w:t xml:space="preserve">While this has been seen as a positive for the Welsh curriculum, Estyn (2024) highlights that there is limited access to equitable support for Welsh-medium ALN provision. This is mainly due to challenges in recruitment and resource availability, which could potentially hinder the development of Welsh-speaking </w:t>
      </w:r>
      <w:r>
        <w:rPr>
          <w:color w:val="000000"/>
          <w:sz w:val="22"/>
          <w:szCs w:val="22"/>
        </w:rPr>
        <w:t>children (Estyn, 2024)</w:t>
      </w:r>
      <w:r w:rsidRPr="0097586D">
        <w:rPr>
          <w:color w:val="000000"/>
          <w:sz w:val="22"/>
          <w:szCs w:val="22"/>
        </w:rPr>
        <w:t>.</w:t>
      </w:r>
      <w:r>
        <w:rPr>
          <w:color w:val="000000"/>
          <w:sz w:val="22"/>
          <w:szCs w:val="22"/>
        </w:rPr>
        <w:t xml:space="preserve"> </w:t>
      </w:r>
      <w:r w:rsidRPr="00B24854">
        <w:rPr>
          <w:color w:val="000000"/>
          <w:sz w:val="22"/>
          <w:szCs w:val="22"/>
        </w:rPr>
        <w:t xml:space="preserve">Alongside </w:t>
      </w:r>
      <w:r>
        <w:rPr>
          <w:color w:val="000000"/>
          <w:sz w:val="22"/>
          <w:szCs w:val="22"/>
        </w:rPr>
        <w:t>this act</w:t>
      </w:r>
      <w:r w:rsidRPr="00B24854">
        <w:rPr>
          <w:color w:val="000000"/>
          <w:sz w:val="22"/>
          <w:szCs w:val="22"/>
        </w:rPr>
        <w:t>, the Additional Learning Needs Code for Wales 2021 provides practical guidance to ensure needs are identified early and addressed effectively, helping all learners achieve their potential (</w:t>
      </w:r>
      <w:proofErr w:type="spellStart"/>
      <w:r w:rsidRPr="00B24854">
        <w:rPr>
          <w:color w:val="000000"/>
          <w:sz w:val="22"/>
          <w:szCs w:val="22"/>
        </w:rPr>
        <w:t>Gowerton</w:t>
      </w:r>
      <w:proofErr w:type="spellEnd"/>
      <w:r w:rsidRPr="00B24854">
        <w:rPr>
          <w:color w:val="000000"/>
          <w:sz w:val="22"/>
          <w:szCs w:val="22"/>
        </w:rPr>
        <w:t xml:space="preserve"> School, 2023).</w:t>
      </w:r>
    </w:p>
    <w:p w14:paraId="5972A7DC" w14:textId="77777777" w:rsidR="00102CD4" w:rsidRPr="00845914" w:rsidRDefault="00102CD4" w:rsidP="00102CD4">
      <w:pPr>
        <w:spacing w:before="100" w:beforeAutospacing="1" w:after="100" w:afterAutospacing="1" w:line="240" w:lineRule="auto"/>
        <w:rPr>
          <w:b/>
          <w:bCs/>
          <w:color w:val="000000"/>
          <w:sz w:val="22"/>
          <w:szCs w:val="22"/>
        </w:rPr>
      </w:pPr>
      <w:r w:rsidRPr="00B06F37">
        <w:rPr>
          <w:color w:val="000000"/>
          <w:sz w:val="22"/>
          <w:szCs w:val="22"/>
        </w:rPr>
        <w:t>The</w:t>
      </w:r>
      <w:r w:rsidRPr="00B06F37">
        <w:rPr>
          <w:rFonts w:ascii="Arial" w:hAnsi="Arial" w:cs="Arial"/>
          <w:color w:val="000000"/>
          <w:sz w:val="22"/>
          <w:szCs w:val="22"/>
        </w:rPr>
        <w:t> </w:t>
      </w:r>
      <w:r w:rsidRPr="00845914">
        <w:rPr>
          <w:rStyle w:val="Strong"/>
          <w:b w:val="0"/>
          <w:bCs w:val="0"/>
          <w:color w:val="000000"/>
          <w:sz w:val="22"/>
          <w:szCs w:val="22"/>
        </w:rPr>
        <w:t>Well-being of Future Generations (Wales) Act 2015</w:t>
      </w:r>
      <w:r w:rsidRPr="00845914">
        <w:rPr>
          <w:rFonts w:ascii="Arial" w:hAnsi="Arial" w:cs="Arial"/>
          <w:b/>
          <w:bCs/>
          <w:color w:val="000000"/>
          <w:sz w:val="22"/>
          <w:szCs w:val="22"/>
        </w:rPr>
        <w:t> </w:t>
      </w:r>
      <w:r w:rsidRPr="00845914">
        <w:rPr>
          <w:color w:val="000000"/>
          <w:sz w:val="22"/>
          <w:szCs w:val="22"/>
        </w:rPr>
        <w:t xml:space="preserve">supports </w:t>
      </w:r>
      <w:r w:rsidRPr="00B06F37">
        <w:rPr>
          <w:color w:val="000000"/>
          <w:sz w:val="22"/>
          <w:szCs w:val="22"/>
        </w:rPr>
        <w:t>children with Additional Learning Needs (ALN) by encouraging a more inclusive, equal and supportive education system. It promotes long-term planning and early intervention, helping to identify and address the needs of ALN learners as early as possible (Welsh Government, 2015). The Act embeds equality, diversity, and well-being into public decision-making, requiring that the needs of all individuals</w:t>
      </w:r>
      <w:r>
        <w:rPr>
          <w:color w:val="000000"/>
          <w:sz w:val="22"/>
          <w:szCs w:val="22"/>
        </w:rPr>
        <w:t xml:space="preserve"> </w:t>
      </w:r>
      <w:r w:rsidRPr="00B06F37">
        <w:rPr>
          <w:color w:val="000000"/>
          <w:sz w:val="22"/>
          <w:szCs w:val="22"/>
        </w:rPr>
        <w:t>especially those from disadvantaged backgrounds</w:t>
      </w:r>
      <w:r>
        <w:rPr>
          <w:color w:val="000000"/>
          <w:sz w:val="22"/>
          <w:szCs w:val="22"/>
        </w:rPr>
        <w:t xml:space="preserve"> </w:t>
      </w:r>
      <w:r w:rsidRPr="00B06F37">
        <w:rPr>
          <w:color w:val="000000"/>
          <w:sz w:val="22"/>
          <w:szCs w:val="22"/>
        </w:rPr>
        <w:t>are considered when shaping policy (Welsh Government, 2024). It</w:t>
      </w:r>
      <w:r>
        <w:rPr>
          <w:color w:val="000000"/>
          <w:sz w:val="22"/>
          <w:szCs w:val="22"/>
        </w:rPr>
        <w:t>’</w:t>
      </w:r>
      <w:r w:rsidRPr="00B06F37">
        <w:rPr>
          <w:color w:val="000000"/>
          <w:sz w:val="22"/>
          <w:szCs w:val="22"/>
        </w:rPr>
        <w:t>s well-being goals aim to ensure all children could reach their full potential, supported by five keyways of working</w:t>
      </w:r>
      <w:r>
        <w:rPr>
          <w:color w:val="000000"/>
          <w:sz w:val="22"/>
          <w:szCs w:val="22"/>
        </w:rPr>
        <w:t xml:space="preserve"> which include </w:t>
      </w:r>
      <w:r w:rsidRPr="00B06F37">
        <w:rPr>
          <w:color w:val="000000"/>
          <w:sz w:val="22"/>
          <w:szCs w:val="22"/>
        </w:rPr>
        <w:t>long-term thinking, prevention, integration, collaboration</w:t>
      </w:r>
      <w:r>
        <w:rPr>
          <w:color w:val="000000"/>
          <w:sz w:val="22"/>
          <w:szCs w:val="22"/>
        </w:rPr>
        <w:t xml:space="preserve"> </w:t>
      </w:r>
      <w:r w:rsidRPr="00B06F37">
        <w:rPr>
          <w:color w:val="000000"/>
          <w:sz w:val="22"/>
          <w:szCs w:val="22"/>
        </w:rPr>
        <w:t>and involvement. To help deliver these aims, the</w:t>
      </w:r>
      <w:r w:rsidRPr="00B06F37">
        <w:rPr>
          <w:rFonts w:ascii="Arial" w:hAnsi="Arial" w:cs="Arial"/>
          <w:color w:val="000000"/>
          <w:sz w:val="22"/>
          <w:szCs w:val="22"/>
        </w:rPr>
        <w:t> </w:t>
      </w:r>
      <w:r w:rsidRPr="00845914">
        <w:rPr>
          <w:rStyle w:val="Strong"/>
          <w:b w:val="0"/>
          <w:bCs w:val="0"/>
          <w:color w:val="000000"/>
          <w:sz w:val="22"/>
          <w:szCs w:val="22"/>
        </w:rPr>
        <w:t>Future Generations Commissioner for Wales</w:t>
      </w:r>
      <w:r w:rsidRPr="00845914">
        <w:rPr>
          <w:rFonts w:ascii="Arial" w:hAnsi="Arial" w:cs="Arial"/>
          <w:b/>
          <w:bCs/>
          <w:color w:val="000000"/>
          <w:sz w:val="22"/>
          <w:szCs w:val="22"/>
        </w:rPr>
        <w:t> </w:t>
      </w:r>
      <w:r w:rsidRPr="008217A7">
        <w:rPr>
          <w:color w:val="000000"/>
          <w:sz w:val="22"/>
          <w:szCs w:val="22"/>
        </w:rPr>
        <w:t>has</w:t>
      </w:r>
      <w:r w:rsidRPr="00845914">
        <w:rPr>
          <w:b/>
          <w:bCs/>
          <w:color w:val="000000"/>
          <w:sz w:val="22"/>
          <w:szCs w:val="22"/>
        </w:rPr>
        <w:t xml:space="preserve"> </w:t>
      </w:r>
      <w:r w:rsidRPr="00B06F37">
        <w:rPr>
          <w:color w:val="000000"/>
          <w:sz w:val="22"/>
          <w:szCs w:val="22"/>
        </w:rPr>
        <w:t xml:space="preserve">introduced </w:t>
      </w:r>
      <w:r>
        <w:rPr>
          <w:color w:val="000000"/>
          <w:sz w:val="22"/>
          <w:szCs w:val="22"/>
        </w:rPr>
        <w:t>an</w:t>
      </w:r>
      <w:r w:rsidRPr="00845914">
        <w:rPr>
          <w:rFonts w:ascii="Arial" w:hAnsi="Arial" w:cs="Arial"/>
          <w:b/>
          <w:bCs/>
          <w:color w:val="000000"/>
          <w:sz w:val="22"/>
          <w:szCs w:val="22"/>
        </w:rPr>
        <w:t> </w:t>
      </w:r>
      <w:r w:rsidRPr="00845914">
        <w:rPr>
          <w:rStyle w:val="Strong"/>
          <w:b w:val="0"/>
          <w:bCs w:val="0"/>
          <w:color w:val="000000"/>
          <w:sz w:val="22"/>
          <w:szCs w:val="22"/>
        </w:rPr>
        <w:t>Equality Strategy</w:t>
      </w:r>
      <w:r w:rsidRPr="00845914">
        <w:rPr>
          <w:rFonts w:ascii="Arial" w:hAnsi="Arial" w:cs="Arial"/>
          <w:b/>
          <w:bCs/>
          <w:color w:val="000000"/>
          <w:sz w:val="22"/>
          <w:szCs w:val="22"/>
        </w:rPr>
        <w:t> </w:t>
      </w:r>
      <w:r w:rsidRPr="00B06F37">
        <w:rPr>
          <w:color w:val="000000"/>
          <w:sz w:val="22"/>
          <w:szCs w:val="22"/>
        </w:rPr>
        <w:t>to guide inclusive and equitable practices across public services (Future Generations Commissioner for Wales, 2025).</w:t>
      </w:r>
    </w:p>
    <w:p w14:paraId="1E9E7D5D" w14:textId="537F8ADE" w:rsidR="00102CD4" w:rsidRPr="00102CD4" w:rsidRDefault="00102CD4" w:rsidP="00102CD4">
      <w:pPr>
        <w:spacing w:before="100" w:beforeAutospacing="1" w:after="100" w:afterAutospacing="1" w:line="240" w:lineRule="auto"/>
        <w:rPr>
          <w:color w:val="000000"/>
          <w:sz w:val="22"/>
          <w:szCs w:val="22"/>
        </w:rPr>
      </w:pPr>
      <w:r w:rsidRPr="00102CD4">
        <w:rPr>
          <w:color w:val="000000"/>
          <w:sz w:val="22"/>
          <w:szCs w:val="22"/>
        </w:rPr>
        <w:t>The Welsh Government’s commitment to inclusive practice aligns with Vygotsky’s Zone of Proximal Development (ZPD), where learners receive tailored support to reach their potential (Vygotsky, 1978). The ALN reform in Wales reflects this by removing barriers to participation and ensuring appropriate support. However, ZPD has been criticised for lacking clear classroom guidelines (McLeod, 2014) and potentially limiting independent thinking (Murphy, Scantlebury, &amp; Milne, 2015). In contrast, Piaget’s theory of cognitive development (1952) promotes active learning, which Main (2021) suggests is particularly beneficial for learners with ALN.</w:t>
      </w:r>
    </w:p>
    <w:p w14:paraId="413C157A" w14:textId="77777777" w:rsidR="00102CD4" w:rsidRDefault="00102CD4" w:rsidP="00102CD4">
      <w:pPr>
        <w:rPr>
          <w:color w:val="000000"/>
          <w:sz w:val="22"/>
          <w:szCs w:val="22"/>
        </w:rPr>
      </w:pPr>
      <w:r w:rsidRPr="00B24854">
        <w:rPr>
          <w:color w:val="000000"/>
          <w:sz w:val="22"/>
          <w:szCs w:val="22"/>
        </w:rPr>
        <w:t xml:space="preserve">It is extremely important for teachers to be educated in promoting equality and fairness so that all children have an equal opportunity to succeed, regardless of ability, gender, or race. While researching my PTE 2 placement school’s most recent Estyn report, I found that 55.6% of students were identified as having Additional Learning Needs. This highlights the importance of inclusive practices. During my time on placement, applying different inclusive strategies helped me grow as a practitioner and allowed me to provide meaningful support to learners. This experience aligns with Article 2 of the UNCRC—the right to non-discrimination—which states that every child should enjoy their rights without discrimination of any kind. I saw this reflected in my placement school, where all children received the </w:t>
      </w:r>
      <w:proofErr w:type="gramStart"/>
      <w:r w:rsidRPr="00B24854">
        <w:rPr>
          <w:color w:val="000000"/>
          <w:sz w:val="22"/>
          <w:szCs w:val="22"/>
        </w:rPr>
        <w:t>support</w:t>
      </w:r>
      <w:proofErr w:type="gramEnd"/>
      <w:r w:rsidRPr="00B24854">
        <w:rPr>
          <w:color w:val="000000"/>
          <w:sz w:val="22"/>
          <w:szCs w:val="22"/>
        </w:rPr>
        <w:t xml:space="preserve"> they needed (UNICEF, 2022</w:t>
      </w:r>
    </w:p>
    <w:p w14:paraId="3910C81B" w14:textId="77777777" w:rsidR="00102CD4" w:rsidRDefault="00102CD4" w:rsidP="00102CD4"/>
    <w:p w14:paraId="53D98508" w14:textId="77777777" w:rsidR="00102CD4" w:rsidRDefault="00102CD4" w:rsidP="00102CD4">
      <w:pPr>
        <w:rPr>
          <w:sz w:val="22"/>
          <w:szCs w:val="22"/>
        </w:rPr>
      </w:pPr>
      <w:r>
        <w:rPr>
          <w:noProof/>
        </w:rPr>
        <w:lastRenderedPageBreak/>
        <w:drawing>
          <wp:anchor distT="0" distB="0" distL="114300" distR="114300" simplePos="0" relativeHeight="251659264" behindDoc="0" locked="0" layoutInCell="1" allowOverlap="1" wp14:anchorId="3C346C85" wp14:editId="4233F0AD">
            <wp:simplePos x="0" y="0"/>
            <wp:positionH relativeFrom="column">
              <wp:posOffset>0</wp:posOffset>
            </wp:positionH>
            <wp:positionV relativeFrom="paragraph">
              <wp:posOffset>1270</wp:posOffset>
            </wp:positionV>
            <wp:extent cx="3563406" cy="2009104"/>
            <wp:effectExtent l="0" t="0" r="0" b="0"/>
            <wp:wrapSquare wrapText="bothSides"/>
            <wp:docPr id="1510551654"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551654" name="Picture 1" descr="A close-up of a chart&#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63406" cy="2009104"/>
                    </a:xfrm>
                    <a:prstGeom prst="rect">
                      <a:avLst/>
                    </a:prstGeom>
                  </pic:spPr>
                </pic:pic>
              </a:graphicData>
            </a:graphic>
            <wp14:sizeRelH relativeFrom="page">
              <wp14:pctWidth>0</wp14:pctWidth>
            </wp14:sizeRelH>
            <wp14:sizeRelV relativeFrom="page">
              <wp14:pctHeight>0</wp14:pctHeight>
            </wp14:sizeRelV>
          </wp:anchor>
        </w:drawing>
      </w:r>
      <w:r>
        <w:rPr>
          <w:sz w:val="22"/>
          <w:szCs w:val="22"/>
        </w:rPr>
        <w:t>(</w:t>
      </w:r>
      <w:proofErr w:type="spellStart"/>
      <w:r>
        <w:rPr>
          <w:sz w:val="22"/>
          <w:szCs w:val="22"/>
        </w:rPr>
        <w:t>PlanBee</w:t>
      </w:r>
      <w:proofErr w:type="spellEnd"/>
      <w:r>
        <w:rPr>
          <w:sz w:val="22"/>
          <w:szCs w:val="22"/>
        </w:rPr>
        <w:t xml:space="preserve">, 2025). </w:t>
      </w:r>
    </w:p>
    <w:p w14:paraId="5AD159D9" w14:textId="77777777" w:rsidR="00102CD4" w:rsidRDefault="00102CD4" w:rsidP="00102CD4">
      <w:r w:rsidRPr="00B24854">
        <w:rPr>
          <w:sz w:val="22"/>
          <w:szCs w:val="22"/>
        </w:rPr>
        <w:t>This is a visual timetable. A visual timetable is a tool commonly used in schools to display the schedule of activities, showing what is coming next, how long each activity will last, and the sequence of events (Council for Disabled Children, 2024; NHS Trust, n.d.). This resource is especially beneficial for children with Additional Learning Needs (ALN), such as autism or ADHD, as it provides a clear structure and reduces anxiety by making the daily routine predictable and easy to follow (National Autistic Society, 2018).</w:t>
      </w:r>
      <w:r>
        <w:rPr>
          <w:sz w:val="22"/>
          <w:szCs w:val="22"/>
        </w:rPr>
        <w:t xml:space="preserve"> According to </w:t>
      </w:r>
      <w:r>
        <w:rPr>
          <w:color w:val="000000"/>
        </w:rPr>
        <w:t xml:space="preserve">Norfolk Council (2025), visual timetables hold many benefits such as encouraging independence and improving focus and concentration by allowing children to track what they need to get done during the day. </w:t>
      </w:r>
      <w:r w:rsidRPr="00B24854">
        <w:rPr>
          <w:sz w:val="22"/>
          <w:szCs w:val="22"/>
        </w:rPr>
        <w:t xml:space="preserve"> During my placement, I used a visual timetable in a Year 3 classroom to support children with ALN, particularly one child with autism. The timetable was displayed at the front of the room, featuring pictures that represented activities and times. I observed that this visual aid helped improve focus, especially during transitions between activities. As a student teacher, I referred to the timetable regularly, involving the children in updating it and discussing the day's events. This approach encouraged routine, promoted independence, and gave learners a sense of control over their day.</w:t>
      </w:r>
      <w:r>
        <w:rPr>
          <w:sz w:val="22"/>
          <w:szCs w:val="22"/>
        </w:rPr>
        <w:t xml:space="preserve"> This can be supported by </w:t>
      </w:r>
      <w:r w:rsidRPr="00B24854">
        <w:rPr>
          <w:sz w:val="22"/>
          <w:szCs w:val="22"/>
        </w:rPr>
        <w:t>However, there are some limitations to visual timetables. Not all children interpret visual cues in the same way. Some may need more personalised symbols or require adult support to understand them fully (Hewitt, 2018). Additionally, creating and maintaining visual timetables can be time-consuming for teachers, especially when schedules change unexpectedly (TES, 2020). Another potential challenge is that students may become overly reliant on the timetable, struggling when it’s unavailable or when there are unanticipated changes (</w:t>
      </w:r>
      <w:proofErr w:type="spellStart"/>
      <w:r w:rsidRPr="00B24854">
        <w:rPr>
          <w:sz w:val="22"/>
          <w:szCs w:val="22"/>
        </w:rPr>
        <w:t>Mesibov</w:t>
      </w:r>
      <w:proofErr w:type="spellEnd"/>
      <w:r w:rsidRPr="00B24854">
        <w:rPr>
          <w:sz w:val="22"/>
          <w:szCs w:val="22"/>
        </w:rPr>
        <w:t xml:space="preserve"> &amp; Shea, 2010). As a future practitioner, I would continue to use visual timetables as I found them effective in supporting routine, reducing anxiety, and promoting independence, particularly for children with ALN. To ensure they are fully inclusive, I would use clear, age-appropriate visuals, combine both text and images, and actively involve children in updating the timetable. Marshall (2024) supports this, explaining that visual timetables can foster independence when personalised to individual needs.</w:t>
      </w:r>
    </w:p>
    <w:p w14:paraId="2C70C0C9" w14:textId="77777777" w:rsidR="00102CD4" w:rsidRDefault="00102CD4" w:rsidP="00102CD4"/>
    <w:p w14:paraId="7CA0A885" w14:textId="77777777" w:rsidR="00102CD4" w:rsidRDefault="00102CD4" w:rsidP="00102CD4">
      <w:pPr>
        <w:rPr>
          <w:color w:val="000000"/>
          <w:sz w:val="22"/>
          <w:szCs w:val="22"/>
        </w:rPr>
      </w:pPr>
      <w:r>
        <w:rPr>
          <w:noProof/>
          <w:color w:val="000000"/>
        </w:rPr>
        <w:drawing>
          <wp:anchor distT="0" distB="0" distL="114300" distR="114300" simplePos="0" relativeHeight="251660288" behindDoc="0" locked="0" layoutInCell="1" allowOverlap="1" wp14:anchorId="5DA4E5D4" wp14:editId="1A11CCB6">
            <wp:simplePos x="0" y="0"/>
            <wp:positionH relativeFrom="column">
              <wp:posOffset>0</wp:posOffset>
            </wp:positionH>
            <wp:positionV relativeFrom="paragraph">
              <wp:posOffset>0</wp:posOffset>
            </wp:positionV>
            <wp:extent cx="2677795" cy="1506220"/>
            <wp:effectExtent l="0" t="0" r="1905" b="5080"/>
            <wp:wrapSquare wrapText="bothSides"/>
            <wp:docPr id="1093514551" name="Picture 2" descr="A group of kids playing with their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514551" name="Picture 2" descr="A group of kids playing with their hand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677795" cy="1506220"/>
                    </a:xfrm>
                    <a:prstGeom prst="rect">
                      <a:avLst/>
                    </a:prstGeom>
                  </pic:spPr>
                </pic:pic>
              </a:graphicData>
            </a:graphic>
            <wp14:sizeRelH relativeFrom="page">
              <wp14:pctWidth>0</wp14:pctWidth>
            </wp14:sizeRelH>
            <wp14:sizeRelV relativeFrom="page">
              <wp14:pctHeight>0</wp14:pctHeight>
            </wp14:sizeRelV>
          </wp:anchor>
        </w:drawing>
      </w:r>
      <w:r>
        <w:rPr>
          <w:color w:val="000000"/>
          <w:sz w:val="22"/>
          <w:szCs w:val="22"/>
        </w:rPr>
        <w:t>(</w:t>
      </w:r>
      <w:proofErr w:type="spellStart"/>
      <w:r>
        <w:rPr>
          <w:color w:val="000000"/>
          <w:sz w:val="22"/>
          <w:szCs w:val="22"/>
        </w:rPr>
        <w:t>Tes</w:t>
      </w:r>
      <w:proofErr w:type="spellEnd"/>
      <w:r>
        <w:rPr>
          <w:color w:val="000000"/>
          <w:sz w:val="22"/>
          <w:szCs w:val="22"/>
        </w:rPr>
        <w:t>, 2024)</w:t>
      </w:r>
    </w:p>
    <w:p w14:paraId="3A6DFDCA" w14:textId="77777777" w:rsidR="00102CD4" w:rsidRPr="00713860" w:rsidRDefault="00102CD4" w:rsidP="00102CD4">
      <w:pPr>
        <w:rPr>
          <w:rFonts w:ascii="-webkit-standard" w:hAnsi="-webkit-standard"/>
          <w:color w:val="000000"/>
          <w:sz w:val="27"/>
          <w:szCs w:val="27"/>
        </w:rPr>
      </w:pPr>
      <w:r w:rsidRPr="00B24854">
        <w:rPr>
          <w:color w:val="000000"/>
          <w:sz w:val="22"/>
          <w:szCs w:val="22"/>
        </w:rPr>
        <w:t xml:space="preserve">A movement break is a short, planned activity that allows students to move their bodies and release energy. Typically, it occurs in the middle of a lesson or after a period of focused work (Felder and Brent, 2024). These breaks help children refocus, improve attention, and reduce </w:t>
      </w:r>
      <w:r w:rsidRPr="00B24854">
        <w:rPr>
          <w:color w:val="000000"/>
          <w:sz w:val="22"/>
          <w:szCs w:val="22"/>
        </w:rPr>
        <w:lastRenderedPageBreak/>
        <w:t>stress or anxiety. They are particularly beneficial for students who may struggle to sit for long periods, such as those with attention deficit hyperactivity disorder (ADHD) or other Additional Learning Needs (ALN) (Ravizza, 2014). During my time in a Year 3 classroom, I observed how movement breaks were incorporated into the daily routine to help students stay engaged. The teacher scheduled short breaks between lessons, allowing students to stand, stretch, and participate in simple activities like star jumps or quick dances. After these breaks, students appeared more alert and engaged. As a student teacher, I facilitated these breaks by encouraging participation and letting children who showed positive engagement choose the movements. This promoted both independence and leadership. However, movement breaks do have limitations. According to Chorlton et al. (2022), time constraints are a significant barrier, with one Year 1 teacher noting, “there is never enough time.” Fisher and Louw (2023) further explain that crowded curriculums leave little room for movement breaks, making it challenging to fit them in without compromising academic goals. Another challenge is the difficulty of transitioning students back to focused work after the break. While movement breaks increase energy, they can sometimes make it harder for students to settle back into academic tasks (Graham, 2015). Despite these barriers, I believe movement breaks are an effective strategy to support student focus, well-being, and engagement, especially for children with ALN. To ensure they are inclusive, I would provide various movement options, including seated exercises for students with mobility challenges.</w:t>
      </w:r>
    </w:p>
    <w:p w14:paraId="7506A111" w14:textId="77777777" w:rsidR="00102CD4" w:rsidRDefault="00102CD4" w:rsidP="00102CD4">
      <w:pPr>
        <w:rPr>
          <w:color w:val="000000"/>
          <w:sz w:val="22"/>
          <w:szCs w:val="22"/>
        </w:rPr>
      </w:pPr>
      <w:r w:rsidRPr="00102CD4">
        <w:rPr>
          <w:color w:val="000000"/>
          <w:sz w:val="22"/>
          <w:szCs w:val="22"/>
        </w:rPr>
        <w:t>In conclusion, b</w:t>
      </w:r>
      <w:r w:rsidRPr="00102CD4">
        <w:rPr>
          <w:color w:val="000000"/>
          <w:sz w:val="22"/>
          <w:szCs w:val="22"/>
        </w:rPr>
        <w:t>eing an inclusive practitioner involves valuing all children, regardless of their abilities or backgrounds, and ensuring they receive the necessary support to thrive. Inclusive practice promotes equality and respect, fostering a classroom environment where every child feels they belong. This aligns with the Additional Learning Needs and Education Tribunal (Wales) Act 2018, which emphasizes meeting all learners' needs. It also links to the Welsh QTS standards, which state that “the teacher raises awareness of how high-quality learning experiences and performance outcomes lead to improved learning and improved habits of well-being.”</w:t>
      </w:r>
    </w:p>
    <w:p w14:paraId="34146BB2" w14:textId="16A28CF7" w:rsidR="00102CD4" w:rsidRPr="00102CD4" w:rsidRDefault="00102CD4" w:rsidP="00102CD4">
      <w:pPr>
        <w:rPr>
          <w:color w:val="000000"/>
          <w:sz w:val="22"/>
          <w:szCs w:val="22"/>
        </w:rPr>
      </w:pPr>
      <w:r w:rsidRPr="00102CD4">
        <w:rPr>
          <w:color w:val="000000"/>
          <w:sz w:val="22"/>
          <w:szCs w:val="22"/>
        </w:rPr>
        <w:t>To improve my future practice, I aim to deepen my understanding of additional learning needs through reflection and continued learning. I plan to further explore the use of visual resources and adapt my teaching to better meet individual needs. I also intend to work more closely with support staff to help create a consistent, supportive, and inclusive classroom environment for all pupils</w:t>
      </w:r>
      <w:r>
        <w:rPr>
          <w:color w:val="000000"/>
          <w:sz w:val="22"/>
          <w:szCs w:val="22"/>
        </w:rPr>
        <w:t xml:space="preserve">. </w:t>
      </w:r>
    </w:p>
    <w:p w14:paraId="0E7457DF" w14:textId="77777777" w:rsidR="00102CD4" w:rsidRDefault="00102CD4" w:rsidP="00102CD4">
      <w:pPr>
        <w:rPr>
          <w:color w:val="000000"/>
          <w:sz w:val="22"/>
          <w:szCs w:val="22"/>
        </w:rPr>
      </w:pPr>
    </w:p>
    <w:p w14:paraId="54CB52BC" w14:textId="77777777" w:rsidR="00102CD4" w:rsidRDefault="00102CD4" w:rsidP="00102CD4">
      <w:pPr>
        <w:rPr>
          <w:color w:val="000000"/>
          <w:sz w:val="22"/>
          <w:szCs w:val="22"/>
        </w:rPr>
      </w:pPr>
    </w:p>
    <w:p w14:paraId="6D5B1CC3" w14:textId="77777777" w:rsidR="00102CD4" w:rsidRDefault="00102CD4" w:rsidP="00102CD4">
      <w:pPr>
        <w:rPr>
          <w:color w:val="000000"/>
          <w:sz w:val="22"/>
          <w:szCs w:val="22"/>
        </w:rPr>
      </w:pPr>
    </w:p>
    <w:p w14:paraId="41F36A09" w14:textId="77777777" w:rsidR="00102CD4" w:rsidRDefault="00102CD4" w:rsidP="00102CD4">
      <w:pPr>
        <w:rPr>
          <w:color w:val="000000"/>
          <w:sz w:val="22"/>
          <w:szCs w:val="22"/>
        </w:rPr>
      </w:pPr>
    </w:p>
    <w:p w14:paraId="1F9314AE" w14:textId="77777777" w:rsidR="00102CD4" w:rsidRDefault="00102CD4" w:rsidP="00102CD4">
      <w:pPr>
        <w:rPr>
          <w:color w:val="000000"/>
          <w:sz w:val="22"/>
          <w:szCs w:val="22"/>
        </w:rPr>
      </w:pPr>
    </w:p>
    <w:p w14:paraId="77474C51" w14:textId="77777777" w:rsidR="00102CD4" w:rsidRDefault="00102CD4" w:rsidP="00102CD4">
      <w:pPr>
        <w:rPr>
          <w:color w:val="000000"/>
          <w:sz w:val="22"/>
          <w:szCs w:val="22"/>
        </w:rPr>
      </w:pPr>
    </w:p>
    <w:p w14:paraId="0918CE7F" w14:textId="77777777" w:rsidR="00102CD4" w:rsidRPr="00102CD4" w:rsidRDefault="00102CD4" w:rsidP="00102CD4">
      <w:pPr>
        <w:rPr>
          <w:color w:val="000000"/>
          <w:sz w:val="22"/>
          <w:szCs w:val="22"/>
        </w:rPr>
      </w:pPr>
    </w:p>
    <w:p w14:paraId="05EA3A38" w14:textId="17B697AF" w:rsidR="00102CD4" w:rsidRPr="00102CD4" w:rsidRDefault="00102CD4" w:rsidP="00D163BC">
      <w:pPr>
        <w:rPr>
          <w:rFonts w:eastAsiaTheme="minorHAnsi"/>
          <w:color w:val="000000"/>
          <w:sz w:val="22"/>
          <w:szCs w:val="22"/>
          <w:lang w:eastAsia="en-US"/>
        </w:rPr>
      </w:pPr>
      <w:r w:rsidRPr="00102CD4">
        <w:rPr>
          <w:rFonts w:eastAsia="Times New Roman" w:cs="Times New Roman"/>
          <w:color w:val="000000"/>
          <w:kern w:val="36"/>
          <w:sz w:val="22"/>
          <w:szCs w:val="22"/>
          <w:u w:val="single"/>
          <w:lang w:eastAsia="en-GB"/>
          <w14:ligatures w14:val="none"/>
        </w:rPr>
        <w:lastRenderedPageBreak/>
        <w:t>R</w:t>
      </w:r>
      <w:r w:rsidRPr="003A5D3D">
        <w:rPr>
          <w:rFonts w:eastAsia="Times New Roman" w:cs="Times New Roman"/>
          <w:color w:val="000000"/>
          <w:kern w:val="36"/>
          <w:sz w:val="22"/>
          <w:szCs w:val="22"/>
          <w:u w:val="single"/>
          <w:lang w:eastAsia="en-GB"/>
          <w14:ligatures w14:val="none"/>
        </w:rPr>
        <w:t>eference list</w:t>
      </w:r>
    </w:p>
    <w:p w14:paraId="05C83882" w14:textId="77777777" w:rsidR="00102CD4" w:rsidRPr="003A5D3D" w:rsidRDefault="00102CD4" w:rsidP="00102CD4">
      <w:pPr>
        <w:spacing w:after="240" w:line="540" w:lineRule="atLeast"/>
        <w:outlineLvl w:val="0"/>
        <w:rPr>
          <w:rFonts w:ascii="Times New Roman" w:eastAsia="Times New Roman" w:hAnsi="Times New Roman" w:cs="Times New Roman"/>
          <w:color w:val="000000"/>
          <w:kern w:val="36"/>
          <w:sz w:val="22"/>
          <w:szCs w:val="22"/>
          <w:u w:val="single"/>
          <w:lang w:eastAsia="en-GB"/>
          <w14:ligatures w14:val="none"/>
        </w:rPr>
      </w:pPr>
      <w:r w:rsidRPr="00102CD4">
        <w:rPr>
          <w:rFonts w:ascii="Times New Roman" w:hAnsi="Times New Roman" w:cs="Times New Roman"/>
          <w:color w:val="000000"/>
          <w:sz w:val="22"/>
          <w:szCs w:val="22"/>
        </w:rPr>
        <w:t>Additional Learning Needs and Education Tribunal (Wales) Act 2018, c. 2. Availableat:</w:t>
      </w:r>
      <w:r w:rsidRPr="00102CD4">
        <w:rPr>
          <w:rStyle w:val="apple-converted-space"/>
          <w:rFonts w:ascii="Times New Roman" w:hAnsi="Times New Roman" w:cs="Times New Roman"/>
          <w:color w:val="000000"/>
          <w:sz w:val="22"/>
          <w:szCs w:val="22"/>
        </w:rPr>
        <w:t> </w:t>
      </w:r>
      <w:hyperlink r:id="rId8" w:tgtFrame="_new" w:history="1">
        <w:r w:rsidRPr="00102CD4">
          <w:rPr>
            <w:rStyle w:val="Hyperlink"/>
            <w:rFonts w:ascii="Times New Roman" w:hAnsi="Times New Roman" w:cs="Times New Roman"/>
            <w:sz w:val="22"/>
            <w:szCs w:val="22"/>
          </w:rPr>
          <w:t>https://www.legislation.gov.uk/anaw/2018/2/contents/enacted</w:t>
        </w:r>
      </w:hyperlink>
      <w:r w:rsidRPr="00102CD4">
        <w:rPr>
          <w:rStyle w:val="apple-converted-space"/>
          <w:rFonts w:ascii="Times New Roman" w:hAnsi="Times New Roman" w:cs="Times New Roman"/>
          <w:color w:val="000000"/>
          <w:sz w:val="22"/>
          <w:szCs w:val="22"/>
        </w:rPr>
        <w:t> </w:t>
      </w:r>
      <w:r w:rsidRPr="00102CD4">
        <w:rPr>
          <w:rFonts w:ascii="Times New Roman" w:hAnsi="Times New Roman" w:cs="Times New Roman"/>
          <w:color w:val="000000"/>
          <w:sz w:val="22"/>
          <w:szCs w:val="22"/>
        </w:rPr>
        <w:t>(Accessed: 14 May 2025).</w:t>
      </w:r>
    </w:p>
    <w:p w14:paraId="6D2C959C"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Chorlton, R.A., Williams, C.A., Denford, S. and Bond, B. (2022) 'Incorporating movement breaks into primary school classrooms: a mixed methods approach to explore the perceptions of pupils, staff, and governors'. </w:t>
      </w:r>
      <w:r w:rsidRPr="00AC33C2">
        <w:rPr>
          <w:rFonts w:ascii="Times New Roman" w:eastAsia="Times New Roman" w:hAnsi="Times New Roman" w:cs="Times New Roman"/>
          <w:i/>
          <w:iCs/>
          <w:kern w:val="0"/>
          <w:sz w:val="22"/>
          <w:szCs w:val="22"/>
          <w:lang w:eastAsia="en-GB"/>
          <w14:ligatures w14:val="none"/>
        </w:rPr>
        <w:t>BMC Public Health</w:t>
      </w:r>
      <w:r w:rsidRPr="00AC33C2">
        <w:rPr>
          <w:rFonts w:ascii="Times New Roman" w:eastAsia="Times New Roman" w:hAnsi="Times New Roman" w:cs="Times New Roman"/>
          <w:kern w:val="0"/>
          <w:sz w:val="22"/>
          <w:szCs w:val="22"/>
          <w:lang w:eastAsia="en-GB"/>
          <w14:ligatures w14:val="none"/>
        </w:rPr>
        <w:t>, 22(1). Available at: </w:t>
      </w:r>
      <w:hyperlink r:id="rId9" w:tgtFrame="_new" w:history="1">
        <w:r w:rsidRPr="00AC33C2">
          <w:rPr>
            <w:rFonts w:ascii="Times New Roman" w:eastAsia="Times New Roman" w:hAnsi="Times New Roman" w:cs="Times New Roman"/>
            <w:color w:val="0000FF"/>
            <w:kern w:val="0"/>
            <w:sz w:val="22"/>
            <w:szCs w:val="22"/>
            <w:u w:val="single"/>
            <w:lang w:eastAsia="en-GB"/>
            <w14:ligatures w14:val="none"/>
          </w:rPr>
          <w:t>https://doi.org/10.1186/s12889-022-14551-5</w:t>
        </w:r>
      </w:hyperlink>
      <w:r w:rsidRPr="00AC33C2">
        <w:rPr>
          <w:rFonts w:ascii="Times New Roman" w:eastAsia="Times New Roman" w:hAnsi="Times New Roman" w:cs="Times New Roman"/>
          <w:kern w:val="0"/>
          <w:sz w:val="22"/>
          <w:szCs w:val="22"/>
          <w:lang w:eastAsia="en-GB"/>
          <w14:ligatures w14:val="none"/>
        </w:rPr>
        <w:t>.</w:t>
      </w:r>
    </w:p>
    <w:p w14:paraId="62747F53" w14:textId="77777777" w:rsidR="00102CD4" w:rsidRPr="00102CD4"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Council for Disabled Children (2024) </w:t>
      </w:r>
      <w:r w:rsidRPr="00AC33C2">
        <w:rPr>
          <w:rFonts w:ascii="Times New Roman" w:eastAsia="Times New Roman" w:hAnsi="Times New Roman" w:cs="Times New Roman"/>
          <w:i/>
          <w:iCs/>
          <w:kern w:val="0"/>
          <w:sz w:val="22"/>
          <w:szCs w:val="22"/>
          <w:lang w:eastAsia="en-GB"/>
          <w14:ligatures w14:val="none"/>
        </w:rPr>
        <w:t>What is a visual timetable?</w:t>
      </w:r>
      <w:r w:rsidRPr="00AC33C2">
        <w:rPr>
          <w:rFonts w:ascii="Times New Roman" w:eastAsia="Times New Roman" w:hAnsi="Times New Roman" w:cs="Times New Roman"/>
          <w:kern w:val="0"/>
          <w:sz w:val="22"/>
          <w:szCs w:val="22"/>
          <w:lang w:eastAsia="en-GB"/>
          <w14:ligatures w14:val="none"/>
        </w:rPr>
        <w:t> Available at: </w:t>
      </w:r>
      <w:hyperlink r:id="rId10" w:tgtFrame="_new" w:history="1">
        <w:r w:rsidRPr="00AC33C2">
          <w:rPr>
            <w:rFonts w:ascii="Times New Roman" w:eastAsia="Times New Roman" w:hAnsi="Times New Roman" w:cs="Times New Roman"/>
            <w:color w:val="0000FF"/>
            <w:kern w:val="0"/>
            <w:sz w:val="22"/>
            <w:szCs w:val="22"/>
            <w:u w:val="single"/>
            <w:lang w:eastAsia="en-GB"/>
            <w14:ligatures w14:val="none"/>
          </w:rPr>
          <w:t>https://councilfordisabledchildren.org.uk/sites/default/files/uploads/attachments/Visual%20Timetables%20Resource.I%20CAN.FINAL_.pdf</w:t>
        </w:r>
      </w:hyperlink>
      <w:r w:rsidRPr="00AC33C2">
        <w:rPr>
          <w:rFonts w:ascii="Times New Roman" w:eastAsia="Times New Roman" w:hAnsi="Times New Roman" w:cs="Times New Roman"/>
          <w:kern w:val="0"/>
          <w:sz w:val="22"/>
          <w:szCs w:val="22"/>
          <w:lang w:eastAsia="en-GB"/>
          <w14:ligatures w14:val="none"/>
        </w:rPr>
        <w:t>.</w:t>
      </w:r>
    </w:p>
    <w:p w14:paraId="2A458485"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color w:val="000000"/>
          <w:kern w:val="0"/>
          <w:sz w:val="22"/>
          <w:szCs w:val="22"/>
          <w:lang w:eastAsia="en-GB"/>
          <w14:ligatures w14:val="none"/>
        </w:rPr>
      </w:pPr>
      <w:r w:rsidRPr="00242388">
        <w:rPr>
          <w:rFonts w:ascii="Times New Roman" w:eastAsia="Times New Roman" w:hAnsi="Times New Roman" w:cs="Times New Roman"/>
          <w:color w:val="000000"/>
          <w:kern w:val="0"/>
          <w:sz w:val="22"/>
          <w:szCs w:val="22"/>
          <w:lang w:eastAsia="en-GB"/>
          <w14:ligatures w14:val="none"/>
        </w:rPr>
        <w:t>Estyn (2024). </w:t>
      </w:r>
      <w:r w:rsidRPr="00242388">
        <w:rPr>
          <w:rFonts w:ascii="Times New Roman" w:eastAsia="Times New Roman" w:hAnsi="Times New Roman" w:cs="Times New Roman"/>
          <w:i/>
          <w:iCs/>
          <w:color w:val="000000"/>
          <w:kern w:val="0"/>
          <w:sz w:val="22"/>
          <w:szCs w:val="22"/>
          <w:lang w:eastAsia="en-GB"/>
          <w14:ligatures w14:val="none"/>
        </w:rPr>
        <w:t>Estyn highlights progress and challenges in implementing Additional Learning Needs reform in Wales</w:t>
      </w:r>
      <w:r w:rsidRPr="00242388">
        <w:rPr>
          <w:rFonts w:ascii="Times New Roman" w:eastAsia="Times New Roman" w:hAnsi="Times New Roman" w:cs="Times New Roman"/>
          <w:color w:val="000000"/>
          <w:kern w:val="0"/>
          <w:sz w:val="22"/>
          <w:szCs w:val="22"/>
          <w:lang w:eastAsia="en-GB"/>
          <w14:ligatures w14:val="none"/>
        </w:rPr>
        <w:t>. Available at: </w:t>
      </w:r>
      <w:hyperlink r:id="rId11" w:tgtFrame="_new" w:history="1">
        <w:r w:rsidRPr="00242388">
          <w:rPr>
            <w:rFonts w:ascii="Times New Roman" w:eastAsia="Times New Roman" w:hAnsi="Times New Roman" w:cs="Times New Roman"/>
            <w:color w:val="0000FF"/>
            <w:kern w:val="0"/>
            <w:sz w:val="22"/>
            <w:szCs w:val="22"/>
            <w:u w:val="single"/>
            <w:lang w:eastAsia="en-GB"/>
            <w14:ligatures w14:val="none"/>
          </w:rPr>
          <w:t>https://estyn.gov.wales/news/estyn-highlights-progress-and-challenges-in-implementing-additional-learning-needs-reform-in-wales/</w:t>
        </w:r>
      </w:hyperlink>
      <w:r w:rsidRPr="00242388">
        <w:rPr>
          <w:rFonts w:ascii="Times New Roman" w:eastAsia="Times New Roman" w:hAnsi="Times New Roman" w:cs="Times New Roman"/>
          <w:color w:val="000000"/>
          <w:kern w:val="0"/>
          <w:sz w:val="22"/>
          <w:szCs w:val="22"/>
          <w:lang w:eastAsia="en-GB"/>
          <w14:ligatures w14:val="none"/>
        </w:rPr>
        <w:t> (Accessed: 15 May 2025).</w:t>
      </w:r>
    </w:p>
    <w:p w14:paraId="47F9B556" w14:textId="77777777" w:rsidR="00102CD4" w:rsidRPr="009C5A46"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Felder, R.M. and Brent, R. (2024) </w:t>
      </w:r>
      <w:r w:rsidRPr="00AC33C2">
        <w:rPr>
          <w:rFonts w:ascii="Times New Roman" w:eastAsia="Times New Roman" w:hAnsi="Times New Roman" w:cs="Times New Roman"/>
          <w:i/>
          <w:iCs/>
          <w:kern w:val="0"/>
          <w:sz w:val="22"/>
          <w:szCs w:val="22"/>
          <w:lang w:eastAsia="en-GB"/>
          <w14:ligatures w14:val="none"/>
        </w:rPr>
        <w:t>Teaching and Learning STEM</w:t>
      </w:r>
      <w:r w:rsidRPr="00AC33C2">
        <w:rPr>
          <w:rFonts w:ascii="Times New Roman" w:eastAsia="Times New Roman" w:hAnsi="Times New Roman" w:cs="Times New Roman"/>
          <w:kern w:val="0"/>
          <w:sz w:val="22"/>
          <w:szCs w:val="22"/>
          <w:lang w:eastAsia="en-GB"/>
          <w14:ligatures w14:val="none"/>
        </w:rPr>
        <w:t>. Jossey-Bass.</w:t>
      </w:r>
    </w:p>
    <w:p w14:paraId="51AE87F9"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Fisher, D. and Louw, Q. (2023) 'Primary school learners’ movement during class time: perceptions of educators in the Western Cape, South Africa'. </w:t>
      </w:r>
      <w:r w:rsidRPr="00AC33C2">
        <w:rPr>
          <w:rFonts w:ascii="Times New Roman" w:eastAsia="Times New Roman" w:hAnsi="Times New Roman" w:cs="Times New Roman"/>
          <w:i/>
          <w:iCs/>
          <w:kern w:val="0"/>
          <w:sz w:val="22"/>
          <w:szCs w:val="22"/>
          <w:lang w:eastAsia="en-GB"/>
          <w14:ligatures w14:val="none"/>
        </w:rPr>
        <w:t>BMC Public Health</w:t>
      </w:r>
      <w:r w:rsidRPr="00AC33C2">
        <w:rPr>
          <w:rFonts w:ascii="Times New Roman" w:eastAsia="Times New Roman" w:hAnsi="Times New Roman" w:cs="Times New Roman"/>
          <w:kern w:val="0"/>
          <w:sz w:val="22"/>
          <w:szCs w:val="22"/>
          <w:lang w:eastAsia="en-GB"/>
          <w14:ligatures w14:val="none"/>
        </w:rPr>
        <w:t>, 23(1). Available at: </w:t>
      </w:r>
      <w:hyperlink r:id="rId12" w:tgtFrame="_new" w:history="1">
        <w:r w:rsidRPr="00AC33C2">
          <w:rPr>
            <w:rFonts w:ascii="Times New Roman" w:eastAsia="Times New Roman" w:hAnsi="Times New Roman" w:cs="Times New Roman"/>
            <w:color w:val="0000FF"/>
            <w:kern w:val="0"/>
            <w:sz w:val="22"/>
            <w:szCs w:val="22"/>
            <w:u w:val="single"/>
            <w:lang w:eastAsia="en-GB"/>
            <w14:ligatures w14:val="none"/>
          </w:rPr>
          <w:t>https://doi.org/10.1</w:t>
        </w:r>
        <w:r w:rsidRPr="00AC33C2">
          <w:rPr>
            <w:rFonts w:ascii="Times New Roman" w:eastAsia="Times New Roman" w:hAnsi="Times New Roman" w:cs="Times New Roman"/>
            <w:color w:val="0000FF"/>
            <w:kern w:val="0"/>
            <w:sz w:val="22"/>
            <w:szCs w:val="22"/>
            <w:u w:val="single"/>
            <w:lang w:eastAsia="en-GB"/>
            <w14:ligatures w14:val="none"/>
          </w:rPr>
          <w:t>1</w:t>
        </w:r>
        <w:r w:rsidRPr="00AC33C2">
          <w:rPr>
            <w:rFonts w:ascii="Times New Roman" w:eastAsia="Times New Roman" w:hAnsi="Times New Roman" w:cs="Times New Roman"/>
            <w:color w:val="0000FF"/>
            <w:kern w:val="0"/>
            <w:sz w:val="22"/>
            <w:szCs w:val="22"/>
            <w:u w:val="single"/>
            <w:lang w:eastAsia="en-GB"/>
            <w14:ligatures w14:val="none"/>
          </w:rPr>
          <w:t>86/s12889-023-17428-3</w:t>
        </w:r>
      </w:hyperlink>
      <w:r w:rsidRPr="00AC33C2">
        <w:rPr>
          <w:rFonts w:ascii="Times New Roman" w:eastAsia="Times New Roman" w:hAnsi="Times New Roman" w:cs="Times New Roman"/>
          <w:kern w:val="0"/>
          <w:sz w:val="22"/>
          <w:szCs w:val="22"/>
          <w:lang w:eastAsia="en-GB"/>
          <w14:ligatures w14:val="none"/>
        </w:rPr>
        <w:t>.</w:t>
      </w:r>
    </w:p>
    <w:p w14:paraId="2FA32C3B" w14:textId="77777777" w:rsidR="00102CD4" w:rsidRPr="009C5A46"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Future Generations Commissioner for Wales (2025) </w:t>
      </w:r>
      <w:r w:rsidRPr="00AC33C2">
        <w:rPr>
          <w:rFonts w:ascii="Times New Roman" w:eastAsia="Times New Roman" w:hAnsi="Times New Roman" w:cs="Times New Roman"/>
          <w:i/>
          <w:iCs/>
          <w:kern w:val="0"/>
          <w:sz w:val="22"/>
          <w:szCs w:val="22"/>
          <w:lang w:eastAsia="en-GB"/>
          <w14:ligatures w14:val="none"/>
        </w:rPr>
        <w:t>Monitoring and Assessing - Future Generations Wales</w:t>
      </w:r>
      <w:r w:rsidRPr="00AC33C2">
        <w:rPr>
          <w:rFonts w:ascii="Times New Roman" w:eastAsia="Times New Roman" w:hAnsi="Times New Roman" w:cs="Times New Roman"/>
          <w:kern w:val="0"/>
          <w:sz w:val="22"/>
          <w:szCs w:val="22"/>
          <w:lang w:eastAsia="en-GB"/>
          <w14:ligatures w14:val="none"/>
        </w:rPr>
        <w:t>. Available at: </w:t>
      </w:r>
      <w:hyperlink r:id="rId13" w:tgtFrame="_new" w:history="1">
        <w:r w:rsidRPr="00AC33C2">
          <w:rPr>
            <w:rFonts w:ascii="Times New Roman" w:eastAsia="Times New Roman" w:hAnsi="Times New Roman" w:cs="Times New Roman"/>
            <w:color w:val="0000FF"/>
            <w:kern w:val="0"/>
            <w:sz w:val="22"/>
            <w:szCs w:val="22"/>
            <w:u w:val="single"/>
            <w:lang w:eastAsia="en-GB"/>
            <w14:ligatures w14:val="none"/>
          </w:rPr>
          <w:t>https://futuregenerations.wales/do/involvement/monitoring-and-assessing</w:t>
        </w:r>
      </w:hyperlink>
      <w:r w:rsidRPr="00AC33C2">
        <w:rPr>
          <w:rFonts w:ascii="Times New Roman" w:eastAsia="Times New Roman" w:hAnsi="Times New Roman" w:cs="Times New Roman"/>
          <w:kern w:val="0"/>
          <w:sz w:val="22"/>
          <w:szCs w:val="22"/>
          <w:lang w:eastAsia="en-GB"/>
          <w14:ligatures w14:val="none"/>
        </w:rPr>
        <w:t> [Accessed 12 May 2025].</w:t>
      </w:r>
    </w:p>
    <w:p w14:paraId="21E4A5EF"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w:t>
      </w:r>
      <w:proofErr w:type="spellStart"/>
      <w:r w:rsidRPr="00AC33C2">
        <w:rPr>
          <w:rFonts w:ascii="Times New Roman" w:eastAsia="Times New Roman" w:hAnsi="Times New Roman" w:cs="Times New Roman"/>
          <w:kern w:val="0"/>
          <w:sz w:val="22"/>
          <w:szCs w:val="22"/>
          <w:lang w:eastAsia="en-GB"/>
          <w14:ligatures w14:val="none"/>
        </w:rPr>
        <w:t>Gowerton</w:t>
      </w:r>
      <w:proofErr w:type="spellEnd"/>
      <w:r w:rsidRPr="00AC33C2">
        <w:rPr>
          <w:rFonts w:ascii="Times New Roman" w:eastAsia="Times New Roman" w:hAnsi="Times New Roman" w:cs="Times New Roman"/>
          <w:kern w:val="0"/>
          <w:sz w:val="22"/>
          <w:szCs w:val="22"/>
          <w:lang w:eastAsia="en-GB"/>
          <w14:ligatures w14:val="none"/>
        </w:rPr>
        <w:t xml:space="preserve"> School (2023) </w:t>
      </w:r>
      <w:r w:rsidRPr="00AC33C2">
        <w:rPr>
          <w:rFonts w:ascii="Times New Roman" w:eastAsia="Times New Roman" w:hAnsi="Times New Roman" w:cs="Times New Roman"/>
          <w:i/>
          <w:iCs/>
          <w:kern w:val="0"/>
          <w:sz w:val="22"/>
          <w:szCs w:val="22"/>
          <w:lang w:eastAsia="en-GB"/>
          <w14:ligatures w14:val="none"/>
        </w:rPr>
        <w:t>Additional Learning Needs and Education Tribunal (Wales) Act</w:t>
      </w:r>
      <w:r w:rsidRPr="00AC33C2">
        <w:rPr>
          <w:rFonts w:ascii="Times New Roman" w:eastAsia="Times New Roman" w:hAnsi="Times New Roman" w:cs="Times New Roman"/>
          <w:kern w:val="0"/>
          <w:sz w:val="22"/>
          <w:szCs w:val="22"/>
          <w:lang w:eastAsia="en-GB"/>
          <w14:ligatures w14:val="none"/>
        </w:rPr>
        <w:t>. Available at: </w:t>
      </w:r>
      <w:hyperlink r:id="rId14" w:tgtFrame="_new" w:history="1">
        <w:r w:rsidRPr="00AC33C2">
          <w:rPr>
            <w:rFonts w:ascii="Times New Roman" w:eastAsia="Times New Roman" w:hAnsi="Times New Roman" w:cs="Times New Roman"/>
            <w:color w:val="0000FF"/>
            <w:kern w:val="0"/>
            <w:sz w:val="22"/>
            <w:szCs w:val="22"/>
            <w:u w:val="single"/>
            <w:lang w:eastAsia="en-GB"/>
            <w14:ligatures w14:val="none"/>
          </w:rPr>
          <w:t>https://gowertonschool.com/additional-learning-needs-and-education-tribunal-wales-act/</w:t>
        </w:r>
      </w:hyperlink>
      <w:r w:rsidRPr="00AC33C2">
        <w:rPr>
          <w:rFonts w:ascii="Times New Roman" w:eastAsia="Times New Roman" w:hAnsi="Times New Roman" w:cs="Times New Roman"/>
          <w:kern w:val="0"/>
          <w:sz w:val="22"/>
          <w:szCs w:val="22"/>
          <w:lang w:eastAsia="en-GB"/>
          <w14:ligatures w14:val="none"/>
        </w:rPr>
        <w:t>.</w:t>
      </w:r>
    </w:p>
    <w:p w14:paraId="5BBE74C6"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Graham, J. (2015) 'The challenges of managing transitions in the classroom: A focus on movement breaks'. </w:t>
      </w:r>
      <w:r w:rsidRPr="00AC33C2">
        <w:rPr>
          <w:rFonts w:ascii="Times New Roman" w:eastAsia="Times New Roman" w:hAnsi="Times New Roman" w:cs="Times New Roman"/>
          <w:i/>
          <w:iCs/>
          <w:kern w:val="0"/>
          <w:sz w:val="22"/>
          <w:szCs w:val="22"/>
          <w:lang w:eastAsia="en-GB"/>
          <w14:ligatures w14:val="none"/>
        </w:rPr>
        <w:t>Journal of Educational Psychology</w:t>
      </w:r>
      <w:r w:rsidRPr="00AC33C2">
        <w:rPr>
          <w:rFonts w:ascii="Times New Roman" w:eastAsia="Times New Roman" w:hAnsi="Times New Roman" w:cs="Times New Roman"/>
          <w:kern w:val="0"/>
          <w:sz w:val="22"/>
          <w:szCs w:val="22"/>
          <w:lang w:eastAsia="en-GB"/>
          <w14:ligatures w14:val="none"/>
        </w:rPr>
        <w:t>, 107(1), pp. 15-24.</w:t>
      </w:r>
    </w:p>
    <w:p w14:paraId="3492BD8D"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Griffiths, J. and Jones, H. (2021) </w:t>
      </w:r>
      <w:r w:rsidRPr="00AC33C2">
        <w:rPr>
          <w:rFonts w:ascii="Times New Roman" w:eastAsia="Times New Roman" w:hAnsi="Times New Roman" w:cs="Times New Roman"/>
          <w:i/>
          <w:iCs/>
          <w:kern w:val="0"/>
          <w:sz w:val="22"/>
          <w:szCs w:val="22"/>
          <w:lang w:eastAsia="en-GB"/>
          <w14:ligatures w14:val="none"/>
        </w:rPr>
        <w:t>The Impact of ALN Reform in Wales: A Comprehensive Review</w:t>
      </w:r>
      <w:r w:rsidRPr="00AC33C2">
        <w:rPr>
          <w:rFonts w:ascii="Times New Roman" w:eastAsia="Times New Roman" w:hAnsi="Times New Roman" w:cs="Times New Roman"/>
          <w:kern w:val="0"/>
          <w:sz w:val="22"/>
          <w:szCs w:val="22"/>
          <w:lang w:eastAsia="en-GB"/>
          <w14:ligatures w14:val="none"/>
        </w:rPr>
        <w:t>. Cardiff: Cardiff University Press.</w:t>
      </w:r>
    </w:p>
    <w:p w14:paraId="7C7E9A18"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Hewitt, D. (2018) </w:t>
      </w:r>
      <w:r w:rsidRPr="00AC33C2">
        <w:rPr>
          <w:rFonts w:ascii="Times New Roman" w:eastAsia="Times New Roman" w:hAnsi="Times New Roman" w:cs="Times New Roman"/>
          <w:i/>
          <w:iCs/>
          <w:kern w:val="0"/>
          <w:sz w:val="22"/>
          <w:szCs w:val="22"/>
          <w:lang w:eastAsia="en-GB"/>
          <w14:ligatures w14:val="none"/>
        </w:rPr>
        <w:t>Understanding and Supporting Behaviour in the Early Years</w:t>
      </w:r>
      <w:r w:rsidRPr="00AC33C2">
        <w:rPr>
          <w:rFonts w:ascii="Times New Roman" w:eastAsia="Times New Roman" w:hAnsi="Times New Roman" w:cs="Times New Roman"/>
          <w:kern w:val="0"/>
          <w:sz w:val="22"/>
          <w:szCs w:val="22"/>
          <w:lang w:eastAsia="en-GB"/>
          <w14:ligatures w14:val="none"/>
        </w:rPr>
        <w:t>. London: Routledge.</w:t>
      </w:r>
    </w:p>
    <w:p w14:paraId="1FEA7CB0"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Home of Dissertations (n.d.) </w:t>
      </w:r>
      <w:r w:rsidRPr="00AC33C2">
        <w:rPr>
          <w:rFonts w:ascii="Times New Roman" w:eastAsia="Times New Roman" w:hAnsi="Times New Roman" w:cs="Times New Roman"/>
          <w:i/>
          <w:iCs/>
          <w:kern w:val="0"/>
          <w:sz w:val="22"/>
          <w:szCs w:val="22"/>
          <w:lang w:eastAsia="en-GB"/>
          <w14:ligatures w14:val="none"/>
        </w:rPr>
        <w:t>Learning in the Zone: How Vygotsky’s Ideas Support Inclusive Education</w:t>
      </w:r>
      <w:r w:rsidRPr="00AC33C2">
        <w:rPr>
          <w:rFonts w:ascii="Times New Roman" w:eastAsia="Times New Roman" w:hAnsi="Times New Roman" w:cs="Times New Roman"/>
          <w:kern w:val="0"/>
          <w:sz w:val="22"/>
          <w:szCs w:val="22"/>
          <w:lang w:eastAsia="en-GB"/>
          <w14:ligatures w14:val="none"/>
        </w:rPr>
        <w:t>. Available at: </w:t>
      </w:r>
      <w:hyperlink r:id="rId15" w:tgtFrame="_new" w:history="1">
        <w:r w:rsidRPr="00AC33C2">
          <w:rPr>
            <w:rFonts w:ascii="Times New Roman" w:eastAsia="Times New Roman" w:hAnsi="Times New Roman" w:cs="Times New Roman"/>
            <w:color w:val="0000FF"/>
            <w:kern w:val="0"/>
            <w:sz w:val="22"/>
            <w:szCs w:val="22"/>
            <w:u w:val="single"/>
            <w:lang w:eastAsia="en-GB"/>
            <w14:ligatures w14:val="none"/>
          </w:rPr>
          <w:t>https://www.dissertationhomework.com/samples/assignment-essay-samples/education/lev-vygotsky-and-inclusive-education</w:t>
        </w:r>
      </w:hyperlink>
      <w:r w:rsidRPr="00AC33C2">
        <w:rPr>
          <w:rFonts w:ascii="Times New Roman" w:eastAsia="Times New Roman" w:hAnsi="Times New Roman" w:cs="Times New Roman"/>
          <w:kern w:val="0"/>
          <w:sz w:val="22"/>
          <w:szCs w:val="22"/>
          <w:lang w:eastAsia="en-GB"/>
          <w14:ligatures w14:val="none"/>
        </w:rPr>
        <w:t>.</w:t>
      </w:r>
    </w:p>
    <w:p w14:paraId="01BE2A0F"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Main, P. (2021) 'Jean Piaget’s theory of cognitive development'. </w:t>
      </w:r>
      <w:r w:rsidRPr="00AC33C2">
        <w:rPr>
          <w:rFonts w:ascii="Times New Roman" w:eastAsia="Times New Roman" w:hAnsi="Times New Roman" w:cs="Times New Roman"/>
          <w:i/>
          <w:iCs/>
          <w:kern w:val="0"/>
          <w:sz w:val="22"/>
          <w:szCs w:val="22"/>
          <w:lang w:eastAsia="en-GB"/>
          <w14:ligatures w14:val="none"/>
        </w:rPr>
        <w:t>Structural Learning</w:t>
      </w:r>
      <w:r w:rsidRPr="00AC33C2">
        <w:rPr>
          <w:rFonts w:ascii="Times New Roman" w:eastAsia="Times New Roman" w:hAnsi="Times New Roman" w:cs="Times New Roman"/>
          <w:kern w:val="0"/>
          <w:sz w:val="22"/>
          <w:szCs w:val="22"/>
          <w:lang w:eastAsia="en-GB"/>
          <w14:ligatures w14:val="none"/>
        </w:rPr>
        <w:t>. Available at: </w:t>
      </w:r>
      <w:hyperlink r:id="rId16" w:tgtFrame="_new" w:history="1">
        <w:r w:rsidRPr="00AC33C2">
          <w:rPr>
            <w:rFonts w:ascii="Times New Roman" w:eastAsia="Times New Roman" w:hAnsi="Times New Roman" w:cs="Times New Roman"/>
            <w:color w:val="0000FF"/>
            <w:kern w:val="0"/>
            <w:sz w:val="22"/>
            <w:szCs w:val="22"/>
            <w:u w:val="single"/>
            <w:lang w:eastAsia="en-GB"/>
            <w14:ligatures w14:val="none"/>
          </w:rPr>
          <w:t>https://www.structural-learning.com/post/jean-piagets-theory-of-cognitive-development-and-active-classrooms</w:t>
        </w:r>
      </w:hyperlink>
      <w:r w:rsidRPr="00AC33C2">
        <w:rPr>
          <w:rFonts w:ascii="Times New Roman" w:eastAsia="Times New Roman" w:hAnsi="Times New Roman" w:cs="Times New Roman"/>
          <w:kern w:val="0"/>
          <w:sz w:val="22"/>
          <w:szCs w:val="22"/>
          <w:lang w:eastAsia="en-GB"/>
          <w14:ligatures w14:val="none"/>
        </w:rPr>
        <w:t>.</w:t>
      </w:r>
    </w:p>
    <w:p w14:paraId="776024D0"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Marshall, H. (2024) </w:t>
      </w:r>
      <w:r w:rsidRPr="00AC33C2">
        <w:rPr>
          <w:rFonts w:ascii="Times New Roman" w:eastAsia="Times New Roman" w:hAnsi="Times New Roman" w:cs="Times New Roman"/>
          <w:i/>
          <w:iCs/>
          <w:kern w:val="0"/>
          <w:sz w:val="22"/>
          <w:szCs w:val="22"/>
          <w:lang w:eastAsia="en-GB"/>
          <w14:ligatures w14:val="none"/>
        </w:rPr>
        <w:t>How visual timelines can support children’s learning</w:t>
      </w:r>
      <w:r w:rsidRPr="00AC33C2">
        <w:rPr>
          <w:rFonts w:ascii="Times New Roman" w:eastAsia="Times New Roman" w:hAnsi="Times New Roman" w:cs="Times New Roman"/>
          <w:kern w:val="0"/>
          <w:sz w:val="22"/>
          <w:szCs w:val="22"/>
          <w:lang w:eastAsia="en-GB"/>
          <w14:ligatures w14:val="none"/>
        </w:rPr>
        <w:t>. Available at: </w:t>
      </w:r>
      <w:hyperlink r:id="rId17" w:tgtFrame="_new" w:history="1">
        <w:r w:rsidRPr="00AC33C2">
          <w:rPr>
            <w:rFonts w:ascii="Times New Roman" w:eastAsia="Times New Roman" w:hAnsi="Times New Roman" w:cs="Times New Roman"/>
            <w:color w:val="0000FF"/>
            <w:kern w:val="0"/>
            <w:sz w:val="22"/>
            <w:szCs w:val="22"/>
            <w:u w:val="single"/>
            <w:lang w:eastAsia="en-GB"/>
            <w14:ligatures w14:val="none"/>
          </w:rPr>
          <w:t>https://www.nurtureuk.org/how-visual-timelines-can-support-childrens-learning/</w:t>
        </w:r>
      </w:hyperlink>
      <w:r w:rsidRPr="00AC33C2">
        <w:rPr>
          <w:rFonts w:ascii="Times New Roman" w:eastAsia="Times New Roman" w:hAnsi="Times New Roman" w:cs="Times New Roman"/>
          <w:kern w:val="0"/>
          <w:sz w:val="22"/>
          <w:szCs w:val="22"/>
          <w:lang w:eastAsia="en-GB"/>
          <w14:ligatures w14:val="none"/>
        </w:rPr>
        <w:t>.</w:t>
      </w:r>
    </w:p>
    <w:p w14:paraId="3E713594"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McLeod, S. (2014) 'Lev Vygotsky'. </w:t>
      </w:r>
      <w:r w:rsidRPr="00AC33C2">
        <w:rPr>
          <w:rFonts w:ascii="Times New Roman" w:eastAsia="Times New Roman" w:hAnsi="Times New Roman" w:cs="Times New Roman"/>
          <w:i/>
          <w:iCs/>
          <w:kern w:val="0"/>
          <w:sz w:val="22"/>
          <w:szCs w:val="22"/>
          <w:lang w:eastAsia="en-GB"/>
          <w14:ligatures w14:val="none"/>
        </w:rPr>
        <w:t>Simply Psychology</w:t>
      </w:r>
      <w:r w:rsidRPr="00AC33C2">
        <w:rPr>
          <w:rFonts w:ascii="Times New Roman" w:eastAsia="Times New Roman" w:hAnsi="Times New Roman" w:cs="Times New Roman"/>
          <w:kern w:val="0"/>
          <w:sz w:val="22"/>
          <w:szCs w:val="22"/>
          <w:lang w:eastAsia="en-GB"/>
          <w14:ligatures w14:val="none"/>
        </w:rPr>
        <w:t>, pp. 1-13. Available at: </w:t>
      </w:r>
      <w:hyperlink r:id="rId18" w:tgtFrame="_new" w:history="1">
        <w:r w:rsidRPr="00AC33C2">
          <w:rPr>
            <w:rFonts w:ascii="Times New Roman" w:eastAsia="Times New Roman" w:hAnsi="Times New Roman" w:cs="Times New Roman"/>
            <w:color w:val="0000FF"/>
            <w:kern w:val="0"/>
            <w:sz w:val="22"/>
            <w:szCs w:val="22"/>
            <w:u w:val="single"/>
            <w:lang w:eastAsia="en-GB"/>
            <w14:ligatures w14:val="none"/>
          </w:rPr>
          <w:t>https://www.simplypsychology.org/vygotsky.html</w:t>
        </w:r>
      </w:hyperlink>
      <w:r w:rsidRPr="00AC33C2">
        <w:rPr>
          <w:rFonts w:ascii="Times New Roman" w:eastAsia="Times New Roman" w:hAnsi="Times New Roman" w:cs="Times New Roman"/>
          <w:kern w:val="0"/>
          <w:sz w:val="22"/>
          <w:szCs w:val="22"/>
          <w:lang w:eastAsia="en-GB"/>
          <w14:ligatures w14:val="none"/>
        </w:rPr>
        <w:t> [Accessed 12 May 2025].</w:t>
      </w:r>
    </w:p>
    <w:p w14:paraId="18213C78"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lastRenderedPageBreak/>
        <w:t xml:space="preserve"> McLeod, S. (2024) 'Vygotsky’s zone of proximal development'. </w:t>
      </w:r>
      <w:r w:rsidRPr="00AC33C2">
        <w:rPr>
          <w:rFonts w:ascii="Times New Roman" w:eastAsia="Times New Roman" w:hAnsi="Times New Roman" w:cs="Times New Roman"/>
          <w:i/>
          <w:iCs/>
          <w:kern w:val="0"/>
          <w:sz w:val="22"/>
          <w:szCs w:val="22"/>
          <w:lang w:eastAsia="en-GB"/>
          <w14:ligatures w14:val="none"/>
        </w:rPr>
        <w:t>ResearchGate</w:t>
      </w:r>
      <w:r w:rsidRPr="00AC33C2">
        <w:rPr>
          <w:rFonts w:ascii="Times New Roman" w:eastAsia="Times New Roman" w:hAnsi="Times New Roman" w:cs="Times New Roman"/>
          <w:kern w:val="0"/>
          <w:sz w:val="22"/>
          <w:szCs w:val="22"/>
          <w:lang w:eastAsia="en-GB"/>
          <w14:ligatures w14:val="none"/>
        </w:rPr>
        <w:t>. Available at: </w:t>
      </w:r>
      <w:hyperlink r:id="rId19" w:tgtFrame="_new" w:history="1">
        <w:r w:rsidRPr="00AC33C2">
          <w:rPr>
            <w:rFonts w:ascii="Times New Roman" w:eastAsia="Times New Roman" w:hAnsi="Times New Roman" w:cs="Times New Roman"/>
            <w:color w:val="0000FF"/>
            <w:kern w:val="0"/>
            <w:sz w:val="22"/>
            <w:szCs w:val="22"/>
            <w:u w:val="single"/>
            <w:lang w:eastAsia="en-GB"/>
            <w14:ligatures w14:val="none"/>
          </w:rPr>
          <w:t>https://www.researchgate.net/publication/383563118_Vygotsky</w:t>
        </w:r>
      </w:hyperlink>
      <w:r w:rsidRPr="00AC33C2">
        <w:rPr>
          <w:rFonts w:ascii="Times New Roman" w:eastAsia="Times New Roman" w:hAnsi="Times New Roman" w:cs="Times New Roman"/>
          <w:kern w:val="0"/>
          <w:sz w:val="22"/>
          <w:szCs w:val="22"/>
          <w:lang w:eastAsia="en-GB"/>
          <w14:ligatures w14:val="none"/>
        </w:rPr>
        <w:t>.</w:t>
      </w:r>
    </w:p>
    <w:p w14:paraId="4E1988EE"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proofErr w:type="spellStart"/>
      <w:r w:rsidRPr="00AC33C2">
        <w:rPr>
          <w:rFonts w:ascii="Times New Roman" w:eastAsia="Times New Roman" w:hAnsi="Times New Roman" w:cs="Times New Roman"/>
          <w:kern w:val="0"/>
          <w:sz w:val="22"/>
          <w:szCs w:val="22"/>
          <w:lang w:eastAsia="en-GB"/>
          <w14:ligatures w14:val="none"/>
        </w:rPr>
        <w:t>Mesibov</w:t>
      </w:r>
      <w:proofErr w:type="spellEnd"/>
      <w:r w:rsidRPr="00AC33C2">
        <w:rPr>
          <w:rFonts w:ascii="Times New Roman" w:eastAsia="Times New Roman" w:hAnsi="Times New Roman" w:cs="Times New Roman"/>
          <w:kern w:val="0"/>
          <w:sz w:val="22"/>
          <w:szCs w:val="22"/>
          <w:lang w:eastAsia="en-GB"/>
          <w14:ligatures w14:val="none"/>
        </w:rPr>
        <w:t>, G. and Shea, V. (2010) </w:t>
      </w:r>
      <w:r w:rsidRPr="00AC33C2">
        <w:rPr>
          <w:rFonts w:ascii="Times New Roman" w:eastAsia="Times New Roman" w:hAnsi="Times New Roman" w:cs="Times New Roman"/>
          <w:i/>
          <w:iCs/>
          <w:kern w:val="0"/>
          <w:sz w:val="22"/>
          <w:szCs w:val="22"/>
          <w:lang w:eastAsia="en-GB"/>
          <w14:ligatures w14:val="none"/>
        </w:rPr>
        <w:t>The TEACCH Approach to Autism Spectrum Disorders</w:t>
      </w:r>
      <w:r w:rsidRPr="00AC33C2">
        <w:rPr>
          <w:rFonts w:ascii="Times New Roman" w:eastAsia="Times New Roman" w:hAnsi="Times New Roman" w:cs="Times New Roman"/>
          <w:kern w:val="0"/>
          <w:sz w:val="22"/>
          <w:szCs w:val="22"/>
          <w:lang w:eastAsia="en-GB"/>
          <w14:ligatures w14:val="none"/>
        </w:rPr>
        <w:t>. New York: Springer.</w:t>
      </w:r>
    </w:p>
    <w:p w14:paraId="44A6FB49"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Murphy, C., Scantlebury, K. and Milne, C. (2015) 'Using Vygotsky’s zone of proximal development to propose and test an explanatory model for conceptualising co-teaching in pre-service science teacher education'. </w:t>
      </w:r>
      <w:r w:rsidRPr="00AC33C2">
        <w:rPr>
          <w:rFonts w:ascii="Times New Roman" w:eastAsia="Times New Roman" w:hAnsi="Times New Roman" w:cs="Times New Roman"/>
          <w:i/>
          <w:iCs/>
          <w:kern w:val="0"/>
          <w:sz w:val="22"/>
          <w:szCs w:val="22"/>
          <w:lang w:eastAsia="en-GB"/>
          <w14:ligatures w14:val="none"/>
        </w:rPr>
        <w:t>Asia-Pacific Journal of Teacher Education</w:t>
      </w:r>
      <w:r w:rsidRPr="00AC33C2">
        <w:rPr>
          <w:rFonts w:ascii="Times New Roman" w:eastAsia="Times New Roman" w:hAnsi="Times New Roman" w:cs="Times New Roman"/>
          <w:kern w:val="0"/>
          <w:sz w:val="22"/>
          <w:szCs w:val="22"/>
          <w:lang w:eastAsia="en-GB"/>
          <w14:ligatures w14:val="none"/>
        </w:rPr>
        <w:t>, 43(4), pp. 281-295.</w:t>
      </w:r>
    </w:p>
    <w:p w14:paraId="5502FDC7"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National Autistic Society (2018) </w:t>
      </w:r>
      <w:r w:rsidRPr="00AC33C2">
        <w:rPr>
          <w:rFonts w:ascii="Times New Roman" w:eastAsia="Times New Roman" w:hAnsi="Times New Roman" w:cs="Times New Roman"/>
          <w:i/>
          <w:iCs/>
          <w:kern w:val="0"/>
          <w:sz w:val="22"/>
          <w:szCs w:val="22"/>
          <w:lang w:eastAsia="en-GB"/>
          <w14:ligatures w14:val="none"/>
        </w:rPr>
        <w:t>Autism support - leading UK charity</w:t>
      </w:r>
      <w:r w:rsidRPr="00AC33C2">
        <w:rPr>
          <w:rFonts w:ascii="Times New Roman" w:eastAsia="Times New Roman" w:hAnsi="Times New Roman" w:cs="Times New Roman"/>
          <w:kern w:val="0"/>
          <w:sz w:val="22"/>
          <w:szCs w:val="22"/>
          <w:lang w:eastAsia="en-GB"/>
          <w14:ligatures w14:val="none"/>
        </w:rPr>
        <w:t>. Available at: </w:t>
      </w:r>
      <w:hyperlink r:id="rId20" w:tgtFrame="_new" w:history="1">
        <w:r w:rsidRPr="00AC33C2">
          <w:rPr>
            <w:rFonts w:ascii="Times New Roman" w:eastAsia="Times New Roman" w:hAnsi="Times New Roman" w:cs="Times New Roman"/>
            <w:color w:val="0000FF"/>
            <w:kern w:val="0"/>
            <w:sz w:val="22"/>
            <w:szCs w:val="22"/>
            <w:u w:val="single"/>
            <w:lang w:eastAsia="en-GB"/>
            <w14:ligatures w14:val="none"/>
          </w:rPr>
          <w:t>https://www.autism.org.uk</w:t>
        </w:r>
      </w:hyperlink>
      <w:r w:rsidRPr="00AC33C2">
        <w:rPr>
          <w:rFonts w:ascii="Times New Roman" w:eastAsia="Times New Roman" w:hAnsi="Times New Roman" w:cs="Times New Roman"/>
          <w:kern w:val="0"/>
          <w:sz w:val="22"/>
          <w:szCs w:val="22"/>
          <w:lang w:eastAsia="en-GB"/>
          <w14:ligatures w14:val="none"/>
        </w:rPr>
        <w:t>.</w:t>
      </w:r>
    </w:p>
    <w:p w14:paraId="6ECEA876"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NHS Trust (n.d.) </w:t>
      </w:r>
      <w:r w:rsidRPr="00AC33C2">
        <w:rPr>
          <w:rFonts w:ascii="Times New Roman" w:eastAsia="Times New Roman" w:hAnsi="Times New Roman" w:cs="Times New Roman"/>
          <w:i/>
          <w:iCs/>
          <w:kern w:val="0"/>
          <w:sz w:val="22"/>
          <w:szCs w:val="22"/>
          <w:lang w:eastAsia="en-GB"/>
          <w14:ligatures w14:val="none"/>
        </w:rPr>
        <w:t>Children’s Speech and Language Therapy Service Visual Timetables</w:t>
      </w:r>
      <w:r w:rsidRPr="00AC33C2">
        <w:rPr>
          <w:rFonts w:ascii="Times New Roman" w:eastAsia="Times New Roman" w:hAnsi="Times New Roman" w:cs="Times New Roman"/>
          <w:kern w:val="0"/>
          <w:sz w:val="22"/>
          <w:szCs w:val="22"/>
          <w:lang w:eastAsia="en-GB"/>
          <w14:ligatures w14:val="none"/>
        </w:rPr>
        <w:t>. Available at: </w:t>
      </w:r>
      <w:hyperlink r:id="rId21" w:tgtFrame="_new" w:history="1">
        <w:r w:rsidRPr="00AC33C2">
          <w:rPr>
            <w:rFonts w:ascii="Times New Roman" w:eastAsia="Times New Roman" w:hAnsi="Times New Roman" w:cs="Times New Roman"/>
            <w:color w:val="0000FF"/>
            <w:kern w:val="0"/>
            <w:sz w:val="22"/>
            <w:szCs w:val="22"/>
            <w:u w:val="single"/>
            <w:lang w:eastAsia="en-GB"/>
            <w14:ligatures w14:val="none"/>
          </w:rPr>
          <w:t>https://www.leicspart.nhs.uk/wp-content/uploads/2019/02/Visual-Timetable-ammended.pdf</w:t>
        </w:r>
      </w:hyperlink>
      <w:r w:rsidRPr="00AC33C2">
        <w:rPr>
          <w:rFonts w:ascii="Times New Roman" w:eastAsia="Times New Roman" w:hAnsi="Times New Roman" w:cs="Times New Roman"/>
          <w:kern w:val="0"/>
          <w:sz w:val="22"/>
          <w:szCs w:val="22"/>
          <w:lang w:eastAsia="en-GB"/>
          <w14:ligatures w14:val="none"/>
        </w:rPr>
        <w:t>.</w:t>
      </w:r>
    </w:p>
    <w:p w14:paraId="0921A9A9"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Norfolk County Council (2025) </w:t>
      </w:r>
      <w:r w:rsidRPr="00AC33C2">
        <w:rPr>
          <w:rFonts w:ascii="Times New Roman" w:eastAsia="Times New Roman" w:hAnsi="Times New Roman" w:cs="Times New Roman"/>
          <w:i/>
          <w:iCs/>
          <w:kern w:val="0"/>
          <w:sz w:val="22"/>
          <w:szCs w:val="22"/>
          <w:lang w:eastAsia="en-GB"/>
          <w14:ligatures w14:val="none"/>
        </w:rPr>
        <w:t>Visual timetables - Norfolk Schools and Learning Providers</w:t>
      </w:r>
      <w:r w:rsidRPr="00AC33C2">
        <w:rPr>
          <w:rFonts w:ascii="Times New Roman" w:eastAsia="Times New Roman" w:hAnsi="Times New Roman" w:cs="Times New Roman"/>
          <w:kern w:val="0"/>
          <w:sz w:val="22"/>
          <w:szCs w:val="22"/>
          <w:lang w:eastAsia="en-GB"/>
          <w14:ligatures w14:val="none"/>
        </w:rPr>
        <w:t>. Available at: </w:t>
      </w:r>
      <w:hyperlink r:id="rId22" w:tgtFrame="_new" w:history="1">
        <w:r w:rsidRPr="00AC33C2">
          <w:rPr>
            <w:rFonts w:ascii="Times New Roman" w:eastAsia="Times New Roman" w:hAnsi="Times New Roman" w:cs="Times New Roman"/>
            <w:color w:val="0000FF"/>
            <w:kern w:val="0"/>
            <w:sz w:val="22"/>
            <w:szCs w:val="22"/>
            <w:u w:val="single"/>
            <w:lang w:eastAsia="en-GB"/>
            <w14:ligatures w14:val="none"/>
          </w:rPr>
          <w:t>https://www.schools.norfolk.gov.uk/article/62813/Visual-timetables</w:t>
        </w:r>
      </w:hyperlink>
      <w:r w:rsidRPr="00AC33C2">
        <w:rPr>
          <w:rFonts w:ascii="Times New Roman" w:eastAsia="Times New Roman" w:hAnsi="Times New Roman" w:cs="Times New Roman"/>
          <w:kern w:val="0"/>
          <w:sz w:val="22"/>
          <w:szCs w:val="22"/>
          <w:lang w:eastAsia="en-GB"/>
          <w14:ligatures w14:val="none"/>
        </w:rPr>
        <w:t>.</w:t>
      </w:r>
    </w:p>
    <w:p w14:paraId="6B76765C"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Ravizza, S.M. (2014) 'Physical Activity and Learning'. </w:t>
      </w:r>
      <w:r w:rsidRPr="00AC33C2">
        <w:rPr>
          <w:rFonts w:ascii="Times New Roman" w:eastAsia="Times New Roman" w:hAnsi="Times New Roman" w:cs="Times New Roman"/>
          <w:i/>
          <w:iCs/>
          <w:kern w:val="0"/>
          <w:sz w:val="22"/>
          <w:szCs w:val="22"/>
          <w:lang w:eastAsia="en-GB"/>
          <w14:ligatures w14:val="none"/>
        </w:rPr>
        <w:t>Journal of Educational Psychology</w:t>
      </w:r>
      <w:r w:rsidRPr="00AC33C2">
        <w:rPr>
          <w:rFonts w:ascii="Times New Roman" w:eastAsia="Times New Roman" w:hAnsi="Times New Roman" w:cs="Times New Roman"/>
          <w:kern w:val="0"/>
          <w:sz w:val="22"/>
          <w:szCs w:val="22"/>
          <w:lang w:eastAsia="en-GB"/>
          <w14:ligatures w14:val="none"/>
        </w:rPr>
        <w:t>, 106(1), pp. 1-14.</w:t>
      </w:r>
    </w:p>
    <w:p w14:paraId="3AA78994"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 xml:space="preserve"> TES (2020) 'Are visual timetables always helpful?'. Available at: </w:t>
      </w:r>
      <w:hyperlink r:id="rId23" w:tgtFrame="_new" w:history="1">
        <w:r w:rsidRPr="00AC33C2">
          <w:rPr>
            <w:rFonts w:ascii="Times New Roman" w:eastAsia="Times New Roman" w:hAnsi="Times New Roman" w:cs="Times New Roman"/>
            <w:color w:val="0000FF"/>
            <w:kern w:val="0"/>
            <w:sz w:val="22"/>
            <w:szCs w:val="22"/>
            <w:u w:val="single"/>
            <w:lang w:eastAsia="en-GB"/>
            <w14:ligatures w14:val="none"/>
          </w:rPr>
          <w:t>https://www.tes.com</w:t>
        </w:r>
      </w:hyperlink>
      <w:r w:rsidRPr="00AC33C2">
        <w:rPr>
          <w:rFonts w:ascii="Times New Roman" w:eastAsia="Times New Roman" w:hAnsi="Times New Roman" w:cs="Times New Roman"/>
          <w:kern w:val="0"/>
          <w:sz w:val="22"/>
          <w:szCs w:val="22"/>
          <w:lang w:eastAsia="en-GB"/>
          <w14:ligatures w14:val="none"/>
        </w:rPr>
        <w:t> [Accessed 12 May 2025].</w:t>
      </w:r>
    </w:p>
    <w:p w14:paraId="4855CAA8"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Thomas, G. (2022) </w:t>
      </w:r>
      <w:r w:rsidRPr="00AC33C2">
        <w:rPr>
          <w:rFonts w:ascii="Times New Roman" w:eastAsia="Times New Roman" w:hAnsi="Times New Roman" w:cs="Times New Roman"/>
          <w:i/>
          <w:iCs/>
          <w:kern w:val="0"/>
          <w:sz w:val="22"/>
          <w:szCs w:val="22"/>
          <w:lang w:eastAsia="en-GB"/>
          <w14:ligatures w14:val="none"/>
        </w:rPr>
        <w:t>Inclusive Education: A Global Perspective</w:t>
      </w:r>
      <w:r w:rsidRPr="00AC33C2">
        <w:rPr>
          <w:rFonts w:ascii="Times New Roman" w:eastAsia="Times New Roman" w:hAnsi="Times New Roman" w:cs="Times New Roman"/>
          <w:kern w:val="0"/>
          <w:sz w:val="22"/>
          <w:szCs w:val="22"/>
          <w:lang w:eastAsia="en-GB"/>
          <w14:ligatures w14:val="none"/>
        </w:rPr>
        <w:t>. London: Routledge.</w:t>
      </w:r>
    </w:p>
    <w:p w14:paraId="1E4C6B58" w14:textId="77777777" w:rsidR="00102CD4"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UNICEF (2022) </w:t>
      </w:r>
      <w:r w:rsidRPr="00AC33C2">
        <w:rPr>
          <w:rFonts w:ascii="Times New Roman" w:eastAsia="Times New Roman" w:hAnsi="Times New Roman" w:cs="Times New Roman"/>
          <w:i/>
          <w:iCs/>
          <w:kern w:val="0"/>
          <w:sz w:val="22"/>
          <w:szCs w:val="22"/>
          <w:lang w:eastAsia="en-GB"/>
          <w14:ligatures w14:val="none"/>
        </w:rPr>
        <w:t>UN Convention on the Rights of the Child (UNCRC)</w:t>
      </w:r>
      <w:r w:rsidRPr="00AC33C2">
        <w:rPr>
          <w:rFonts w:ascii="Times New Roman" w:eastAsia="Times New Roman" w:hAnsi="Times New Roman" w:cs="Times New Roman"/>
          <w:kern w:val="0"/>
          <w:sz w:val="22"/>
          <w:szCs w:val="22"/>
          <w:lang w:eastAsia="en-GB"/>
          <w14:ligatures w14:val="none"/>
        </w:rPr>
        <w:t>. Available at: </w:t>
      </w:r>
      <w:hyperlink r:id="rId24" w:tgtFrame="_new" w:history="1">
        <w:r w:rsidRPr="00AC33C2">
          <w:rPr>
            <w:rFonts w:ascii="Times New Roman" w:eastAsia="Times New Roman" w:hAnsi="Times New Roman" w:cs="Times New Roman"/>
            <w:color w:val="0000FF"/>
            <w:kern w:val="0"/>
            <w:sz w:val="22"/>
            <w:szCs w:val="22"/>
            <w:u w:val="single"/>
            <w:lang w:eastAsia="en-GB"/>
            <w14:ligatures w14:val="none"/>
          </w:rPr>
          <w:t>https://www.unicef.org.uk/what-we-do/un-convention-child-rights/</w:t>
        </w:r>
      </w:hyperlink>
      <w:r w:rsidRPr="00AC33C2">
        <w:rPr>
          <w:rFonts w:ascii="Times New Roman" w:eastAsia="Times New Roman" w:hAnsi="Times New Roman" w:cs="Times New Roman"/>
          <w:kern w:val="0"/>
          <w:sz w:val="22"/>
          <w:szCs w:val="22"/>
          <w:lang w:eastAsia="en-GB"/>
          <w14:ligatures w14:val="none"/>
        </w:rPr>
        <w:t>.</w:t>
      </w:r>
    </w:p>
    <w:p w14:paraId="74BEE06A"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DF0BD4">
        <w:rPr>
          <w:rFonts w:ascii="-webkit-standard" w:hAnsi="-webkit-standard"/>
          <w:color w:val="000000"/>
          <w:sz w:val="22"/>
          <w:szCs w:val="22"/>
        </w:rPr>
        <w:t>University of Bolton (2023).</w:t>
      </w:r>
      <w:r w:rsidRPr="00DF0BD4">
        <w:rPr>
          <w:rStyle w:val="apple-converted-space"/>
          <w:rFonts w:ascii="-webkit-standard" w:hAnsi="-webkit-standard"/>
          <w:color w:val="000000"/>
          <w:sz w:val="22"/>
          <w:szCs w:val="22"/>
        </w:rPr>
        <w:t> </w:t>
      </w:r>
      <w:r w:rsidRPr="00DF0BD4">
        <w:rPr>
          <w:rStyle w:val="Emphasis"/>
          <w:color w:val="000000"/>
          <w:sz w:val="22"/>
          <w:szCs w:val="22"/>
        </w:rPr>
        <w:t>The Impact of Inclusive Education on Society</w:t>
      </w:r>
      <w:r w:rsidRPr="00DF0BD4">
        <w:rPr>
          <w:rFonts w:ascii="-webkit-standard" w:hAnsi="-webkit-standard"/>
          <w:color w:val="000000"/>
          <w:sz w:val="22"/>
          <w:szCs w:val="22"/>
        </w:rPr>
        <w:t>. Available at:</w:t>
      </w:r>
      <w:r w:rsidRPr="00DF0BD4">
        <w:rPr>
          <w:rStyle w:val="apple-converted-space"/>
          <w:rFonts w:ascii="-webkit-standard" w:hAnsi="-webkit-standard"/>
          <w:color w:val="000000"/>
          <w:sz w:val="22"/>
          <w:szCs w:val="22"/>
        </w:rPr>
        <w:t> </w:t>
      </w:r>
      <w:hyperlink r:id="rId25" w:tgtFrame="_new" w:history="1">
        <w:r w:rsidRPr="00DF0BD4">
          <w:rPr>
            <w:rStyle w:val="Hyperlink"/>
            <w:sz w:val="22"/>
            <w:szCs w:val="22"/>
          </w:rPr>
          <w:t>https://www.bolton.ac.uk/blogs/the-impact-of-inclusive-education-on-society</w:t>
        </w:r>
      </w:hyperlink>
      <w:r w:rsidRPr="00DF0BD4">
        <w:rPr>
          <w:rStyle w:val="apple-converted-space"/>
          <w:rFonts w:ascii="-webkit-standard" w:hAnsi="-webkit-standard"/>
          <w:color w:val="000000"/>
          <w:sz w:val="22"/>
          <w:szCs w:val="22"/>
        </w:rPr>
        <w:t> </w:t>
      </w:r>
      <w:r w:rsidRPr="00DF0BD4">
        <w:rPr>
          <w:rFonts w:ascii="-webkit-standard" w:hAnsi="-webkit-standard"/>
          <w:color w:val="000000"/>
          <w:sz w:val="22"/>
          <w:szCs w:val="22"/>
        </w:rPr>
        <w:t>(Accessed: 15 May 2025).</w:t>
      </w:r>
    </w:p>
    <w:p w14:paraId="59B42D5B"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102CD4">
        <w:rPr>
          <w:rFonts w:ascii="Times New Roman" w:hAnsi="Times New Roman" w:cs="Times New Roman"/>
          <w:color w:val="000000"/>
          <w:sz w:val="22"/>
          <w:szCs w:val="22"/>
        </w:rPr>
        <w:t>Welsh Government (2017).</w:t>
      </w:r>
      <w:r w:rsidRPr="00102CD4">
        <w:rPr>
          <w:rStyle w:val="apple-converted-space"/>
          <w:rFonts w:ascii="Times New Roman" w:hAnsi="Times New Roman" w:cs="Times New Roman"/>
          <w:color w:val="000000"/>
          <w:sz w:val="22"/>
          <w:szCs w:val="22"/>
        </w:rPr>
        <w:t> </w:t>
      </w:r>
      <w:r w:rsidRPr="00102CD4">
        <w:rPr>
          <w:rStyle w:val="Emphasis"/>
          <w:rFonts w:ascii="Times New Roman" w:hAnsi="Times New Roman" w:cs="Times New Roman"/>
          <w:color w:val="000000"/>
          <w:sz w:val="22"/>
          <w:szCs w:val="22"/>
        </w:rPr>
        <w:t>Professional standards for teaching and leadership: interactive PDF for PC</w:t>
      </w:r>
      <w:r w:rsidRPr="00102CD4">
        <w:rPr>
          <w:rFonts w:ascii="Times New Roman" w:hAnsi="Times New Roman" w:cs="Times New Roman"/>
          <w:color w:val="000000"/>
          <w:sz w:val="22"/>
          <w:szCs w:val="22"/>
        </w:rPr>
        <w:t>. Available at:</w:t>
      </w:r>
      <w:r w:rsidRPr="00102CD4">
        <w:rPr>
          <w:rStyle w:val="apple-converted-space"/>
          <w:rFonts w:ascii="Times New Roman" w:hAnsi="Times New Roman" w:cs="Times New Roman"/>
          <w:color w:val="000000"/>
          <w:sz w:val="22"/>
          <w:szCs w:val="22"/>
        </w:rPr>
        <w:t> </w:t>
      </w:r>
      <w:hyperlink r:id="rId26" w:tgtFrame="_new" w:history="1">
        <w:r w:rsidRPr="00102CD4">
          <w:rPr>
            <w:rStyle w:val="Hyperlink"/>
            <w:rFonts w:ascii="Times New Roman" w:hAnsi="Times New Roman" w:cs="Times New Roman"/>
            <w:sz w:val="22"/>
            <w:szCs w:val="22"/>
          </w:rPr>
          <w:t>https://hwb.gov.wales/api/storage/19bc948b-8a3f-41e0-944a-7bf2cadf7d18/professional-standards-for-te</w:t>
        </w:r>
        <w:r w:rsidRPr="00102CD4">
          <w:rPr>
            <w:rStyle w:val="Hyperlink"/>
            <w:rFonts w:ascii="Times New Roman" w:hAnsi="Times New Roman" w:cs="Times New Roman"/>
            <w:sz w:val="22"/>
            <w:szCs w:val="22"/>
          </w:rPr>
          <w:t>a</w:t>
        </w:r>
        <w:r w:rsidRPr="00102CD4">
          <w:rPr>
            <w:rStyle w:val="Hyperlink"/>
            <w:rFonts w:ascii="Times New Roman" w:hAnsi="Times New Roman" w:cs="Times New Roman"/>
            <w:sz w:val="22"/>
            <w:szCs w:val="22"/>
          </w:rPr>
          <w:t>ching-and-leadership-interactive-pdf-for-pc.pdf</w:t>
        </w:r>
      </w:hyperlink>
      <w:r w:rsidRPr="00102CD4">
        <w:rPr>
          <w:rStyle w:val="apple-converted-space"/>
          <w:rFonts w:ascii="Times New Roman" w:hAnsi="Times New Roman" w:cs="Times New Roman"/>
          <w:color w:val="000000"/>
          <w:sz w:val="22"/>
          <w:szCs w:val="22"/>
        </w:rPr>
        <w:t> </w:t>
      </w:r>
      <w:r w:rsidRPr="00102CD4">
        <w:rPr>
          <w:rFonts w:ascii="Times New Roman" w:hAnsi="Times New Roman" w:cs="Times New Roman"/>
          <w:color w:val="000000"/>
          <w:sz w:val="22"/>
          <w:szCs w:val="22"/>
        </w:rPr>
        <w:t>(Accessed: 15 May 2025).</w:t>
      </w:r>
    </w:p>
    <w:p w14:paraId="703CD6A5"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Welsh Government (2020) </w:t>
      </w:r>
      <w:r w:rsidRPr="00AC33C2">
        <w:rPr>
          <w:rFonts w:ascii="Times New Roman" w:eastAsia="Times New Roman" w:hAnsi="Times New Roman" w:cs="Times New Roman"/>
          <w:i/>
          <w:iCs/>
          <w:kern w:val="0"/>
          <w:sz w:val="22"/>
          <w:szCs w:val="22"/>
          <w:lang w:eastAsia="en-GB"/>
          <w14:ligatures w14:val="none"/>
        </w:rPr>
        <w:t>Additional Learning Needs Code for Wales 2021</w:t>
      </w:r>
      <w:r w:rsidRPr="00AC33C2">
        <w:rPr>
          <w:rFonts w:ascii="Times New Roman" w:eastAsia="Times New Roman" w:hAnsi="Times New Roman" w:cs="Times New Roman"/>
          <w:kern w:val="0"/>
          <w:sz w:val="22"/>
          <w:szCs w:val="22"/>
          <w:lang w:eastAsia="en-GB"/>
          <w14:ligatures w14:val="none"/>
        </w:rPr>
        <w:t>. Available at: </w:t>
      </w:r>
      <w:hyperlink r:id="rId27" w:tgtFrame="_new" w:history="1">
        <w:r w:rsidRPr="00AC33C2">
          <w:rPr>
            <w:rFonts w:ascii="Times New Roman" w:eastAsia="Times New Roman" w:hAnsi="Times New Roman" w:cs="Times New Roman"/>
            <w:color w:val="0000FF"/>
            <w:kern w:val="0"/>
            <w:sz w:val="22"/>
            <w:szCs w:val="22"/>
            <w:u w:val="single"/>
            <w:lang w:eastAsia="en-GB"/>
            <w14:ligatures w14:val="none"/>
          </w:rPr>
          <w:t>https://gov.wales/additional-learning-needs-code</w:t>
        </w:r>
      </w:hyperlink>
      <w:r w:rsidRPr="00AC33C2">
        <w:rPr>
          <w:rFonts w:ascii="Times New Roman" w:eastAsia="Times New Roman" w:hAnsi="Times New Roman" w:cs="Times New Roman"/>
          <w:kern w:val="0"/>
          <w:sz w:val="22"/>
          <w:szCs w:val="22"/>
          <w:lang w:eastAsia="en-GB"/>
          <w14:ligatures w14:val="none"/>
        </w:rPr>
        <w:t> [Accessed 5 May 2025].</w:t>
      </w:r>
    </w:p>
    <w:p w14:paraId="690368EE"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Welsh Government (2024) </w:t>
      </w:r>
      <w:r w:rsidRPr="00AC33C2">
        <w:rPr>
          <w:rFonts w:ascii="Times New Roman" w:eastAsia="Times New Roman" w:hAnsi="Times New Roman" w:cs="Times New Roman"/>
          <w:i/>
          <w:iCs/>
          <w:kern w:val="0"/>
          <w:sz w:val="22"/>
          <w:szCs w:val="22"/>
          <w:lang w:eastAsia="en-GB"/>
          <w14:ligatures w14:val="none"/>
        </w:rPr>
        <w:t>Curriculum for Wales: Achieving Excellence in Education for All</w:t>
      </w:r>
      <w:r w:rsidRPr="00AC33C2">
        <w:rPr>
          <w:rFonts w:ascii="Times New Roman" w:eastAsia="Times New Roman" w:hAnsi="Times New Roman" w:cs="Times New Roman"/>
          <w:kern w:val="0"/>
          <w:sz w:val="22"/>
          <w:szCs w:val="22"/>
          <w:lang w:eastAsia="en-GB"/>
          <w14:ligatures w14:val="none"/>
        </w:rPr>
        <w:t>. Available at: </w:t>
      </w:r>
      <w:hyperlink r:id="rId28" w:tgtFrame="_new" w:history="1">
        <w:r w:rsidRPr="00AC33C2">
          <w:rPr>
            <w:rFonts w:ascii="Times New Roman" w:eastAsia="Times New Roman" w:hAnsi="Times New Roman" w:cs="Times New Roman"/>
            <w:color w:val="0000FF"/>
            <w:kern w:val="0"/>
            <w:sz w:val="22"/>
            <w:szCs w:val="22"/>
            <w:u w:val="single"/>
            <w:lang w:eastAsia="en-GB"/>
            <w14:ligatures w14:val="none"/>
          </w:rPr>
          <w:t>https://gov.wales/curriculum-for-wales</w:t>
        </w:r>
      </w:hyperlink>
      <w:r w:rsidRPr="00AC33C2">
        <w:rPr>
          <w:rFonts w:ascii="Times New Roman" w:eastAsia="Times New Roman" w:hAnsi="Times New Roman" w:cs="Times New Roman"/>
          <w:kern w:val="0"/>
          <w:sz w:val="22"/>
          <w:szCs w:val="22"/>
          <w:lang w:eastAsia="en-GB"/>
          <w14:ligatures w14:val="none"/>
        </w:rPr>
        <w:t> [Accessed 5 May 2025].</w:t>
      </w:r>
    </w:p>
    <w:p w14:paraId="42DD6F5E" w14:textId="77777777" w:rsidR="00102CD4" w:rsidRPr="00AC33C2"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Welsh Government (2024) </w:t>
      </w:r>
      <w:r w:rsidRPr="00AC33C2">
        <w:rPr>
          <w:rFonts w:ascii="Times New Roman" w:eastAsia="Times New Roman" w:hAnsi="Times New Roman" w:cs="Times New Roman"/>
          <w:i/>
          <w:iCs/>
          <w:kern w:val="0"/>
          <w:sz w:val="22"/>
          <w:szCs w:val="22"/>
          <w:lang w:eastAsia="en-GB"/>
          <w14:ligatures w14:val="none"/>
        </w:rPr>
        <w:t>Equity and inclusion in the Curriculum for Wales</w:t>
      </w:r>
      <w:r w:rsidRPr="00AC33C2">
        <w:rPr>
          <w:rFonts w:ascii="Times New Roman" w:eastAsia="Times New Roman" w:hAnsi="Times New Roman" w:cs="Times New Roman"/>
          <w:kern w:val="0"/>
          <w:sz w:val="22"/>
          <w:szCs w:val="22"/>
          <w:lang w:eastAsia="en-GB"/>
          <w14:ligatures w14:val="none"/>
        </w:rPr>
        <w:t>. Available at: </w:t>
      </w:r>
      <w:hyperlink r:id="rId29" w:tgtFrame="_new" w:history="1">
        <w:r w:rsidRPr="00AC33C2">
          <w:rPr>
            <w:rFonts w:ascii="Times New Roman" w:eastAsia="Times New Roman" w:hAnsi="Times New Roman" w:cs="Times New Roman"/>
            <w:color w:val="0000FF"/>
            <w:kern w:val="0"/>
            <w:sz w:val="22"/>
            <w:szCs w:val="22"/>
            <w:u w:val="single"/>
            <w:lang w:eastAsia="en-GB"/>
            <w14:ligatures w14:val="none"/>
          </w:rPr>
          <w:t>https://educationwales.blog.gov.wales/2024/05/13/equity-and-inclusion-in-the-curriculum-for-wales/</w:t>
        </w:r>
      </w:hyperlink>
      <w:r w:rsidRPr="00AC33C2">
        <w:rPr>
          <w:rFonts w:ascii="Times New Roman" w:eastAsia="Times New Roman" w:hAnsi="Times New Roman" w:cs="Times New Roman"/>
          <w:kern w:val="0"/>
          <w:sz w:val="22"/>
          <w:szCs w:val="22"/>
          <w:lang w:eastAsia="en-GB"/>
          <w14:ligatures w14:val="none"/>
        </w:rPr>
        <w:t> [Accessed 12 May 2025].</w:t>
      </w:r>
    </w:p>
    <w:p w14:paraId="44063B1F" w14:textId="77777777" w:rsidR="00102CD4" w:rsidRDefault="00102CD4" w:rsidP="00102CD4">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AC33C2">
        <w:rPr>
          <w:rFonts w:ascii="Times New Roman" w:eastAsia="Times New Roman" w:hAnsi="Times New Roman" w:cs="Times New Roman"/>
          <w:kern w:val="0"/>
          <w:sz w:val="22"/>
          <w:szCs w:val="22"/>
          <w:lang w:eastAsia="en-GB"/>
          <w14:ligatures w14:val="none"/>
        </w:rPr>
        <w:t>Welsh Government (2024) </w:t>
      </w:r>
      <w:r w:rsidRPr="00AC33C2">
        <w:rPr>
          <w:rFonts w:ascii="Times New Roman" w:eastAsia="Times New Roman" w:hAnsi="Times New Roman" w:cs="Times New Roman"/>
          <w:i/>
          <w:iCs/>
          <w:kern w:val="0"/>
          <w:sz w:val="22"/>
          <w:szCs w:val="22"/>
          <w:lang w:eastAsia="en-GB"/>
          <w14:ligatures w14:val="none"/>
        </w:rPr>
        <w:t>Well-being of Future Generations (Wales) Act 2015 Essentials Guide</w:t>
      </w:r>
      <w:r w:rsidRPr="00AC33C2">
        <w:rPr>
          <w:rFonts w:ascii="Times New Roman" w:eastAsia="Times New Roman" w:hAnsi="Times New Roman" w:cs="Times New Roman"/>
          <w:kern w:val="0"/>
          <w:sz w:val="22"/>
          <w:szCs w:val="22"/>
          <w:lang w:eastAsia="en-GB"/>
          <w14:ligatures w14:val="none"/>
        </w:rPr>
        <w:t>. Available at: </w:t>
      </w:r>
      <w:hyperlink r:id="rId30" w:tgtFrame="_new" w:history="1">
        <w:r w:rsidRPr="00AC33C2">
          <w:rPr>
            <w:rFonts w:ascii="Times New Roman" w:eastAsia="Times New Roman" w:hAnsi="Times New Roman" w:cs="Times New Roman"/>
            <w:color w:val="0000FF"/>
            <w:kern w:val="0"/>
            <w:sz w:val="22"/>
            <w:szCs w:val="22"/>
            <w:u w:val="single"/>
            <w:lang w:eastAsia="en-GB"/>
            <w14:ligatures w14:val="none"/>
          </w:rPr>
          <w:t>https://www.gov.wales/sites/default/files/publications/2024-07/well-being-future-generations-wales-act-2015-the-essentials-2024.pdf</w:t>
        </w:r>
      </w:hyperlink>
      <w:r w:rsidRPr="00AC33C2">
        <w:rPr>
          <w:rFonts w:ascii="Times New Roman" w:eastAsia="Times New Roman" w:hAnsi="Times New Roman" w:cs="Times New Roman"/>
          <w:kern w:val="0"/>
          <w:sz w:val="22"/>
          <w:szCs w:val="22"/>
          <w:lang w:eastAsia="en-GB"/>
          <w14:ligatures w14:val="none"/>
        </w:rPr>
        <w:t>.</w:t>
      </w:r>
    </w:p>
    <w:sectPr w:rsidR="00102C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E2E7E"/>
    <w:rsid w:val="00102CD4"/>
    <w:rsid w:val="00121BB2"/>
    <w:rsid w:val="001675AC"/>
    <w:rsid w:val="00191CFB"/>
    <w:rsid w:val="001E698E"/>
    <w:rsid w:val="001F1157"/>
    <w:rsid w:val="00371AC6"/>
    <w:rsid w:val="00372668"/>
    <w:rsid w:val="003A7750"/>
    <w:rsid w:val="00403714"/>
    <w:rsid w:val="00455B28"/>
    <w:rsid w:val="00504994"/>
    <w:rsid w:val="00510D18"/>
    <w:rsid w:val="00604703"/>
    <w:rsid w:val="008F0B48"/>
    <w:rsid w:val="00965B69"/>
    <w:rsid w:val="009D31A8"/>
    <w:rsid w:val="00AB5565"/>
    <w:rsid w:val="00C0493E"/>
    <w:rsid w:val="00D163BC"/>
    <w:rsid w:val="00DF09B3"/>
    <w:rsid w:val="00E5184C"/>
    <w:rsid w:val="00EA5F88"/>
    <w:rsid w:val="00F664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02CD4"/>
  </w:style>
  <w:style w:type="character" w:styleId="Strong">
    <w:name w:val="Strong"/>
    <w:basedOn w:val="DefaultParagraphFont"/>
    <w:uiPriority w:val="22"/>
    <w:qFormat/>
    <w:rsid w:val="00102CD4"/>
    <w:rPr>
      <w:b/>
      <w:bCs/>
    </w:rPr>
  </w:style>
  <w:style w:type="character" w:styleId="Emphasis">
    <w:name w:val="Emphasis"/>
    <w:basedOn w:val="DefaultParagraphFont"/>
    <w:uiPriority w:val="20"/>
    <w:qFormat/>
    <w:rsid w:val="00102CD4"/>
    <w:rPr>
      <w:i/>
      <w:iCs/>
    </w:rPr>
  </w:style>
  <w:style w:type="character" w:styleId="Hyperlink">
    <w:name w:val="Hyperlink"/>
    <w:basedOn w:val="DefaultParagraphFont"/>
    <w:uiPriority w:val="99"/>
    <w:semiHidden/>
    <w:unhideWhenUsed/>
    <w:rsid w:val="00102CD4"/>
    <w:rPr>
      <w:color w:val="0000FF"/>
      <w:u w:val="single"/>
    </w:rPr>
  </w:style>
  <w:style w:type="character" w:styleId="FollowedHyperlink">
    <w:name w:val="FollowedHyperlink"/>
    <w:basedOn w:val="DefaultParagraphFont"/>
    <w:uiPriority w:val="99"/>
    <w:semiHidden/>
    <w:unhideWhenUsed/>
    <w:rsid w:val="00102CD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anaw/2018/2/contents/enacted" TargetMode="External"/><Relationship Id="rId13" Type="http://schemas.openxmlformats.org/officeDocument/2006/relationships/hyperlink" Target="https://futuregenerations.wales/do/involvement/monitoring-and-assessing" TargetMode="External"/><Relationship Id="rId18" Type="http://schemas.openxmlformats.org/officeDocument/2006/relationships/hyperlink" Target="https://www.simplypsychology.org/vygotsky.html" TargetMode="External"/><Relationship Id="rId26" Type="http://schemas.openxmlformats.org/officeDocument/2006/relationships/hyperlink" Target="https://hwb.gov.wales/api/storage/19bc948b-8a3f-41e0-944a-7bf2cadf7d18/professional-standards-for-teaching-and-leadership-interactive-pdf-for-pc.pdf" TargetMode="External"/><Relationship Id="rId3" Type="http://schemas.openxmlformats.org/officeDocument/2006/relationships/webSettings" Target="webSettings.xml"/><Relationship Id="rId21" Type="http://schemas.openxmlformats.org/officeDocument/2006/relationships/hyperlink" Target="https://www.leicspart.nhs.uk/wp-content/uploads/2019/02/Visual-Timetable-ammended.pdf" TargetMode="External"/><Relationship Id="rId7" Type="http://schemas.openxmlformats.org/officeDocument/2006/relationships/image" Target="media/image4.png"/><Relationship Id="rId12" Type="http://schemas.openxmlformats.org/officeDocument/2006/relationships/hyperlink" Target="https://doi.org/10.1186/s12889-023-17428-3" TargetMode="External"/><Relationship Id="rId17" Type="http://schemas.openxmlformats.org/officeDocument/2006/relationships/hyperlink" Target="https://www.nurtureuk.org/how-visual-timelines-can-support-childrens-learning/" TargetMode="External"/><Relationship Id="rId25" Type="http://schemas.openxmlformats.org/officeDocument/2006/relationships/hyperlink" Target="https://www.bolton.ac.uk/blogs/the-impact-of-inclusive-education-on-society" TargetMode="External"/><Relationship Id="rId2" Type="http://schemas.openxmlformats.org/officeDocument/2006/relationships/settings" Target="settings.xml"/><Relationship Id="rId16" Type="http://schemas.openxmlformats.org/officeDocument/2006/relationships/hyperlink" Target="https://www.structural-learning.com/post/jean-piagets-theory-of-cognitive-development-and-active-classrooms" TargetMode="External"/><Relationship Id="rId20" Type="http://schemas.openxmlformats.org/officeDocument/2006/relationships/hyperlink" Target="https://www.autism.org.uk/" TargetMode="External"/><Relationship Id="rId29" Type="http://schemas.openxmlformats.org/officeDocument/2006/relationships/hyperlink" Target="https://educationwales.blog.gov.wales/2024/05/13/equity-and-inclusion-in-the-curriculum-for-wales/"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estyn.gov.wales/news/estyn-highlights-progress-and-challenges-in-implementing-additional-learning-needs-reform-in-wales/" TargetMode="External"/><Relationship Id="rId24" Type="http://schemas.openxmlformats.org/officeDocument/2006/relationships/hyperlink" Target="https://www.unicef.org.uk/what-we-do/un-convention-child-rights/" TargetMode="External"/><Relationship Id="rId32"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hyperlink" Target="https://www.dissertationhomework.com/samples/assignment-essay-samples/education/lev-vygotsky-and-inclusive-education" TargetMode="External"/><Relationship Id="rId23" Type="http://schemas.openxmlformats.org/officeDocument/2006/relationships/hyperlink" Target="https://www.tes.com/" TargetMode="External"/><Relationship Id="rId28" Type="http://schemas.openxmlformats.org/officeDocument/2006/relationships/hyperlink" Target="https://gov.wales/curriculum-for-wales" TargetMode="External"/><Relationship Id="rId10" Type="http://schemas.openxmlformats.org/officeDocument/2006/relationships/hyperlink" Target="https://councilfordisabledchildren.org.uk/sites/default/files/uploads/attachments/Visual%20Timetables%20Resource.I%20CAN.FINAL_.pdf" TargetMode="External"/><Relationship Id="rId19" Type="http://schemas.openxmlformats.org/officeDocument/2006/relationships/hyperlink" Target="https://www.researchgate.net/publication/383563118_Vygotsky" TargetMode="External"/><Relationship Id="rId31"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doi.org/10.1186/s12889-022-14551-5" TargetMode="External"/><Relationship Id="rId14" Type="http://schemas.openxmlformats.org/officeDocument/2006/relationships/hyperlink" Target="https://gowertonschool.com/additional-learning-needs-and-education-tribunal-wales-act/" TargetMode="External"/><Relationship Id="rId22" Type="http://schemas.openxmlformats.org/officeDocument/2006/relationships/hyperlink" Target="https://www.schools.norfolk.gov.uk/article/62813/Visual-timetables" TargetMode="External"/><Relationship Id="rId27" Type="http://schemas.openxmlformats.org/officeDocument/2006/relationships/hyperlink" Target="https://gov.wales/additional-learning-needs-code" TargetMode="External"/><Relationship Id="rId30" Type="http://schemas.openxmlformats.org/officeDocument/2006/relationships/hyperlink" Target="https://www.gov.wales/sites/default/files/publications/2024-07/well-being-future-generations-wales-act-2015-the-essentials-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2709</Words>
  <Characters>16258</Characters>
  <Application>Microsoft Office Word</Application>
  <DocSecurity>0</DocSecurity>
  <Lines>242</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Megan Howard (2304259)</cp:lastModifiedBy>
  <cp:revision>3</cp:revision>
  <dcterms:created xsi:type="dcterms:W3CDTF">2025-05-15T11:54:00Z</dcterms:created>
  <dcterms:modified xsi:type="dcterms:W3CDTF">2025-05-15T12:17:00Z</dcterms:modified>
</cp:coreProperties>
</file>