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0D7649">
      <w:pPr>
        <w:spacing w:line="360" w:lineRule="auto"/>
      </w:pPr>
      <w:r>
        <w:drawing>
          <wp:inline distT="0" distB="0" distL="0" distR="0">
            <wp:extent cx="3343275" cy="1343025"/>
            <wp:effectExtent l="0" t="0" r="0" b="0"/>
            <wp:docPr id="1" name="Picture 1" descr="UWTSD logo | Discover Dylan Tho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UWTSD logo | Discover Dylan Thomas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43275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7F8631">
      <w:pPr>
        <w:spacing w:line="360" w:lineRule="auto"/>
        <w:rPr>
          <w:rStyle w:val="17"/>
          <w:rFonts w:ascii="Segoe UI" w:hAnsi="Segoe UI" w:cs="Segoe UI"/>
          <w:color w:val="1D2125"/>
        </w:rPr>
      </w:pPr>
    </w:p>
    <w:p w14:paraId="3D4BDE11">
      <w:pPr>
        <w:spacing w:line="360" w:lineRule="auto"/>
        <w:rPr>
          <w:rStyle w:val="17"/>
          <w:rFonts w:ascii="Arial" w:hAnsi="Arial" w:cs="Arial"/>
          <w:color w:val="1D2125"/>
          <w:sz w:val="36"/>
          <w:szCs w:val="36"/>
        </w:rPr>
      </w:pPr>
    </w:p>
    <w:p w14:paraId="22930AF8">
      <w:pPr>
        <w:spacing w:line="360" w:lineRule="auto"/>
        <w:jc w:val="center"/>
        <w:rPr>
          <w:rStyle w:val="17"/>
          <w:rFonts w:ascii="Arial" w:hAnsi="Arial" w:cs="Arial"/>
          <w:color w:val="1D2125"/>
          <w:sz w:val="36"/>
          <w:szCs w:val="36"/>
        </w:rPr>
      </w:pPr>
    </w:p>
    <w:p w14:paraId="7E1888EF">
      <w:pPr>
        <w:spacing w:line="360" w:lineRule="auto"/>
        <w:jc w:val="center"/>
        <w:rPr>
          <w:rStyle w:val="17"/>
          <w:rFonts w:hint="default" w:ascii="Arial" w:hAnsi="Arial" w:cs="Arial"/>
          <w:color w:val="1D2125"/>
          <w:sz w:val="36"/>
          <w:szCs w:val="36"/>
          <w:lang w:val="en-GB"/>
        </w:rPr>
      </w:pPr>
      <w:r>
        <w:rPr>
          <w:rStyle w:val="17"/>
          <w:rFonts w:hint="default" w:ascii="Arial" w:hAnsi="Arial" w:cs="Arial"/>
          <w:color w:val="1D2125"/>
          <w:sz w:val="36"/>
          <w:szCs w:val="36"/>
          <w:lang w:val="en-GB"/>
        </w:rPr>
        <w:t>Empowering the Older Person</w:t>
      </w:r>
    </w:p>
    <w:p w14:paraId="6D878108">
      <w:pPr>
        <w:spacing w:line="360" w:lineRule="auto"/>
        <w:jc w:val="center"/>
        <w:rPr>
          <w:rStyle w:val="17"/>
          <w:rFonts w:hint="default" w:ascii="Arial" w:hAnsi="Arial" w:cs="Arial"/>
          <w:color w:val="1D2125"/>
          <w:sz w:val="36"/>
          <w:szCs w:val="36"/>
          <w:lang w:val="en-GB"/>
        </w:rPr>
      </w:pPr>
      <w:r>
        <w:rPr>
          <w:rStyle w:val="17"/>
          <w:rFonts w:hint="default" w:ascii="Arial" w:hAnsi="Arial" w:cs="Arial"/>
          <w:color w:val="1D2125"/>
          <w:sz w:val="36"/>
          <w:szCs w:val="36"/>
          <w:lang w:val="en-GB"/>
        </w:rPr>
        <w:t>(BMHP 6027_LON)</w:t>
      </w:r>
    </w:p>
    <w:p w14:paraId="0E4A258C">
      <w:pPr>
        <w:spacing w:line="360" w:lineRule="auto"/>
        <w:jc w:val="center"/>
        <w:rPr>
          <w:rStyle w:val="17"/>
          <w:rFonts w:ascii="Arial" w:hAnsi="Arial" w:cs="Arial"/>
          <w:color w:val="1D2125"/>
          <w:sz w:val="36"/>
          <w:szCs w:val="36"/>
        </w:rPr>
      </w:pPr>
    </w:p>
    <w:p w14:paraId="4D8F34EA">
      <w:pPr>
        <w:spacing w:line="360" w:lineRule="auto"/>
        <w:jc w:val="center"/>
        <w:rPr>
          <w:rStyle w:val="17"/>
          <w:rFonts w:ascii="Arial" w:hAnsi="Arial" w:cs="Arial"/>
          <w:color w:val="1D2125"/>
          <w:sz w:val="36"/>
          <w:szCs w:val="36"/>
        </w:rPr>
      </w:pPr>
    </w:p>
    <w:p w14:paraId="09EDD2AC">
      <w:pPr>
        <w:spacing w:line="360" w:lineRule="auto"/>
        <w:rPr>
          <w:rStyle w:val="17"/>
          <w:rFonts w:hint="default" w:ascii="Arial" w:hAnsi="Arial" w:cs="Arial"/>
          <w:b w:val="0"/>
          <w:bCs w:val="0"/>
          <w:color w:val="1D2125"/>
          <w:sz w:val="32"/>
          <w:szCs w:val="32"/>
          <w:lang w:val="en-GB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Component </w:t>
      </w:r>
      <w:r>
        <w:rPr>
          <w:rFonts w:hint="default" w:ascii="Arial" w:hAnsi="Arial" w:cs="Arial"/>
          <w:b/>
          <w:bCs/>
          <w:color w:val="000000"/>
          <w:sz w:val="32"/>
          <w:szCs w:val="32"/>
          <w:lang w:val="en-GB"/>
        </w:rPr>
        <w:t>2 In Class Debate  Reference List</w:t>
      </w:r>
    </w:p>
    <w:p w14:paraId="03B7C5EA">
      <w:pPr>
        <w:spacing w:line="360" w:lineRule="auto"/>
        <w:rPr>
          <w:rStyle w:val="17"/>
          <w:rFonts w:ascii="Arial" w:hAnsi="Arial" w:cs="Arial"/>
          <w:color w:val="1D2125"/>
          <w:sz w:val="32"/>
          <w:szCs w:val="32"/>
        </w:rPr>
      </w:pPr>
    </w:p>
    <w:p w14:paraId="3C3042AD">
      <w:pPr>
        <w:spacing w:line="360" w:lineRule="auto"/>
        <w:rPr>
          <w:rStyle w:val="17"/>
          <w:rFonts w:hint="default" w:ascii="Arial" w:hAnsi="Arial" w:cs="Arial"/>
          <w:color w:val="1D2125"/>
          <w:sz w:val="32"/>
          <w:szCs w:val="32"/>
          <w:lang w:val="en-GB"/>
        </w:rPr>
      </w:pPr>
      <w:r>
        <w:rPr>
          <w:rStyle w:val="17"/>
          <w:rFonts w:ascii="Arial" w:hAnsi="Arial" w:cs="Arial"/>
          <w:color w:val="1D2125"/>
          <w:sz w:val="32"/>
          <w:szCs w:val="32"/>
        </w:rPr>
        <w:t xml:space="preserve">Student </w:t>
      </w:r>
      <w:r>
        <w:rPr>
          <w:rStyle w:val="17"/>
          <w:rFonts w:hint="default" w:ascii="Arial" w:hAnsi="Arial" w:cs="Arial"/>
          <w:color w:val="1D2125"/>
          <w:sz w:val="32"/>
          <w:szCs w:val="32"/>
          <w:lang w:val="en-GB"/>
        </w:rPr>
        <w:t>N</w:t>
      </w:r>
      <w:r>
        <w:rPr>
          <w:rStyle w:val="17"/>
          <w:rFonts w:ascii="Arial" w:hAnsi="Arial" w:cs="Arial"/>
          <w:color w:val="1D2125"/>
          <w:sz w:val="32"/>
          <w:szCs w:val="32"/>
        </w:rPr>
        <w:t>ame:</w:t>
      </w:r>
      <w:r>
        <w:rPr>
          <w:rStyle w:val="17"/>
          <w:rFonts w:hint="default" w:ascii="Arial" w:hAnsi="Arial" w:cs="Arial"/>
          <w:color w:val="1D2125"/>
          <w:sz w:val="32"/>
          <w:szCs w:val="32"/>
          <w:lang w:val="en-GB"/>
        </w:rPr>
        <w:t xml:space="preserve">    Kingsley Nwogwugwu</w:t>
      </w:r>
    </w:p>
    <w:p w14:paraId="227AC82E">
      <w:pPr>
        <w:spacing w:line="360" w:lineRule="auto"/>
        <w:rPr>
          <w:rStyle w:val="17"/>
          <w:rFonts w:hint="default" w:ascii="Arial" w:hAnsi="Arial" w:cs="Arial"/>
          <w:color w:val="1D2125"/>
          <w:sz w:val="32"/>
          <w:szCs w:val="32"/>
          <w:lang w:val="en-GB"/>
        </w:rPr>
      </w:pPr>
      <w:r>
        <w:rPr>
          <w:rStyle w:val="17"/>
          <w:rFonts w:ascii="Arial" w:hAnsi="Arial" w:cs="Arial"/>
          <w:color w:val="1D2125"/>
          <w:sz w:val="32"/>
          <w:szCs w:val="32"/>
        </w:rPr>
        <w:t>Student number:</w:t>
      </w:r>
      <w:r>
        <w:rPr>
          <w:rStyle w:val="17"/>
          <w:rFonts w:hint="default" w:ascii="Arial" w:hAnsi="Arial" w:cs="Arial"/>
          <w:color w:val="1D2125"/>
          <w:sz w:val="32"/>
          <w:szCs w:val="32"/>
          <w:lang w:val="en-GB"/>
        </w:rPr>
        <w:t xml:space="preserve">    2243460</w:t>
      </w:r>
    </w:p>
    <w:p w14:paraId="5B5E64AD">
      <w:pPr>
        <w:spacing w:line="360" w:lineRule="auto"/>
        <w:rPr>
          <w:rStyle w:val="17"/>
          <w:rFonts w:hint="default" w:ascii="Arial" w:hAnsi="Arial" w:cs="Arial"/>
          <w:color w:val="1D2125"/>
          <w:sz w:val="32"/>
          <w:szCs w:val="32"/>
          <w:lang w:val="en-GB"/>
        </w:rPr>
      </w:pPr>
      <w:r>
        <w:rPr>
          <w:rStyle w:val="17"/>
          <w:rFonts w:ascii="Arial" w:hAnsi="Arial" w:cs="Arial"/>
          <w:color w:val="1D2125"/>
          <w:sz w:val="32"/>
          <w:szCs w:val="32"/>
        </w:rPr>
        <w:t>Lecturer’s name:</w:t>
      </w:r>
      <w:r>
        <w:rPr>
          <w:rStyle w:val="17"/>
          <w:rFonts w:hint="default" w:ascii="Arial" w:hAnsi="Arial" w:cs="Arial"/>
          <w:color w:val="1D2125"/>
          <w:sz w:val="32"/>
          <w:szCs w:val="32"/>
          <w:lang w:val="en-GB"/>
        </w:rPr>
        <w:t xml:space="preserve">     Laila   Surani</w:t>
      </w:r>
    </w:p>
    <w:p w14:paraId="4F492421">
      <w:pPr>
        <w:spacing w:line="360" w:lineRule="auto"/>
        <w:rPr>
          <w:sz w:val="36"/>
          <w:szCs w:val="36"/>
        </w:rPr>
      </w:pPr>
    </w:p>
    <w:p w14:paraId="43FBD350">
      <w:pPr>
        <w:spacing w:line="360" w:lineRule="auto"/>
        <w:rPr>
          <w:rFonts w:ascii="Arial" w:hAnsi="Arial" w:cs="Arial"/>
          <w:sz w:val="36"/>
          <w:szCs w:val="36"/>
        </w:rPr>
      </w:pPr>
    </w:p>
    <w:p w14:paraId="2EE68F49">
      <w:pPr>
        <w:spacing w:line="360" w:lineRule="auto"/>
        <w:rPr>
          <w:rFonts w:ascii="Arial" w:hAnsi="Arial" w:cs="Arial"/>
          <w:sz w:val="36"/>
          <w:szCs w:val="36"/>
        </w:rPr>
      </w:pPr>
    </w:p>
    <w:p w14:paraId="5E13BA96">
      <w:pPr>
        <w:spacing w:line="360" w:lineRule="auto"/>
        <w:rPr>
          <w:rFonts w:ascii="Arial" w:hAnsi="Arial" w:cs="Arial"/>
          <w:sz w:val="36"/>
          <w:szCs w:val="36"/>
        </w:rPr>
      </w:pPr>
    </w:p>
    <w:p w14:paraId="2A7736BA">
      <w:pPr>
        <w:pStyle w:val="16"/>
        <w:spacing w:line="360" w:lineRule="auto"/>
        <w:ind w:firstLine="1821" w:firstLineChars="650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Table of contents</w:t>
      </w:r>
    </w:p>
    <w:p w14:paraId="103F6E8B">
      <w:pPr>
        <w:pStyle w:val="16"/>
        <w:spacing w:line="360" w:lineRule="auto"/>
        <w:rPr>
          <w:rFonts w:hint="default" w:ascii="Arial" w:hAnsi="Arial" w:cs="Arial"/>
          <w:b/>
          <w:bCs/>
          <w:color w:val="000000"/>
          <w:sz w:val="28"/>
          <w:szCs w:val="28"/>
          <w:lang w:val="en-GB"/>
        </w:rPr>
      </w:pPr>
    </w:p>
    <w:p w14:paraId="25BA38BB">
      <w:pPr>
        <w:pStyle w:val="16"/>
        <w:spacing w:line="360" w:lineRule="auto"/>
        <w:rPr>
          <w:rFonts w:hint="default" w:ascii="Arial" w:hAnsi="Arial" w:cs="Arial"/>
          <w:b/>
          <w:bCs/>
          <w:color w:val="000000"/>
          <w:sz w:val="28"/>
          <w:szCs w:val="28"/>
          <w:lang w:val="en-GB"/>
        </w:rPr>
      </w:pPr>
    </w:p>
    <w:p w14:paraId="5A547493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  <w:ind w:left="1200" w:leftChars="0"/>
        <w:rPr>
          <w:rFonts w:hint="default" w:ascii="Arial" w:hAnsi="Arial" w:cs="Arial"/>
        </w:rPr>
      </w:pPr>
    </w:p>
    <w:p w14:paraId="4E4923F0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  <w:ind w:left="1200" w:leftChars="0"/>
        <w:rPr>
          <w:rFonts w:hint="default" w:ascii="Arial" w:hAnsi="Arial" w:cs="Arial"/>
        </w:rPr>
      </w:pPr>
    </w:p>
    <w:p w14:paraId="16B1EA15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  <w:ind w:left="1200" w:leftChars="0"/>
        <w:rPr>
          <w:rFonts w:hint="default" w:ascii="Arial" w:hAnsi="Arial" w:cs="Arial"/>
        </w:rPr>
      </w:pPr>
    </w:p>
    <w:p w14:paraId="10CC20AA">
      <w:pPr>
        <w:keepNext w:val="0"/>
        <w:keepLines w:val="0"/>
        <w:widowControl/>
        <w:suppressLineNumbers w:val="0"/>
      </w:pPr>
      <w:r>
        <w:pict>
          <v:rect id="_x0000_i1027" o:spt="1" style="height:1.5pt;width:432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1A9690CD">
      <w:pPr>
        <w:pStyle w:val="41"/>
      </w:pPr>
      <w:r>
        <w:t>窗体顶端</w:t>
      </w:r>
    </w:p>
    <w:p w14:paraId="04225D37">
      <w:pPr>
        <w:keepNext w:val="0"/>
        <w:keepLines w:val="0"/>
        <w:widowControl/>
        <w:suppressLineNumbers w:val="0"/>
        <w:jc w:val="left"/>
      </w:pPr>
      <w:r>
        <w:rPr>
          <w:rFonts w:ascii="SimSun" w:hAnsi="SimSun" w:eastAsia="SimSun" w:cs="SimSun"/>
          <w:kern w:val="0"/>
          <w:sz w:val="24"/>
          <w:szCs w:val="24"/>
          <w:lang w:val="en-US" w:eastAsia="zh-CN" w:bidi="ar"/>
        </w:rPr>
        <w:object>
          <v:shape id="_x0000_i1028" o:spt="201" type="#_x0000_t201" style="height:0pt;width:0.05pt;" o:ole="t" filled="f" coordsize="21600,21600">
            <v:path/>
            <v:fill on="f" focussize="0,0"/>
            <v:stroke/>
            <v:imagedata o:title=""/>
            <o:lock v:ext="edit" aspectratio="t"/>
            <w10:wrap type="none"/>
            <w10:anchorlock/>
          </v:shape>
        </w:object>
      </w:r>
    </w:p>
    <w:p w14:paraId="4CD5911A">
      <w:pPr>
        <w:pStyle w:val="42"/>
      </w:pPr>
      <w:r>
        <w:t>窗体底端</w:t>
      </w:r>
    </w:p>
    <w:p w14:paraId="041600C8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</w:pPr>
    </w:p>
    <w:p w14:paraId="21A24A75">
      <w:pPr>
        <w:pStyle w:val="16"/>
        <w:keepNext w:val="0"/>
        <w:keepLines w:val="0"/>
        <w:widowControl/>
        <w:numPr>
          <w:ilvl w:val="0"/>
          <w:numId w:val="1"/>
        </w:numPr>
        <w:suppressLineNumbers w:val="0"/>
        <w:ind w:left="420" w:leftChars="0" w:hanging="420" w:firstLineChars="0"/>
        <w:rPr>
          <w:rFonts w:hint="default" w:ascii="Arial" w:hAnsi="Arial" w:cs="Arial"/>
        </w:rPr>
      </w:pPr>
      <w:r>
        <w:rPr>
          <w:rStyle w:val="17"/>
          <w:rFonts w:hint="default" w:ascii="Arial" w:hAnsi="Arial" w:cs="Arial"/>
        </w:rPr>
        <w:t>ARIiA (Australian Research Institute for Ageing and Care)</w:t>
      </w:r>
      <w:r>
        <w:rPr>
          <w:rFonts w:hint="default" w:ascii="Arial" w:hAnsi="Arial" w:cs="Arial"/>
        </w:rPr>
        <w:t xml:space="preserve"> (2022) </w:t>
      </w:r>
      <w:r>
        <w:rPr>
          <w:rStyle w:val="13"/>
          <w:rFonts w:hint="default" w:ascii="Arial" w:hAnsi="Arial" w:cs="Arial"/>
        </w:rPr>
        <w:t>Assistive technologies evidence limitations</w:t>
      </w:r>
      <w:r>
        <w:rPr>
          <w:rFonts w:hint="default" w:ascii="Arial" w:hAnsi="Arial" w:cs="Arial"/>
        </w:rPr>
        <w:t>, Dementia Care – Assistive Technologies.</w:t>
      </w:r>
    </w:p>
    <w:p w14:paraId="08D4D34F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  <w:rPr>
          <w:rFonts w:hint="default" w:ascii="Arial" w:hAnsi="Arial" w:cs="Arial"/>
        </w:rPr>
      </w:pPr>
    </w:p>
    <w:p w14:paraId="6CFD4DCD">
      <w:pPr>
        <w:pStyle w:val="16"/>
        <w:keepNext w:val="0"/>
        <w:keepLines w:val="0"/>
        <w:widowControl/>
        <w:numPr>
          <w:ilvl w:val="0"/>
          <w:numId w:val="2"/>
        </w:numPr>
        <w:suppressLineNumbers w:val="0"/>
        <w:tabs>
          <w:tab w:val="clear" w:pos="420"/>
        </w:tabs>
        <w:ind w:left="420" w:leftChars="0" w:hanging="420" w:firstLineChars="0"/>
        <w:rPr>
          <w:rFonts w:hint="default" w:ascii="Arial" w:hAnsi="Arial" w:cs="Arial"/>
        </w:rPr>
      </w:pPr>
      <w:r>
        <w:rPr>
          <w:rStyle w:val="17"/>
          <w:rFonts w:hint="default" w:ascii="Arial" w:hAnsi="Arial" w:cs="Arial"/>
        </w:rPr>
        <w:t>ARIiA (Australian Research Institute for Ageing and Care)</w:t>
      </w:r>
      <w:r>
        <w:rPr>
          <w:rFonts w:hint="default" w:ascii="Arial" w:hAnsi="Arial" w:cs="Arial"/>
        </w:rPr>
        <w:t xml:space="preserve"> (2022) </w:t>
      </w:r>
      <w:r>
        <w:rPr>
          <w:rStyle w:val="13"/>
          <w:rFonts w:hint="default" w:ascii="Arial" w:hAnsi="Arial" w:cs="Arial"/>
        </w:rPr>
        <w:t>Assistive technologies evidence theme – dementia care</w:t>
      </w:r>
      <w:r>
        <w:rPr>
          <w:rFonts w:hint="default" w:ascii="Arial" w:hAnsi="Arial" w:cs="Arial"/>
        </w:rPr>
        <w:t>, ARIiA Report.</w:t>
      </w:r>
    </w:p>
    <w:p w14:paraId="44DC1A7B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  <w:rPr>
          <w:rFonts w:hint="default" w:ascii="Arial" w:hAnsi="Arial" w:cs="Arial"/>
        </w:rPr>
      </w:pPr>
    </w:p>
    <w:p w14:paraId="1A975279">
      <w:pPr>
        <w:pStyle w:val="16"/>
        <w:keepNext w:val="0"/>
        <w:keepLines w:val="0"/>
        <w:widowControl/>
        <w:numPr>
          <w:ilvl w:val="0"/>
          <w:numId w:val="2"/>
        </w:numPr>
        <w:suppressLineNumbers w:val="0"/>
        <w:ind w:left="420" w:leftChars="0" w:hanging="420" w:firstLineChars="0"/>
        <w:rPr>
          <w:rFonts w:hint="default" w:ascii="Arial" w:hAnsi="Arial" w:cs="Arial"/>
        </w:rPr>
      </w:pPr>
      <w:r>
        <w:rPr>
          <w:rStyle w:val="17"/>
          <w:rFonts w:hint="default" w:ascii="Arial" w:hAnsi="Arial" w:cs="Arial"/>
        </w:rPr>
        <w:t>Brodaty, H. and Donkin, M.</w:t>
      </w:r>
      <w:r>
        <w:rPr>
          <w:rFonts w:hint="default" w:ascii="Arial" w:hAnsi="Arial" w:cs="Arial"/>
        </w:rPr>
        <w:t xml:space="preserve"> (2009) </w:t>
      </w:r>
      <w:r>
        <w:rPr>
          <w:rStyle w:val="13"/>
          <w:rFonts w:hint="default" w:ascii="Arial" w:hAnsi="Arial" w:cs="Arial"/>
        </w:rPr>
        <w:t>What do family caregivers of Alzheimer’s disease patients desire in smart home technologies?</w:t>
      </w:r>
      <w:r>
        <w:rPr>
          <w:rFonts w:hint="default" w:ascii="Arial" w:hAnsi="Arial" w:cs="Arial"/>
        </w:rPr>
        <w:t>, Alzheimer’s Technology Studies.</w:t>
      </w:r>
    </w:p>
    <w:p w14:paraId="7D402B40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  <w:rPr>
          <w:rFonts w:hint="default" w:ascii="Arial" w:hAnsi="Arial" w:cs="Arial"/>
        </w:rPr>
      </w:pPr>
    </w:p>
    <w:p w14:paraId="66085B5F">
      <w:pPr>
        <w:pStyle w:val="16"/>
        <w:keepNext w:val="0"/>
        <w:keepLines w:val="0"/>
        <w:widowControl/>
        <w:numPr>
          <w:ilvl w:val="0"/>
          <w:numId w:val="2"/>
        </w:numPr>
        <w:suppressLineNumbers w:val="0"/>
        <w:ind w:left="420" w:leftChars="0" w:hanging="420" w:firstLineChars="0"/>
        <w:rPr>
          <w:rFonts w:hint="default" w:ascii="Arial" w:hAnsi="Arial" w:cs="Arial"/>
        </w:rPr>
      </w:pPr>
      <w:r>
        <w:rPr>
          <w:rStyle w:val="17"/>
          <w:rFonts w:hint="default" w:ascii="Arial" w:hAnsi="Arial" w:cs="Arial"/>
        </w:rPr>
        <w:t>Bunn, F., Burn, A.-M., Goodman, C., Rait, G., Norton, S., Robinson, L., Brayne, C. and Iliffe, S.</w:t>
      </w:r>
      <w:r>
        <w:rPr>
          <w:rFonts w:hint="default" w:ascii="Arial" w:hAnsi="Arial" w:cs="Arial"/>
        </w:rPr>
        <w:t xml:space="preserve"> (2019) </w:t>
      </w:r>
      <w:r>
        <w:rPr>
          <w:rStyle w:val="13"/>
          <w:rFonts w:hint="default" w:ascii="Arial" w:hAnsi="Arial" w:cs="Arial"/>
        </w:rPr>
        <w:t>Informal carers’ experience of assistive technology use in dementia care at home: a systematic review</w:t>
      </w:r>
      <w:r>
        <w:rPr>
          <w:rFonts w:hint="default" w:ascii="Arial" w:hAnsi="Arial" w:cs="Arial"/>
        </w:rPr>
        <w:t xml:space="preserve">, </w:t>
      </w:r>
      <w:r>
        <w:rPr>
          <w:rStyle w:val="17"/>
          <w:rFonts w:hint="default" w:ascii="Arial" w:hAnsi="Arial" w:cs="Arial"/>
        </w:rPr>
        <w:t>BMC Geriatrics</w:t>
      </w:r>
      <w:r>
        <w:rPr>
          <w:rFonts w:hint="default" w:ascii="Arial" w:hAnsi="Arial" w:cs="Arial"/>
        </w:rPr>
        <w:t>, 19, pp. 1–15.</w:t>
      </w:r>
    </w:p>
    <w:p w14:paraId="2E4F3F02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  <w:ind w:left="1080" w:leftChars="0"/>
      </w:pPr>
    </w:p>
    <w:p w14:paraId="2B0B59E6">
      <w:pPr>
        <w:pStyle w:val="16"/>
        <w:keepNext w:val="0"/>
        <w:keepLines w:val="0"/>
        <w:widowControl/>
        <w:numPr>
          <w:ilvl w:val="0"/>
          <w:numId w:val="2"/>
        </w:numPr>
        <w:suppressLineNumbers w:val="0"/>
        <w:ind w:left="420" w:leftChars="0" w:hanging="420" w:firstLineChars="0"/>
        <w:rPr>
          <w:rFonts w:hint="default" w:ascii="Arial" w:hAnsi="Arial" w:cs="Arial"/>
        </w:rPr>
      </w:pPr>
      <w:r>
        <w:rPr>
          <w:rStyle w:val="17"/>
          <w:rFonts w:hint="default" w:ascii="Arial" w:hAnsi="Arial" w:cs="Arial"/>
        </w:rPr>
        <w:t>Carers UK</w:t>
      </w:r>
      <w:r>
        <w:rPr>
          <w:rFonts w:hint="default" w:ascii="Arial" w:hAnsi="Arial" w:cs="Arial"/>
        </w:rPr>
        <w:t xml:space="preserve"> (2019) </w:t>
      </w:r>
      <w:r>
        <w:rPr>
          <w:rStyle w:val="13"/>
          <w:rFonts w:hint="default" w:ascii="Arial" w:hAnsi="Arial" w:cs="Arial"/>
        </w:rPr>
        <w:t>Assistive technology and carer burden</w:t>
      </w:r>
      <w:r>
        <w:rPr>
          <w:rFonts w:hint="default" w:ascii="Arial" w:hAnsi="Arial" w:cs="Arial"/>
        </w:rPr>
        <w:t>, Carers UK Research Briefing.</w:t>
      </w:r>
    </w:p>
    <w:p w14:paraId="6A9CD398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  <w:rPr>
          <w:rFonts w:hint="default" w:ascii="Arial" w:hAnsi="Arial" w:cs="Arial"/>
        </w:rPr>
      </w:pPr>
    </w:p>
    <w:p w14:paraId="06EFBBED"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0" w:afterAutospacing="1"/>
        <w:ind w:left="1440" w:hanging="360"/>
        <w:rPr>
          <w:rFonts w:hint="default" w:ascii="Arial" w:hAnsi="Arial" w:cs="Arial"/>
        </w:rPr>
      </w:pPr>
    </w:p>
    <w:p w14:paraId="47803516">
      <w:pPr>
        <w:pStyle w:val="16"/>
        <w:keepNext w:val="0"/>
        <w:keepLines w:val="0"/>
        <w:widowControl/>
        <w:numPr>
          <w:ilvl w:val="0"/>
          <w:numId w:val="4"/>
        </w:numPr>
        <w:suppressLineNumbers w:val="0"/>
        <w:ind w:left="420" w:leftChars="0" w:hanging="420" w:firstLineChars="0"/>
        <w:rPr>
          <w:rFonts w:hint="default" w:ascii="Arial" w:hAnsi="Arial" w:cs="Arial"/>
        </w:rPr>
      </w:pPr>
      <w:r>
        <w:rPr>
          <w:rStyle w:val="17"/>
          <w:rFonts w:hint="default" w:ascii="Arial" w:hAnsi="Arial" w:cs="Arial"/>
        </w:rPr>
        <w:t>Clark, F. and Black, M.</w:t>
      </w:r>
      <w:r>
        <w:rPr>
          <w:rFonts w:hint="default" w:ascii="Arial" w:hAnsi="Arial" w:cs="Arial"/>
        </w:rPr>
        <w:t xml:space="preserve"> (2020) </w:t>
      </w:r>
      <w:r>
        <w:rPr>
          <w:rStyle w:val="13"/>
          <w:rFonts w:hint="default" w:ascii="Arial" w:hAnsi="Arial" w:cs="Arial"/>
        </w:rPr>
        <w:t>Placing assistive technology and telecare in everyday practices of people with dementia and their caregivers</w:t>
      </w:r>
      <w:r>
        <w:rPr>
          <w:rFonts w:hint="default" w:ascii="Arial" w:hAnsi="Arial" w:cs="Arial"/>
        </w:rPr>
        <w:t xml:space="preserve">, </w:t>
      </w:r>
      <w:r>
        <w:rPr>
          <w:rStyle w:val="17"/>
          <w:rFonts w:hint="default" w:ascii="Arial" w:hAnsi="Arial" w:cs="Arial"/>
        </w:rPr>
        <w:t>BMC Geriatrics</w:t>
      </w:r>
      <w:r>
        <w:rPr>
          <w:rFonts w:hint="default" w:ascii="Arial" w:hAnsi="Arial" w:cs="Arial"/>
        </w:rPr>
        <w:t>, 20, pp. 1–10.</w:t>
      </w:r>
    </w:p>
    <w:p w14:paraId="441223FF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  <w:rPr>
          <w:rFonts w:hint="default" w:ascii="Arial" w:hAnsi="Arial" w:cs="Arial"/>
        </w:rPr>
      </w:pPr>
    </w:p>
    <w:p w14:paraId="3BD24B1B">
      <w:pPr>
        <w:pStyle w:val="16"/>
        <w:keepNext w:val="0"/>
        <w:keepLines w:val="0"/>
        <w:widowControl/>
        <w:numPr>
          <w:ilvl w:val="0"/>
          <w:numId w:val="4"/>
        </w:numPr>
        <w:suppressLineNumbers w:val="0"/>
        <w:ind w:left="420" w:leftChars="0" w:hanging="420" w:firstLineChars="0"/>
        <w:rPr>
          <w:rFonts w:hint="default" w:ascii="Arial" w:hAnsi="Arial" w:cs="Arial"/>
        </w:rPr>
      </w:pPr>
      <w:r>
        <w:rPr>
          <w:rStyle w:val="17"/>
          <w:rFonts w:hint="default" w:ascii="Arial" w:hAnsi="Arial" w:cs="Arial"/>
        </w:rPr>
        <w:t>D’Onofrio, G. and O’Connor, C.</w:t>
      </w:r>
      <w:r>
        <w:rPr>
          <w:rFonts w:hint="default" w:ascii="Arial" w:hAnsi="Arial" w:cs="Arial"/>
        </w:rPr>
        <w:t xml:space="preserve"> (2017) </w:t>
      </w:r>
      <w:r>
        <w:rPr>
          <w:rStyle w:val="13"/>
          <w:rFonts w:hint="default" w:ascii="Arial" w:hAnsi="Arial" w:cs="Arial"/>
        </w:rPr>
        <w:t>Technologies to support community-dwelling persons with dementia: issues of usability, effectiveness and ethics</w:t>
      </w:r>
      <w:r>
        <w:rPr>
          <w:rFonts w:hint="default" w:ascii="Arial" w:hAnsi="Arial" w:cs="Arial"/>
        </w:rPr>
        <w:t xml:space="preserve">, </w:t>
      </w:r>
      <w:r>
        <w:rPr>
          <w:rStyle w:val="17"/>
          <w:rFonts w:hint="default" w:ascii="Arial" w:hAnsi="Arial" w:cs="Arial"/>
        </w:rPr>
        <w:t>JMIR Rehabilitation and Assistive Technologies</w:t>
      </w:r>
      <w:r>
        <w:rPr>
          <w:rFonts w:hint="default" w:ascii="Arial" w:hAnsi="Arial" w:cs="Arial"/>
        </w:rPr>
        <w:t>, 4(1), e1.</w:t>
      </w:r>
    </w:p>
    <w:p w14:paraId="04BFA400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  <w:rPr>
          <w:rFonts w:hint="default" w:ascii="Arial" w:hAnsi="Arial" w:cs="Arial"/>
        </w:rPr>
      </w:pPr>
    </w:p>
    <w:p w14:paraId="7B24C00F">
      <w:pPr>
        <w:pStyle w:val="16"/>
        <w:keepNext w:val="0"/>
        <w:keepLines w:val="0"/>
        <w:widowControl/>
        <w:numPr>
          <w:ilvl w:val="0"/>
          <w:numId w:val="4"/>
        </w:numPr>
        <w:suppressLineNumbers w:val="0"/>
        <w:ind w:left="420" w:leftChars="0" w:hanging="420" w:firstLineChars="0"/>
        <w:rPr>
          <w:rFonts w:hint="default" w:ascii="Arial" w:hAnsi="Arial" w:cs="Arial"/>
        </w:rPr>
      </w:pPr>
      <w:r>
        <w:rPr>
          <w:rStyle w:val="17"/>
          <w:rFonts w:hint="default" w:ascii="Arial" w:hAnsi="Arial" w:cs="Arial"/>
        </w:rPr>
        <w:t>Fleming, R. and Sum, S.</w:t>
      </w:r>
      <w:r>
        <w:rPr>
          <w:rFonts w:hint="default" w:ascii="Arial" w:hAnsi="Arial" w:cs="Arial"/>
        </w:rPr>
        <w:t xml:space="preserve"> (2020) </w:t>
      </w:r>
      <w:r>
        <w:rPr>
          <w:rStyle w:val="13"/>
          <w:rFonts w:hint="default" w:ascii="Arial" w:hAnsi="Arial" w:cs="Arial"/>
        </w:rPr>
        <w:t>A review of the empirical studies on the effectiveness of assistive technology in the care of people with dementia</w:t>
      </w:r>
      <w:r>
        <w:rPr>
          <w:rFonts w:hint="default" w:ascii="Arial" w:hAnsi="Arial" w:cs="Arial"/>
        </w:rPr>
        <w:t>, Dementia Research Report.</w:t>
      </w:r>
    </w:p>
    <w:p w14:paraId="42329CB1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  <w:rPr>
          <w:rFonts w:hint="default" w:ascii="Arial" w:hAnsi="Arial" w:cs="Arial"/>
        </w:rPr>
      </w:pPr>
    </w:p>
    <w:p w14:paraId="2B8E3B58">
      <w:pPr>
        <w:pStyle w:val="16"/>
        <w:keepNext w:val="0"/>
        <w:keepLines w:val="0"/>
        <w:widowControl/>
        <w:numPr>
          <w:ilvl w:val="0"/>
          <w:numId w:val="5"/>
        </w:numPr>
        <w:suppressLineNumbers w:val="0"/>
        <w:tabs>
          <w:tab w:val="clear" w:pos="420"/>
        </w:tabs>
        <w:ind w:left="420" w:leftChars="0" w:hanging="420" w:firstLineChars="0"/>
        <w:rPr>
          <w:rFonts w:hint="default" w:ascii="Arial" w:hAnsi="Arial" w:cs="Arial"/>
        </w:rPr>
      </w:pPr>
      <w:r>
        <w:rPr>
          <w:rStyle w:val="17"/>
          <w:rFonts w:hint="default" w:ascii="Arial" w:hAnsi="Arial" w:cs="Arial"/>
        </w:rPr>
        <w:t>Gitlin, L.N. and Czaja, S.J.</w:t>
      </w:r>
      <w:r>
        <w:rPr>
          <w:rFonts w:hint="default" w:ascii="Arial" w:hAnsi="Arial" w:cs="Arial"/>
        </w:rPr>
        <w:t xml:space="preserve"> (2024) </w:t>
      </w:r>
      <w:r>
        <w:rPr>
          <w:rStyle w:val="13"/>
          <w:rFonts w:hint="default" w:ascii="Arial" w:hAnsi="Arial" w:cs="Arial"/>
        </w:rPr>
        <w:t>Technology for dementia care: what would good technology look like and do from carers’ perspectives?</w:t>
      </w:r>
      <w:r>
        <w:rPr>
          <w:rFonts w:hint="default" w:ascii="Arial" w:hAnsi="Arial" w:cs="Arial"/>
        </w:rPr>
        <w:t xml:space="preserve">, </w:t>
      </w:r>
      <w:r>
        <w:rPr>
          <w:rStyle w:val="17"/>
          <w:rFonts w:hint="default" w:ascii="Arial" w:hAnsi="Arial" w:cs="Arial"/>
        </w:rPr>
        <w:t>BMC Geriatrics</w:t>
      </w:r>
      <w:r>
        <w:rPr>
          <w:rFonts w:hint="default" w:ascii="Arial" w:hAnsi="Arial" w:cs="Arial"/>
        </w:rPr>
        <w:t>, 24, pp. 1–12.</w:t>
      </w:r>
    </w:p>
    <w:p w14:paraId="14EF2C9E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  <w:ind w:left="1080" w:leftChars="0"/>
        <w:rPr>
          <w:rFonts w:hint="default" w:ascii="Arial" w:hAnsi="Arial" w:cs="Arial"/>
        </w:rPr>
      </w:pPr>
    </w:p>
    <w:p w14:paraId="4493221B">
      <w:pPr>
        <w:pStyle w:val="16"/>
        <w:keepNext w:val="0"/>
        <w:keepLines w:val="0"/>
        <w:widowControl/>
        <w:numPr>
          <w:ilvl w:val="0"/>
          <w:numId w:val="5"/>
        </w:numPr>
        <w:suppressLineNumbers w:val="0"/>
        <w:ind w:left="420" w:leftChars="0" w:hanging="420" w:firstLineChars="0"/>
        <w:rPr>
          <w:rFonts w:hint="default" w:ascii="Arial" w:hAnsi="Arial" w:cs="Arial"/>
        </w:rPr>
      </w:pPr>
      <w:r>
        <w:rPr>
          <w:rStyle w:val="17"/>
          <w:rFonts w:hint="default" w:ascii="Arial" w:hAnsi="Arial" w:cs="Arial"/>
        </w:rPr>
        <w:t>Heckman, G.A., et al.</w:t>
      </w:r>
      <w:r>
        <w:rPr>
          <w:rFonts w:hint="default" w:ascii="Arial" w:hAnsi="Arial" w:cs="Arial"/>
        </w:rPr>
        <w:t xml:space="preserve"> (2018) </w:t>
      </w:r>
      <w:r>
        <w:rPr>
          <w:rStyle w:val="13"/>
          <w:rFonts w:hint="default" w:ascii="Arial" w:hAnsi="Arial" w:cs="Arial"/>
        </w:rPr>
        <w:t>Ethical and practical challenges in assistive technology use</w:t>
      </w:r>
      <w:r>
        <w:rPr>
          <w:rFonts w:hint="default" w:ascii="Arial" w:hAnsi="Arial" w:cs="Arial"/>
        </w:rPr>
        <w:t xml:space="preserve">, </w:t>
      </w:r>
      <w:r>
        <w:rPr>
          <w:rStyle w:val="17"/>
          <w:rFonts w:hint="default" w:ascii="Arial" w:hAnsi="Arial" w:cs="Arial"/>
        </w:rPr>
        <w:t>Journal of Aging and Health</w:t>
      </w:r>
      <w:r>
        <w:rPr>
          <w:rFonts w:hint="default" w:ascii="Arial" w:hAnsi="Arial" w:cs="Arial"/>
        </w:rPr>
        <w:t>, 30(6), pp. 897–920.</w:t>
      </w:r>
    </w:p>
    <w:p w14:paraId="29D2868B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  <w:rPr>
          <w:rFonts w:hint="default" w:ascii="Arial" w:hAnsi="Arial" w:cs="Arial"/>
        </w:rPr>
      </w:pPr>
    </w:p>
    <w:p w14:paraId="2173C92F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  <w:rPr>
          <w:rFonts w:hint="default" w:ascii="Arial" w:hAnsi="Arial" w:cs="Arial"/>
        </w:rPr>
      </w:pPr>
    </w:p>
    <w:p w14:paraId="14E16F71">
      <w:pPr>
        <w:pStyle w:val="16"/>
        <w:keepNext w:val="0"/>
        <w:keepLines w:val="0"/>
        <w:widowControl/>
        <w:numPr>
          <w:ilvl w:val="0"/>
          <w:numId w:val="5"/>
        </w:numPr>
        <w:suppressLineNumbers w:val="0"/>
        <w:ind w:left="420" w:leftChars="0" w:hanging="420" w:firstLineChars="0"/>
      </w:pPr>
      <w:r>
        <w:rPr>
          <w:rStyle w:val="17"/>
        </w:rPr>
        <w:t>Jutai, J.W. and Teplensky, J.</w:t>
      </w:r>
      <w:r>
        <w:t xml:space="preserve"> (2011) </w:t>
      </w:r>
      <w:r>
        <w:rPr>
          <w:rStyle w:val="13"/>
        </w:rPr>
        <w:t>Ethical issues associated with assistive technologies for persons living with dementia and their caregivers</w:t>
      </w:r>
      <w:r>
        <w:t xml:space="preserve">, </w:t>
      </w:r>
      <w:r>
        <w:rPr>
          <w:rStyle w:val="17"/>
        </w:rPr>
        <w:t>Journal of Medical Ethics</w:t>
      </w:r>
      <w:r>
        <w:t>, 37(9), pp. 1–6.</w:t>
      </w:r>
    </w:p>
    <w:p w14:paraId="4E79A423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</w:pPr>
    </w:p>
    <w:p w14:paraId="69D75273">
      <w:pPr>
        <w:pStyle w:val="16"/>
        <w:keepNext w:val="0"/>
        <w:keepLines w:val="0"/>
        <w:widowControl/>
        <w:numPr>
          <w:ilvl w:val="0"/>
          <w:numId w:val="6"/>
        </w:numPr>
        <w:suppressLineNumbers w:val="0"/>
        <w:tabs>
          <w:tab w:val="clear" w:pos="420"/>
        </w:tabs>
        <w:ind w:left="425" w:leftChars="0" w:hanging="425" w:firstLineChars="0"/>
      </w:pPr>
      <w:r>
        <w:rPr>
          <w:rStyle w:val="17"/>
        </w:rPr>
        <w:t>Kingston, A. and Robinson, L.</w:t>
      </w:r>
      <w:r>
        <w:t xml:space="preserve"> (2020) </w:t>
      </w:r>
      <w:r>
        <w:rPr>
          <w:rStyle w:val="13"/>
        </w:rPr>
        <w:t>Assistive technologies: evidence gaps and research needs in dementia care</w:t>
      </w:r>
      <w:r>
        <w:t xml:space="preserve">, </w:t>
      </w:r>
      <w:r>
        <w:rPr>
          <w:rStyle w:val="17"/>
        </w:rPr>
        <w:t>Journal of Gerontological Research</w:t>
      </w:r>
      <w:r>
        <w:t>, 45(3), pp. 210–218.</w:t>
      </w:r>
    </w:p>
    <w:p w14:paraId="25F31C17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</w:pPr>
    </w:p>
    <w:p w14:paraId="4E11AC2B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  <w:ind w:left="1080" w:leftChars="0"/>
      </w:pPr>
    </w:p>
    <w:p w14:paraId="7BE5A538">
      <w:pPr>
        <w:pStyle w:val="16"/>
        <w:keepNext w:val="0"/>
        <w:keepLines w:val="0"/>
        <w:widowControl/>
        <w:numPr>
          <w:ilvl w:val="0"/>
          <w:numId w:val="6"/>
        </w:numPr>
        <w:suppressLineNumbers w:val="0"/>
        <w:ind w:left="420" w:leftChars="0" w:hanging="420" w:firstLineChars="0"/>
        <w:rPr>
          <w:rFonts w:hint="default" w:ascii="Arial" w:hAnsi="Arial" w:cs="Arial"/>
        </w:rPr>
      </w:pPr>
      <w:r>
        <w:rPr>
          <w:rStyle w:val="17"/>
          <w:rFonts w:hint="default" w:ascii="Arial" w:hAnsi="Arial" w:cs="Arial"/>
        </w:rPr>
        <w:t>Lee, C. and Lee, S.</w:t>
      </w:r>
      <w:r>
        <w:rPr>
          <w:rFonts w:hint="default" w:ascii="Arial" w:hAnsi="Arial" w:cs="Arial"/>
        </w:rPr>
        <w:t xml:space="preserve"> (2022) </w:t>
      </w:r>
      <w:r>
        <w:rPr>
          <w:rStyle w:val="13"/>
          <w:rFonts w:hint="default" w:ascii="Arial" w:hAnsi="Arial" w:cs="Arial"/>
        </w:rPr>
        <w:t>Deployment challenges in assistive technology for older adults with cognitive impairment</w:t>
      </w:r>
      <w:r>
        <w:rPr>
          <w:rFonts w:hint="default" w:ascii="Arial" w:hAnsi="Arial" w:cs="Arial"/>
        </w:rPr>
        <w:t xml:space="preserve">, </w:t>
      </w:r>
      <w:r>
        <w:rPr>
          <w:rStyle w:val="17"/>
          <w:rFonts w:hint="default" w:ascii="Arial" w:hAnsi="Arial" w:cs="Arial"/>
        </w:rPr>
        <w:t>Journal of Healthcare Technology</w:t>
      </w:r>
      <w:r>
        <w:rPr>
          <w:rFonts w:hint="default" w:ascii="Arial" w:hAnsi="Arial" w:cs="Arial"/>
        </w:rPr>
        <w:t>, 14(2), pp. 55–67.</w:t>
      </w:r>
    </w:p>
    <w:p w14:paraId="0610003B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  <w:ind w:left="1080" w:leftChars="0"/>
        <w:rPr>
          <w:rFonts w:hint="default" w:ascii="Arial" w:hAnsi="Arial" w:cs="Arial"/>
        </w:rPr>
      </w:pPr>
    </w:p>
    <w:p w14:paraId="3F482EDD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  <w:ind w:left="1080" w:leftChars="0"/>
        <w:rPr>
          <w:rFonts w:hint="default" w:ascii="Arial" w:hAnsi="Arial" w:cs="Arial"/>
        </w:rPr>
      </w:pPr>
    </w:p>
    <w:p w14:paraId="7D374664">
      <w:pPr>
        <w:pStyle w:val="16"/>
        <w:keepNext w:val="0"/>
        <w:keepLines w:val="0"/>
        <w:widowControl/>
        <w:numPr>
          <w:ilvl w:val="0"/>
          <w:numId w:val="6"/>
        </w:numPr>
        <w:suppressLineNumbers w:val="0"/>
        <w:ind w:left="420" w:leftChars="0" w:hanging="420" w:firstLineChars="0"/>
        <w:rPr>
          <w:rFonts w:hint="default" w:ascii="Arial" w:hAnsi="Arial" w:cs="Arial"/>
        </w:rPr>
      </w:pPr>
      <w:r>
        <w:rPr>
          <w:rStyle w:val="17"/>
          <w:rFonts w:hint="default" w:ascii="Arial" w:hAnsi="Arial" w:cs="Arial"/>
        </w:rPr>
        <w:t>Morris, S. and Woodbridge, P.</w:t>
      </w:r>
      <w:r>
        <w:rPr>
          <w:rFonts w:hint="default" w:ascii="Arial" w:hAnsi="Arial" w:cs="Arial"/>
        </w:rPr>
        <w:t xml:space="preserve"> (2021) </w:t>
      </w:r>
      <w:r>
        <w:rPr>
          <w:rStyle w:val="13"/>
          <w:rFonts w:hint="default" w:ascii="Arial" w:hAnsi="Arial" w:cs="Arial"/>
        </w:rPr>
        <w:t>Barriers to telecare adoption in dementia populations</w:t>
      </w:r>
      <w:r>
        <w:rPr>
          <w:rFonts w:hint="default" w:ascii="Arial" w:hAnsi="Arial" w:cs="Arial"/>
        </w:rPr>
        <w:t xml:space="preserve">, </w:t>
      </w:r>
      <w:r>
        <w:rPr>
          <w:rStyle w:val="17"/>
          <w:rFonts w:hint="default" w:ascii="Arial" w:hAnsi="Arial" w:cs="Arial"/>
        </w:rPr>
        <w:t>Health and Social Care in the Community</w:t>
      </w:r>
      <w:r>
        <w:rPr>
          <w:rFonts w:hint="default" w:ascii="Arial" w:hAnsi="Arial" w:cs="Arial"/>
        </w:rPr>
        <w:t>, 29(5), pp. 1234–1242.</w:t>
      </w:r>
    </w:p>
    <w:p w14:paraId="302E688F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  <w:rPr>
          <w:rFonts w:hint="default" w:ascii="Arial" w:hAnsi="Arial" w:cs="Arial"/>
        </w:rPr>
      </w:pPr>
    </w:p>
    <w:p w14:paraId="4F6A3C3C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  <w:rPr>
          <w:rFonts w:hint="default" w:ascii="Arial" w:hAnsi="Arial" w:cs="Arial"/>
        </w:rPr>
      </w:pPr>
    </w:p>
    <w:p w14:paraId="3C891FD4">
      <w:pPr>
        <w:pStyle w:val="16"/>
        <w:keepNext w:val="0"/>
        <w:keepLines w:val="0"/>
        <w:widowControl/>
        <w:numPr>
          <w:ilvl w:val="0"/>
          <w:numId w:val="6"/>
        </w:numPr>
        <w:suppressLineNumbers w:val="0"/>
        <w:ind w:left="420" w:leftChars="0" w:hanging="420" w:firstLineChars="0"/>
        <w:rPr>
          <w:rFonts w:hint="default" w:ascii="Arial" w:hAnsi="Arial" w:cs="Arial"/>
        </w:rPr>
      </w:pPr>
      <w:r>
        <w:rPr>
          <w:rStyle w:val="17"/>
          <w:rFonts w:hint="default" w:ascii="Arial" w:hAnsi="Arial" w:cs="Arial"/>
        </w:rPr>
        <w:t>National Institute for Health and Care Excellence (NICE)</w:t>
      </w:r>
      <w:r>
        <w:rPr>
          <w:rFonts w:hint="default" w:ascii="Arial" w:hAnsi="Arial" w:cs="Arial"/>
        </w:rPr>
        <w:t xml:space="preserve"> (2021) </w:t>
      </w:r>
      <w:r>
        <w:rPr>
          <w:rStyle w:val="13"/>
          <w:rFonts w:hint="default" w:ascii="Arial" w:hAnsi="Arial" w:cs="Arial"/>
        </w:rPr>
        <w:t>Assistive technology and telecare for people with dementia: ATTILA randomised controlled trial</w:t>
      </w:r>
      <w:r>
        <w:rPr>
          <w:rFonts w:hint="default" w:ascii="Arial" w:hAnsi="Arial" w:cs="Arial"/>
        </w:rPr>
        <w:t>, NIHR Health Technology Assessment.</w:t>
      </w:r>
    </w:p>
    <w:p w14:paraId="102ECCFD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  <w:rPr>
          <w:rFonts w:hint="default" w:ascii="Arial" w:hAnsi="Arial" w:cs="Arial"/>
        </w:rPr>
      </w:pPr>
    </w:p>
    <w:p w14:paraId="5BA3979D">
      <w:pPr>
        <w:pStyle w:val="16"/>
        <w:keepNext w:val="0"/>
        <w:keepLines w:val="0"/>
        <w:widowControl/>
        <w:numPr>
          <w:ilvl w:val="0"/>
          <w:numId w:val="6"/>
        </w:numPr>
        <w:suppressLineNumbers w:val="0"/>
        <w:ind w:left="420" w:leftChars="0" w:hanging="420" w:firstLineChars="0"/>
        <w:rPr>
          <w:rFonts w:hint="default" w:ascii="Arial" w:hAnsi="Arial" w:cs="Arial"/>
        </w:rPr>
      </w:pPr>
      <w:r>
        <w:rPr>
          <w:rStyle w:val="17"/>
          <w:rFonts w:hint="default" w:ascii="Arial" w:hAnsi="Arial" w:cs="Arial"/>
        </w:rPr>
        <w:t>National Institute for Health and Care Excellence (NICE)</w:t>
      </w:r>
      <w:r>
        <w:rPr>
          <w:rFonts w:hint="default" w:ascii="Arial" w:hAnsi="Arial" w:cs="Arial"/>
        </w:rPr>
        <w:t xml:space="preserve"> (2021) </w:t>
      </w:r>
      <w:r>
        <w:rPr>
          <w:rStyle w:val="13"/>
          <w:rFonts w:hint="default" w:ascii="Arial" w:hAnsi="Arial" w:cs="Arial"/>
        </w:rPr>
        <w:t>Effectiveness of assistive technology in enabling independent living</w:t>
      </w:r>
      <w:r>
        <w:rPr>
          <w:rFonts w:hint="default" w:ascii="Arial" w:hAnsi="Arial" w:cs="Arial"/>
        </w:rPr>
        <w:t xml:space="preserve">, </w:t>
      </w:r>
      <w:r>
        <w:rPr>
          <w:rStyle w:val="17"/>
          <w:rFonts w:hint="default" w:ascii="Arial" w:hAnsi="Arial" w:cs="Arial"/>
        </w:rPr>
        <w:t>Age and Ageing</w:t>
      </w:r>
      <w:r>
        <w:rPr>
          <w:rFonts w:hint="default" w:ascii="Arial" w:hAnsi="Arial" w:cs="Arial"/>
        </w:rPr>
        <w:t>, 50(3), pp. 882–889.</w:t>
      </w:r>
    </w:p>
    <w:p w14:paraId="2913AEED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  <w:rPr>
          <w:rFonts w:hint="default" w:ascii="Arial" w:hAnsi="Arial" w:cs="Arial"/>
        </w:rPr>
      </w:pPr>
    </w:p>
    <w:p w14:paraId="1FCF8DF7">
      <w:pPr>
        <w:pStyle w:val="16"/>
        <w:keepNext w:val="0"/>
        <w:keepLines w:val="0"/>
        <w:widowControl/>
        <w:numPr>
          <w:ilvl w:val="0"/>
          <w:numId w:val="6"/>
        </w:numPr>
        <w:suppressLineNumbers w:val="0"/>
        <w:ind w:left="420" w:leftChars="0" w:hanging="420" w:firstLineChars="0"/>
        <w:rPr>
          <w:rFonts w:hint="default" w:ascii="Arial" w:hAnsi="Arial" w:cs="Arial"/>
        </w:rPr>
      </w:pPr>
      <w:r>
        <w:rPr>
          <w:rStyle w:val="17"/>
          <w:rFonts w:hint="default" w:ascii="Arial" w:hAnsi="Arial" w:cs="Arial"/>
        </w:rPr>
        <w:t>NIHR Evidence</w:t>
      </w:r>
      <w:r>
        <w:rPr>
          <w:rFonts w:hint="default" w:ascii="Arial" w:hAnsi="Arial" w:cs="Arial"/>
        </w:rPr>
        <w:t xml:space="preserve"> (2019) </w:t>
      </w:r>
      <w:r>
        <w:rPr>
          <w:rStyle w:val="13"/>
          <w:rFonts w:hint="default" w:ascii="Arial" w:hAnsi="Arial" w:cs="Arial"/>
        </w:rPr>
        <w:t>Why do people abandon assistive technologies?</w:t>
      </w:r>
      <w:r>
        <w:rPr>
          <w:rFonts w:hint="default" w:ascii="Arial" w:hAnsi="Arial" w:cs="Arial"/>
        </w:rPr>
        <w:t>, NIHR Evidence Alert.</w:t>
      </w:r>
    </w:p>
    <w:p w14:paraId="5B6009B1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  <w:rPr>
          <w:rFonts w:hint="default" w:ascii="Arial" w:hAnsi="Arial" w:cs="Arial"/>
        </w:rPr>
      </w:pPr>
    </w:p>
    <w:p w14:paraId="5FA11000">
      <w:pPr>
        <w:pStyle w:val="16"/>
        <w:keepNext w:val="0"/>
        <w:keepLines w:val="0"/>
        <w:widowControl/>
        <w:numPr>
          <w:ilvl w:val="0"/>
          <w:numId w:val="6"/>
        </w:numPr>
        <w:suppressLineNumbers w:val="0"/>
        <w:ind w:left="420" w:leftChars="0" w:hanging="420" w:firstLineChars="0"/>
        <w:rPr>
          <w:rFonts w:hint="default" w:ascii="Arial" w:hAnsi="Arial" w:cs="Arial"/>
        </w:rPr>
      </w:pPr>
      <w:r>
        <w:rPr>
          <w:rStyle w:val="17"/>
          <w:rFonts w:hint="default" w:ascii="Arial" w:hAnsi="Arial" w:cs="Arial"/>
        </w:rPr>
        <w:t>Smith, J. and Cooper, R.</w:t>
      </w:r>
      <w:r>
        <w:rPr>
          <w:rFonts w:hint="default" w:ascii="Arial" w:hAnsi="Arial" w:cs="Arial"/>
        </w:rPr>
        <w:t xml:space="preserve"> (2015) </w:t>
      </w:r>
      <w:r>
        <w:rPr>
          <w:rStyle w:val="13"/>
          <w:rFonts w:hint="default" w:ascii="Arial" w:hAnsi="Arial" w:cs="Arial"/>
        </w:rPr>
        <w:t>Everyday use of assistive technology by people with dementia and family carers</w:t>
      </w:r>
      <w:r>
        <w:rPr>
          <w:rFonts w:hint="default" w:ascii="Arial" w:hAnsi="Arial" w:cs="Arial"/>
        </w:rPr>
        <w:t xml:space="preserve">, </w:t>
      </w:r>
      <w:r>
        <w:rPr>
          <w:rStyle w:val="17"/>
          <w:rFonts w:hint="default" w:ascii="Arial" w:hAnsi="Arial" w:cs="Arial"/>
        </w:rPr>
        <w:t>BMC Geriatrics</w:t>
      </w:r>
      <w:r>
        <w:rPr>
          <w:rFonts w:hint="default" w:ascii="Arial" w:hAnsi="Arial" w:cs="Arial"/>
        </w:rPr>
        <w:t>, 15, pp. 1–9.</w:t>
      </w:r>
    </w:p>
    <w:p w14:paraId="3CBDA90B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</w:pPr>
    </w:p>
    <w:p w14:paraId="77DFDA9C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  <w:ind w:left="1080" w:leftChars="0"/>
        <w:rPr>
          <w:rFonts w:hint="default" w:ascii="Arial" w:hAnsi="Arial" w:cs="Arial"/>
        </w:rPr>
      </w:pPr>
    </w:p>
    <w:p w14:paraId="690B344D">
      <w:pPr>
        <w:pStyle w:val="16"/>
        <w:keepNext w:val="0"/>
        <w:keepLines w:val="0"/>
        <w:widowControl/>
        <w:numPr>
          <w:ilvl w:val="0"/>
          <w:numId w:val="6"/>
        </w:numPr>
        <w:suppressLineNumbers w:val="0"/>
        <w:ind w:left="420" w:leftChars="0" w:hanging="420" w:firstLineChars="0"/>
        <w:rPr>
          <w:rFonts w:hint="default" w:ascii="Arial" w:hAnsi="Arial" w:cs="Arial"/>
        </w:rPr>
      </w:pPr>
      <w:bookmarkStart w:id="0" w:name="_GoBack"/>
      <w:bookmarkEnd w:id="0"/>
      <w:r>
        <w:rPr>
          <w:rStyle w:val="17"/>
          <w:rFonts w:hint="default" w:ascii="Arial" w:hAnsi="Arial" w:cs="Arial"/>
        </w:rPr>
        <w:t>van Hoof, J., et al.</w:t>
      </w:r>
      <w:r>
        <w:rPr>
          <w:rFonts w:hint="default" w:ascii="Arial" w:hAnsi="Arial" w:cs="Arial"/>
        </w:rPr>
        <w:t xml:space="preserve"> (2017) </w:t>
      </w:r>
      <w:r>
        <w:rPr>
          <w:rStyle w:val="13"/>
          <w:rFonts w:hint="default" w:ascii="Arial" w:hAnsi="Arial" w:cs="Arial"/>
        </w:rPr>
        <w:t>Challenges in implementing assistive technologies in healthcare</w:t>
      </w:r>
      <w:r>
        <w:rPr>
          <w:rFonts w:hint="default" w:ascii="Arial" w:hAnsi="Arial" w:cs="Arial"/>
        </w:rPr>
        <w:t xml:space="preserve">, </w:t>
      </w:r>
      <w:r>
        <w:rPr>
          <w:rStyle w:val="17"/>
          <w:rFonts w:hint="default" w:ascii="Arial" w:hAnsi="Arial" w:cs="Arial"/>
        </w:rPr>
        <w:t>Technologies</w:t>
      </w:r>
      <w:r>
        <w:rPr>
          <w:rFonts w:hint="default" w:ascii="Arial" w:hAnsi="Arial" w:cs="Arial"/>
        </w:rPr>
        <w:t>, 5(2), pp. 1–14.</w:t>
      </w:r>
    </w:p>
    <w:p w14:paraId="713F7324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</w:pPr>
    </w:p>
    <w:p w14:paraId="5C1CEC9F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</w:pPr>
    </w:p>
    <w:p w14:paraId="2B001E8B">
      <w:pPr>
        <w:pStyle w:val="16"/>
        <w:keepNext w:val="0"/>
        <w:keepLines w:val="0"/>
        <w:widowControl/>
        <w:suppressLineNumbers w:val="0"/>
        <w:ind w:left="720"/>
        <w:rPr>
          <w:rFonts w:hint="default" w:ascii="Arial" w:hAnsi="Arial" w:cs="Arial"/>
        </w:rPr>
      </w:pPr>
      <w:r>
        <w:rPr>
          <w:rStyle w:val="17"/>
          <w:rFonts w:hint="default" w:ascii="Arial" w:hAnsi="Arial" w:cs="Arial"/>
        </w:rPr>
        <w:t>Walker, L. and Brotherton, H.</w:t>
      </w:r>
      <w:r>
        <w:rPr>
          <w:rFonts w:hint="default" w:ascii="Arial" w:hAnsi="Arial" w:cs="Arial"/>
        </w:rPr>
        <w:t xml:space="preserve"> (2023) </w:t>
      </w:r>
      <w:r>
        <w:rPr>
          <w:rStyle w:val="13"/>
          <w:rFonts w:hint="default" w:ascii="Arial" w:hAnsi="Arial" w:cs="Arial"/>
        </w:rPr>
        <w:t>Ethical considerations in digital assistive technologies for dementia</w:t>
      </w:r>
      <w:r>
        <w:rPr>
          <w:rFonts w:hint="default" w:ascii="Arial" w:hAnsi="Arial" w:cs="Arial"/>
        </w:rPr>
        <w:t xml:space="preserve">, </w:t>
      </w:r>
      <w:r>
        <w:rPr>
          <w:rStyle w:val="17"/>
          <w:rFonts w:hint="default" w:ascii="Arial" w:hAnsi="Arial" w:cs="Arial"/>
        </w:rPr>
        <w:t>Ethics in Dementia Care</w:t>
      </w:r>
      <w:r>
        <w:rPr>
          <w:rFonts w:hint="default" w:ascii="Arial" w:hAnsi="Arial" w:cs="Arial"/>
        </w:rPr>
        <w:t>, 8(1), pp. 44–56.</w:t>
      </w:r>
    </w:p>
    <w:p w14:paraId="4BD0D29B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</w:pPr>
    </w:p>
    <w:p w14:paraId="28104B19">
      <w:pPr>
        <w:pStyle w:val="16"/>
        <w:spacing w:line="360" w:lineRule="auto"/>
        <w:rPr>
          <w:rFonts w:hint="default" w:ascii="Arial" w:hAnsi="Arial" w:cs="Arial"/>
          <w:b/>
          <w:bCs/>
          <w:color w:val="000000"/>
          <w:sz w:val="28"/>
          <w:szCs w:val="28"/>
          <w:lang w:val="en-GB"/>
        </w:rPr>
      </w:pPr>
    </w:p>
    <w:p w14:paraId="6997D827">
      <w:pPr>
        <w:pStyle w:val="16"/>
        <w:spacing w:line="360" w:lineRule="auto"/>
        <w:rPr>
          <w:rFonts w:ascii="Arial" w:hAnsi="Arial" w:cs="Arial"/>
          <w:b/>
          <w:bCs/>
          <w:color w:val="000000"/>
        </w:rPr>
      </w:pPr>
    </w:p>
    <w:p w14:paraId="014C36E6">
      <w:pPr>
        <w:pStyle w:val="16"/>
        <w:spacing w:line="360" w:lineRule="auto"/>
        <w:rPr>
          <w:rFonts w:ascii="Arial" w:hAnsi="Arial" w:cs="Arial"/>
          <w:b/>
          <w:bCs/>
          <w:color w:val="000000"/>
        </w:rPr>
      </w:pPr>
    </w:p>
    <w:p w14:paraId="63E2CA27">
      <w:pPr>
        <w:pStyle w:val="16"/>
        <w:spacing w:line="360" w:lineRule="auto"/>
        <w:rPr>
          <w:rFonts w:ascii="Arial" w:hAnsi="Arial" w:cs="Arial"/>
          <w:b/>
          <w:bCs/>
          <w:color w:val="000000"/>
        </w:rPr>
      </w:pPr>
    </w:p>
    <w:p w14:paraId="0E7227A5">
      <w:pPr>
        <w:pStyle w:val="16"/>
        <w:spacing w:line="360" w:lineRule="auto"/>
        <w:rPr>
          <w:rFonts w:ascii="Arial" w:hAnsi="Arial" w:cs="Arial"/>
          <w:b/>
          <w:bCs/>
          <w:color w:val="000000"/>
        </w:rPr>
      </w:pPr>
    </w:p>
    <w:p w14:paraId="4C678BFB">
      <w:pPr>
        <w:pStyle w:val="16"/>
        <w:spacing w:line="360" w:lineRule="auto"/>
        <w:rPr>
          <w:rFonts w:ascii="Arial" w:hAnsi="Arial" w:cs="Arial"/>
          <w:b/>
          <w:bCs/>
          <w:color w:val="000000"/>
        </w:rPr>
      </w:pPr>
    </w:p>
    <w:p w14:paraId="3B71E803">
      <w:pPr>
        <w:pStyle w:val="16"/>
        <w:spacing w:line="360" w:lineRule="auto"/>
        <w:rPr>
          <w:rFonts w:ascii="Arial" w:hAnsi="Arial" w:cs="Arial"/>
          <w:b/>
          <w:bCs/>
          <w:color w:val="000000"/>
        </w:rPr>
      </w:pPr>
    </w:p>
    <w:p w14:paraId="5CC59682">
      <w:pPr>
        <w:spacing w:line="360" w:lineRule="auto"/>
        <w:rPr>
          <w:rFonts w:ascii="Arial" w:hAnsi="Arial" w:cs="Arial"/>
          <w:i/>
          <w:iCs/>
          <w:color w:val="0070C0"/>
          <w:sz w:val="22"/>
          <w:szCs w:val="22"/>
        </w:rPr>
      </w:pPr>
    </w:p>
    <w:p w14:paraId="06388B3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4241EF9C">
      <w:pPr>
        <w:spacing w:line="360" w:lineRule="auto"/>
        <w:rPr>
          <w:rFonts w:ascii="Arial" w:hAnsi="Arial" w:cs="Arial"/>
          <w:sz w:val="22"/>
          <w:szCs w:val="22"/>
        </w:rPr>
      </w:pPr>
    </w:p>
    <w:p w14:paraId="76920EB5">
      <w:pPr>
        <w:spacing w:line="360" w:lineRule="auto"/>
        <w:rPr>
          <w:rFonts w:ascii="Arial" w:hAnsi="Arial" w:cs="Arial"/>
          <w:sz w:val="22"/>
          <w:szCs w:val="22"/>
        </w:rPr>
      </w:pPr>
    </w:p>
    <w:p w14:paraId="5C4B2A31">
      <w:pPr>
        <w:spacing w:line="360" w:lineRule="auto"/>
        <w:rPr>
          <w:rFonts w:ascii="Arial" w:hAnsi="Arial" w:cs="Arial"/>
          <w:sz w:val="22"/>
          <w:szCs w:val="22"/>
        </w:rPr>
      </w:pPr>
    </w:p>
    <w:p w14:paraId="4A9E7E21">
      <w:pPr>
        <w:spacing w:line="360" w:lineRule="auto"/>
        <w:rPr>
          <w:rFonts w:ascii="Arial" w:hAnsi="Arial" w:cs="Arial"/>
          <w:sz w:val="22"/>
          <w:szCs w:val="22"/>
        </w:rPr>
      </w:pPr>
    </w:p>
    <w:p w14:paraId="3D599A25">
      <w:pPr>
        <w:spacing w:line="360" w:lineRule="auto"/>
        <w:rPr>
          <w:rFonts w:ascii="Arial" w:hAnsi="Arial" w:cs="Arial"/>
          <w:sz w:val="22"/>
          <w:szCs w:val="22"/>
        </w:rPr>
      </w:pPr>
    </w:p>
    <w:p w14:paraId="63857A30">
      <w:pPr>
        <w:spacing w:line="360" w:lineRule="auto"/>
        <w:rPr>
          <w:rFonts w:ascii="Arial" w:hAnsi="Arial" w:cs="Arial"/>
          <w:sz w:val="22"/>
          <w:szCs w:val="22"/>
        </w:rPr>
      </w:pPr>
    </w:p>
    <w:sectPr>
      <w:footerReference r:id="rId5" w:type="default"/>
      <w:pgSz w:w="11906" w:h="16838"/>
      <w:pgMar w:top="1440" w:right="1440" w:bottom="1440" w:left="1440" w:header="708" w:footer="708" w:gutter="0"/>
      <w:cols w:space="708" w:num="1"/>
      <w:titlePg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ptos">
    <w:altName w:val="SimSun"/>
    <w:panose1 w:val="00000000000000000000"/>
    <w:charset w:val="86"/>
    <w:family w:val="swiss"/>
    <w:pitch w:val="default"/>
    <w:sig w:usb0="00000000" w:usb1="00000000" w:usb2="00000000" w:usb3="00000000" w:csb0="0000019F" w:csb1="00000000"/>
  </w:font>
  <w:font w:name="Aptos Display">
    <w:altName w:val="Segoe Print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6D933D">
    <w:pPr>
      <w:pStyle w:val="1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</w:p>
  <w:p w14:paraId="07B6721E">
    <w:pPr>
      <w:pStyle w:val="1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19B8B2A"/>
    <w:multiLevelType w:val="singleLevel"/>
    <w:tmpl w:val="B19B8B2A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1">
    <w:nsid w:val="E3B0AFFB"/>
    <w:multiLevelType w:val="singleLevel"/>
    <w:tmpl w:val="E3B0AFFB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2">
    <w:nsid w:val="03206D41"/>
    <w:multiLevelType w:val="singleLevel"/>
    <w:tmpl w:val="03206D41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3">
    <w:nsid w:val="1A375F8B"/>
    <w:multiLevelType w:val="multilevel"/>
    <w:tmpl w:val="1A375F8B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4">
    <w:nsid w:val="3C3DFFC3"/>
    <w:multiLevelType w:val="singleLevel"/>
    <w:tmpl w:val="3C3DFFC3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5">
    <w:nsid w:val="4656757B"/>
    <w:multiLevelType w:val="singleLevel"/>
    <w:tmpl w:val="4656757B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54B"/>
    <w:rsid w:val="00255D51"/>
    <w:rsid w:val="0058254B"/>
    <w:rsid w:val="008265EC"/>
    <w:rsid w:val="008375B5"/>
    <w:rsid w:val="008E31E6"/>
    <w:rsid w:val="009334D8"/>
    <w:rsid w:val="00987802"/>
    <w:rsid w:val="00A875D4"/>
    <w:rsid w:val="00A9474F"/>
    <w:rsid w:val="00AC2DCE"/>
    <w:rsid w:val="00AC3FDE"/>
    <w:rsid w:val="00C80D0F"/>
    <w:rsid w:val="00D40915"/>
    <w:rsid w:val="195A3129"/>
    <w:rsid w:val="22B10EF6"/>
    <w:rsid w:val="5A6C0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nhideWhenUsed="0" w:uiPriority="0" w:semiHidden="0" w:name=""/>
    <w:lsdException w:unhideWhenUsed="0" w:uiPriority="0" w:semiHidden="0" w:name="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78" w:lineRule="auto"/>
    </w:pPr>
    <w:rPr>
      <w:rFonts w:ascii="Aptos" w:hAnsi="Aptos" w:eastAsia="Aptos" w:cs="Times New Roman"/>
      <w:kern w:val="2"/>
      <w:sz w:val="24"/>
      <w:szCs w:val="24"/>
      <w:lang w:val="en-GB" w:eastAsia="en-US" w:bidi="ar-SA"/>
    </w:rPr>
  </w:style>
  <w:style w:type="paragraph" w:styleId="2">
    <w:name w:val="heading 1"/>
    <w:basedOn w:val="1"/>
    <w:next w:val="1"/>
    <w:link w:val="20"/>
    <w:qFormat/>
    <w:uiPriority w:val="9"/>
    <w:pPr>
      <w:keepNext/>
      <w:keepLines/>
      <w:spacing w:before="360" w:after="80"/>
      <w:outlineLvl w:val="0"/>
    </w:pPr>
    <w:rPr>
      <w:rFonts w:ascii="Aptos Display" w:hAnsi="Aptos Display" w:eastAsia="Times New Roman"/>
      <w:color w:val="0F4761"/>
      <w:sz w:val="40"/>
      <w:szCs w:val="40"/>
    </w:rPr>
  </w:style>
  <w:style w:type="paragraph" w:styleId="3">
    <w:name w:val="heading 2"/>
    <w:basedOn w:val="1"/>
    <w:next w:val="1"/>
    <w:link w:val="21"/>
    <w:semiHidden/>
    <w:unhideWhenUsed/>
    <w:qFormat/>
    <w:uiPriority w:val="9"/>
    <w:pPr>
      <w:keepNext/>
      <w:keepLines/>
      <w:spacing w:before="160" w:after="80"/>
      <w:outlineLvl w:val="1"/>
    </w:pPr>
    <w:rPr>
      <w:rFonts w:ascii="Aptos Display" w:hAnsi="Aptos Display" w:eastAsia="Times New Roman"/>
      <w:color w:val="0F4761"/>
      <w:sz w:val="32"/>
      <w:szCs w:val="32"/>
    </w:rPr>
  </w:style>
  <w:style w:type="paragraph" w:styleId="4">
    <w:name w:val="heading 3"/>
    <w:basedOn w:val="1"/>
    <w:next w:val="1"/>
    <w:link w:val="22"/>
    <w:semiHidden/>
    <w:unhideWhenUsed/>
    <w:qFormat/>
    <w:uiPriority w:val="9"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5">
    <w:name w:val="heading 4"/>
    <w:basedOn w:val="1"/>
    <w:next w:val="1"/>
    <w:link w:val="23"/>
    <w:semiHidden/>
    <w:unhideWhenUsed/>
    <w:qFormat/>
    <w:uiPriority w:val="9"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6">
    <w:name w:val="heading 5"/>
    <w:basedOn w:val="1"/>
    <w:next w:val="1"/>
    <w:link w:val="24"/>
    <w:semiHidden/>
    <w:unhideWhenUsed/>
    <w:qFormat/>
    <w:uiPriority w:val="9"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7">
    <w:name w:val="heading 6"/>
    <w:basedOn w:val="1"/>
    <w:next w:val="1"/>
    <w:link w:val="25"/>
    <w:semiHidden/>
    <w:unhideWhenUsed/>
    <w:qFormat/>
    <w:uiPriority w:val="9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8">
    <w:name w:val="heading 7"/>
    <w:basedOn w:val="1"/>
    <w:next w:val="1"/>
    <w:link w:val="26"/>
    <w:semiHidden/>
    <w:unhideWhenUsed/>
    <w:qFormat/>
    <w:uiPriority w:val="9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9">
    <w:name w:val="heading 8"/>
    <w:basedOn w:val="1"/>
    <w:next w:val="1"/>
    <w:link w:val="27"/>
    <w:semiHidden/>
    <w:unhideWhenUsed/>
    <w:qFormat/>
    <w:uiPriority w:val="9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10">
    <w:name w:val="heading 9"/>
    <w:basedOn w:val="1"/>
    <w:next w:val="1"/>
    <w:link w:val="28"/>
    <w:semiHidden/>
    <w:unhideWhenUsed/>
    <w:qFormat/>
    <w:uiPriority w:val="9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11">
    <w:name w:val="Default Paragraph Font"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Emphasis"/>
    <w:basedOn w:val="11"/>
    <w:qFormat/>
    <w:uiPriority w:val="20"/>
    <w:rPr>
      <w:i/>
      <w:iCs/>
    </w:rPr>
  </w:style>
  <w:style w:type="paragraph" w:styleId="14">
    <w:name w:val="footer"/>
    <w:basedOn w:val="1"/>
    <w:link w:val="40"/>
    <w:unhideWhenUsed/>
    <w:uiPriority w:val="99"/>
    <w:pPr>
      <w:tabs>
        <w:tab w:val="center" w:pos="4513"/>
        <w:tab w:val="right" w:pos="9026"/>
      </w:tabs>
    </w:pPr>
  </w:style>
  <w:style w:type="paragraph" w:styleId="15">
    <w:name w:val="header"/>
    <w:basedOn w:val="1"/>
    <w:link w:val="39"/>
    <w:unhideWhenUsed/>
    <w:qFormat/>
    <w:uiPriority w:val="99"/>
    <w:pPr>
      <w:tabs>
        <w:tab w:val="center" w:pos="4513"/>
        <w:tab w:val="right" w:pos="9026"/>
      </w:tabs>
    </w:pPr>
  </w:style>
  <w:style w:type="paragraph" w:styleId="16">
    <w:name w:val="Normal (Web)"/>
    <w:basedOn w:val="1"/>
    <w:semiHidden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kern w:val="0"/>
      <w:lang w:eastAsia="en-GB"/>
    </w:rPr>
  </w:style>
  <w:style w:type="character" w:styleId="17">
    <w:name w:val="Strong"/>
    <w:qFormat/>
    <w:uiPriority w:val="22"/>
    <w:rPr>
      <w:b/>
      <w:bCs/>
    </w:rPr>
  </w:style>
  <w:style w:type="paragraph" w:styleId="18">
    <w:name w:val="Subtitle"/>
    <w:basedOn w:val="1"/>
    <w:next w:val="1"/>
    <w:link w:val="30"/>
    <w:qFormat/>
    <w:uiPriority w:val="11"/>
    <w:rPr>
      <w:rFonts w:eastAsia="Times New Roman"/>
      <w:color w:val="595959"/>
      <w:spacing w:val="15"/>
      <w:sz w:val="28"/>
      <w:szCs w:val="28"/>
    </w:rPr>
  </w:style>
  <w:style w:type="paragraph" w:styleId="19">
    <w:name w:val="Title"/>
    <w:basedOn w:val="1"/>
    <w:next w:val="1"/>
    <w:link w:val="29"/>
    <w:qFormat/>
    <w:uiPriority w:val="10"/>
    <w:pPr>
      <w:spacing w:after="80" w:line="240" w:lineRule="auto"/>
      <w:contextualSpacing/>
    </w:pPr>
    <w:rPr>
      <w:rFonts w:ascii="Aptos Display" w:hAnsi="Aptos Display" w:eastAsia="Times New Roman"/>
      <w:spacing w:val="-10"/>
      <w:kern w:val="28"/>
      <w:sz w:val="56"/>
      <w:szCs w:val="56"/>
    </w:rPr>
  </w:style>
  <w:style w:type="character" w:customStyle="1" w:styleId="20">
    <w:name w:val="Heading 1 Char"/>
    <w:link w:val="2"/>
    <w:uiPriority w:val="9"/>
    <w:rPr>
      <w:rFonts w:ascii="Aptos Display" w:hAnsi="Aptos Display" w:eastAsia="Times New Roman" w:cs="Times New Roman"/>
      <w:color w:val="0F4761"/>
      <w:sz w:val="40"/>
      <w:szCs w:val="40"/>
    </w:rPr>
  </w:style>
  <w:style w:type="character" w:customStyle="1" w:styleId="21">
    <w:name w:val="Heading 2 Char"/>
    <w:link w:val="3"/>
    <w:semiHidden/>
    <w:uiPriority w:val="9"/>
    <w:rPr>
      <w:rFonts w:ascii="Aptos Display" w:hAnsi="Aptos Display" w:eastAsia="Times New Roman" w:cs="Times New Roman"/>
      <w:color w:val="0F4761"/>
      <w:sz w:val="32"/>
      <w:szCs w:val="32"/>
    </w:rPr>
  </w:style>
  <w:style w:type="character" w:customStyle="1" w:styleId="22">
    <w:name w:val="Heading 3 Char"/>
    <w:link w:val="4"/>
    <w:semiHidden/>
    <w:uiPriority w:val="9"/>
    <w:rPr>
      <w:rFonts w:eastAsia="Times New Roman" w:cs="Times New Roman"/>
      <w:color w:val="0F4761"/>
      <w:sz w:val="28"/>
      <w:szCs w:val="28"/>
    </w:rPr>
  </w:style>
  <w:style w:type="character" w:customStyle="1" w:styleId="23">
    <w:name w:val="Heading 4 Char"/>
    <w:link w:val="5"/>
    <w:semiHidden/>
    <w:uiPriority w:val="9"/>
    <w:rPr>
      <w:rFonts w:eastAsia="Times New Roman" w:cs="Times New Roman"/>
      <w:i/>
      <w:iCs/>
      <w:color w:val="0F4761"/>
    </w:rPr>
  </w:style>
  <w:style w:type="character" w:customStyle="1" w:styleId="24">
    <w:name w:val="Heading 5 Char"/>
    <w:link w:val="6"/>
    <w:semiHidden/>
    <w:uiPriority w:val="9"/>
    <w:rPr>
      <w:rFonts w:eastAsia="Times New Roman" w:cs="Times New Roman"/>
      <w:color w:val="0F4761"/>
    </w:rPr>
  </w:style>
  <w:style w:type="character" w:customStyle="1" w:styleId="25">
    <w:name w:val="Heading 6 Char"/>
    <w:link w:val="7"/>
    <w:semiHidden/>
    <w:uiPriority w:val="9"/>
    <w:rPr>
      <w:rFonts w:eastAsia="Times New Roman" w:cs="Times New Roman"/>
      <w:i/>
      <w:iCs/>
      <w:color w:val="595959"/>
    </w:rPr>
  </w:style>
  <w:style w:type="character" w:customStyle="1" w:styleId="26">
    <w:name w:val="Heading 7 Char"/>
    <w:link w:val="8"/>
    <w:semiHidden/>
    <w:qFormat/>
    <w:uiPriority w:val="9"/>
    <w:rPr>
      <w:rFonts w:eastAsia="Times New Roman" w:cs="Times New Roman"/>
      <w:color w:val="595959"/>
    </w:rPr>
  </w:style>
  <w:style w:type="character" w:customStyle="1" w:styleId="27">
    <w:name w:val="Heading 8 Char"/>
    <w:link w:val="9"/>
    <w:semiHidden/>
    <w:uiPriority w:val="9"/>
    <w:rPr>
      <w:rFonts w:eastAsia="Times New Roman" w:cs="Times New Roman"/>
      <w:i/>
      <w:iCs/>
      <w:color w:val="272727"/>
    </w:rPr>
  </w:style>
  <w:style w:type="character" w:customStyle="1" w:styleId="28">
    <w:name w:val="Heading 9 Char"/>
    <w:link w:val="10"/>
    <w:semiHidden/>
    <w:uiPriority w:val="9"/>
    <w:rPr>
      <w:rFonts w:eastAsia="Times New Roman" w:cs="Times New Roman"/>
      <w:color w:val="272727"/>
    </w:rPr>
  </w:style>
  <w:style w:type="character" w:customStyle="1" w:styleId="29">
    <w:name w:val="Title Char"/>
    <w:link w:val="19"/>
    <w:qFormat/>
    <w:uiPriority w:val="10"/>
    <w:rPr>
      <w:rFonts w:ascii="Aptos Display" w:hAnsi="Aptos Display" w:eastAsia="Times New Roman" w:cs="Times New Roman"/>
      <w:spacing w:val="-10"/>
      <w:kern w:val="28"/>
      <w:sz w:val="56"/>
      <w:szCs w:val="56"/>
    </w:rPr>
  </w:style>
  <w:style w:type="character" w:customStyle="1" w:styleId="30">
    <w:name w:val="Subtitle Char"/>
    <w:link w:val="18"/>
    <w:uiPriority w:val="11"/>
    <w:rPr>
      <w:rFonts w:eastAsia="Times New Roman" w:cs="Times New Roman"/>
      <w:color w:val="595959"/>
      <w:spacing w:val="15"/>
      <w:sz w:val="28"/>
      <w:szCs w:val="28"/>
    </w:rPr>
  </w:style>
  <w:style w:type="paragraph" w:styleId="31">
    <w:name w:val="Quote"/>
    <w:basedOn w:val="1"/>
    <w:next w:val="1"/>
    <w:link w:val="32"/>
    <w:qFormat/>
    <w:uiPriority w:val="29"/>
    <w:pPr>
      <w:spacing w:before="160"/>
      <w:jc w:val="center"/>
    </w:pPr>
    <w:rPr>
      <w:i/>
      <w:iCs/>
      <w:color w:val="404040"/>
    </w:rPr>
  </w:style>
  <w:style w:type="character" w:customStyle="1" w:styleId="32">
    <w:name w:val="Quote Char"/>
    <w:link w:val="31"/>
    <w:uiPriority w:val="29"/>
    <w:rPr>
      <w:i/>
      <w:iCs/>
      <w:color w:val="404040"/>
    </w:rPr>
  </w:style>
  <w:style w:type="paragraph" w:styleId="33">
    <w:name w:val="List Paragraph"/>
    <w:basedOn w:val="1"/>
    <w:qFormat/>
    <w:uiPriority w:val="34"/>
    <w:pPr>
      <w:ind w:left="720"/>
      <w:contextualSpacing/>
    </w:pPr>
  </w:style>
  <w:style w:type="character" w:customStyle="1" w:styleId="34">
    <w:name w:val="Intense Emphasis"/>
    <w:qFormat/>
    <w:uiPriority w:val="21"/>
    <w:rPr>
      <w:i/>
      <w:iCs/>
      <w:color w:val="0F4761"/>
    </w:rPr>
  </w:style>
  <w:style w:type="paragraph" w:styleId="35">
    <w:name w:val="Intense Quote"/>
    <w:basedOn w:val="1"/>
    <w:next w:val="1"/>
    <w:link w:val="36"/>
    <w:qFormat/>
    <w:uiPriority w:val="30"/>
    <w:pPr>
      <w:pBdr>
        <w:top w:val="single" w:color="0F4761" w:sz="4" w:space="10"/>
        <w:bottom w:val="single" w:color="0F4761" w:sz="4" w:space="10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36">
    <w:name w:val="Intense Quote Char"/>
    <w:link w:val="35"/>
    <w:uiPriority w:val="30"/>
    <w:rPr>
      <w:i/>
      <w:iCs/>
      <w:color w:val="0F4761"/>
    </w:rPr>
  </w:style>
  <w:style w:type="character" w:customStyle="1" w:styleId="37">
    <w:name w:val="Intense Reference"/>
    <w:qFormat/>
    <w:uiPriority w:val="32"/>
    <w:rPr>
      <w:b/>
      <w:bCs/>
      <w:smallCaps/>
      <w:color w:val="0F4761"/>
      <w:spacing w:val="5"/>
    </w:rPr>
  </w:style>
  <w:style w:type="character" w:customStyle="1" w:styleId="38">
    <w:name w:val="apple-converted-space"/>
    <w:basedOn w:val="11"/>
    <w:uiPriority w:val="0"/>
  </w:style>
  <w:style w:type="character" w:customStyle="1" w:styleId="39">
    <w:name w:val="Header Char"/>
    <w:link w:val="15"/>
    <w:uiPriority w:val="99"/>
    <w:rPr>
      <w:kern w:val="2"/>
      <w:sz w:val="24"/>
      <w:szCs w:val="24"/>
      <w:lang w:eastAsia="en-US"/>
    </w:rPr>
  </w:style>
  <w:style w:type="character" w:customStyle="1" w:styleId="40">
    <w:name w:val="Footer Char"/>
    <w:link w:val="14"/>
    <w:uiPriority w:val="99"/>
    <w:rPr>
      <w:kern w:val="2"/>
      <w:sz w:val="24"/>
      <w:szCs w:val="24"/>
      <w:lang w:eastAsia="en-US"/>
    </w:rPr>
  </w:style>
  <w:style w:type="paragraph" w:styleId="41">
    <w:name w:val=""/>
    <w:basedOn w:val="1"/>
    <w:next w:val="1"/>
    <w:uiPriority w:val="0"/>
    <w:pPr>
      <w:pBdr>
        <w:bottom w:val="single" w:color="auto" w:sz="6" w:space="1"/>
      </w:pBdr>
      <w:jc w:val="center"/>
    </w:pPr>
    <w:rPr>
      <w:rFonts w:ascii="Arial" w:eastAsia="SimSun"/>
      <w:vanish/>
      <w:sz w:val="16"/>
    </w:rPr>
  </w:style>
  <w:style w:type="paragraph" w:styleId="42">
    <w:name w:val=""/>
    <w:basedOn w:val="1"/>
    <w:next w:val="1"/>
    <w:uiPriority w:val="0"/>
    <w:pPr>
      <w:pBdr>
        <w:top w:val="single" w:color="auto" w:sz="6" w:space="1"/>
      </w:pBdr>
      <w:jc w:val="center"/>
    </w:pPr>
    <w:rPr>
      <w:rFonts w:ascii="Arial" w:eastAsia="SimSun"/>
      <w:vanish/>
      <w:sz w:val="16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file:///C:\Users\biancasanfilippo\Library\Group%2520Containers\UBF8T346G9.ms\WebArchiveCopyPasteTempFiles\com.microsoft.Word\UWTSD-Logo.jpg" TargetMode="External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118</Words>
  <Characters>679</Characters>
  <Lines>5</Lines>
  <Paragraphs>1</Paragraphs>
  <TotalTime>44</TotalTime>
  <ScaleCrop>false</ScaleCrop>
  <LinksUpToDate>false</LinksUpToDate>
  <CharactersWithSpaces>796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2024-10-07T16:23:00Z</dcterms:created>
  <dc:creator>Laila Surani</dc:creator>
  <cp:lastModifiedBy>Luisa Fernandes</cp:lastModifiedBy>
  <dcterms:modified xsi:type="dcterms:W3CDTF">2026-01-12T13:33:40Z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2057-12.2.0.23196</vt:lpwstr>
  </property>
  <property fmtid="{D5CDD505-2E9C-101B-9397-08002B2CF9AE}" pid="3" name="ICV">
    <vt:lpwstr>6FB6CCAA0EF647929ACE4E332628F3F6_13</vt:lpwstr>
  </property>
</Properties>
</file>