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E29B5" w:rsidRDefault="00CE29B5">
      <w:pPr>
        <w:spacing w:line="360" w:lineRule="auto"/>
        <w:jc w:val="both"/>
        <w:rPr>
          <w:rFonts w:asciiTheme="majorBidi" w:hAnsiTheme="majorBidi" w:cstheme="majorBidi"/>
          <w:b/>
          <w:bCs/>
        </w:rPr>
      </w:pPr>
    </w:p>
    <w:p w:rsidR="00CE29B5" w:rsidRDefault="00CE29B5">
      <w:pP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Module: Foreign Languages &amp; Cultural Awareness</w:t>
      </w: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Module code: BMIH5003</w:t>
      </w: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 xml:space="preserve">Lecturer: Giulia </w:t>
      </w:r>
      <w:proofErr w:type="spellStart"/>
      <w:r>
        <w:rPr>
          <w:rFonts w:asciiTheme="majorBidi" w:hAnsiTheme="majorBidi" w:cstheme="majorBidi"/>
          <w:b/>
          <w:bCs/>
        </w:rPr>
        <w:t>Chifari</w:t>
      </w:r>
      <w:proofErr w:type="spellEnd"/>
      <w:r>
        <w:rPr>
          <w:rFonts w:asciiTheme="majorBidi" w:hAnsiTheme="majorBidi" w:cstheme="majorBidi"/>
          <w:b/>
          <w:bCs/>
        </w:rPr>
        <w:t>, Antoinette Milne</w:t>
      </w: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Assignment Title: Intercultural Competence Report</w:t>
      </w:r>
    </w:p>
    <w:p w:rsidR="00CE29B5" w:rsidRDefault="00CE29B5">
      <w:pPr>
        <w:jc w:val="center"/>
        <w:rPr>
          <w:rFonts w:asciiTheme="majorBidi" w:hAnsiTheme="majorBidi" w:cstheme="majorBidi"/>
          <w:b/>
          <w:bCs/>
        </w:rPr>
      </w:pP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 xml:space="preserve">Student Name: </w:t>
      </w:r>
      <w:proofErr w:type="spellStart"/>
      <w:r>
        <w:rPr>
          <w:rFonts w:asciiTheme="majorBidi" w:hAnsiTheme="majorBidi" w:cstheme="majorBidi"/>
          <w:b/>
          <w:bCs/>
        </w:rPr>
        <w:t>Jahanara</w:t>
      </w:r>
      <w:proofErr w:type="spellEnd"/>
      <w:r>
        <w:rPr>
          <w:rFonts w:asciiTheme="majorBidi" w:hAnsiTheme="majorBidi" w:cstheme="majorBidi"/>
          <w:b/>
          <w:bCs/>
        </w:rPr>
        <w:t xml:space="preserve"> Begum </w:t>
      </w: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Student ID: 2245646</w:t>
      </w:r>
    </w:p>
    <w:p w:rsidR="00CE29B5" w:rsidRDefault="00CE29B5">
      <w:pPr>
        <w:jc w:val="center"/>
        <w:rPr>
          <w:rFonts w:asciiTheme="majorBidi" w:hAnsiTheme="majorBidi" w:cstheme="majorBidi"/>
          <w:b/>
          <w:bCs/>
        </w:rPr>
      </w:pPr>
    </w:p>
    <w:p w:rsidR="00CE29B5" w:rsidRDefault="00FC1DE4">
      <w:pPr>
        <w:jc w:val="center"/>
        <w:rPr>
          <w:rFonts w:asciiTheme="majorBidi" w:hAnsiTheme="majorBidi" w:cstheme="majorBidi"/>
          <w:b/>
          <w:bCs/>
        </w:rPr>
      </w:pPr>
      <w:r>
        <w:rPr>
          <w:rFonts w:asciiTheme="majorBidi" w:hAnsiTheme="majorBidi" w:cstheme="majorBidi"/>
          <w:b/>
          <w:bCs/>
        </w:rPr>
        <w:t>Submission Date:</w:t>
      </w:r>
      <w:r>
        <w:rPr>
          <w:rFonts w:asciiTheme="majorBidi" w:hAnsiTheme="majorBidi" w:cstheme="majorBidi"/>
          <w:b/>
          <w:bCs/>
        </w:rPr>
        <w:br w:type="page"/>
      </w:r>
    </w:p>
    <w:p w:rsidR="00CE29B5" w:rsidRDefault="00FC1DE4">
      <w:pPr>
        <w:spacing w:line="360" w:lineRule="auto"/>
        <w:jc w:val="center"/>
        <w:rPr>
          <w:rFonts w:asciiTheme="majorBidi" w:hAnsiTheme="majorBidi" w:cstheme="majorBidi"/>
          <w:b/>
          <w:bCs/>
        </w:rPr>
      </w:pPr>
      <w:r>
        <w:rPr>
          <w:rFonts w:asciiTheme="majorBidi" w:hAnsiTheme="majorBidi" w:cstheme="majorBidi"/>
          <w:b/>
          <w:bCs/>
        </w:rPr>
        <w:lastRenderedPageBreak/>
        <w:t>Executive Summary</w:t>
      </w:r>
    </w:p>
    <w:p w:rsidR="00CE29B5" w:rsidRDefault="00FC1DE4">
      <w:pPr>
        <w:spacing w:line="360" w:lineRule="auto"/>
        <w:jc w:val="both"/>
        <w:rPr>
          <w:rFonts w:asciiTheme="majorBidi" w:hAnsiTheme="majorBidi" w:cstheme="majorBidi"/>
        </w:rPr>
      </w:pPr>
      <w:r>
        <w:rPr>
          <w:rFonts w:asciiTheme="majorBidi" w:hAnsiTheme="majorBidi" w:cstheme="majorBidi"/>
        </w:rPr>
        <w:t>This paper aims to compare the aspects of the culture of Germany and England by using Hofstede’s model of cultural dimensions as well as the findings of the GLOBE Project cultural and leadership analysis. While both countries are characterized by a low power distance and a high individualism index, they display differences in long-term orientation and assertiveness. The main communication and decision-making difficulties are discussed, and strategies for handling intercultural learning in the hospitality se</w:t>
      </w:r>
      <w:r>
        <w:rPr>
          <w:rFonts w:asciiTheme="majorBidi" w:hAnsiTheme="majorBidi" w:cstheme="majorBidi"/>
        </w:rPr>
        <w:t>ctor are proposed. Thus, it is suggested that the Multicultural Hotel &amp; Spa should provide professional cultural sensitivity training, involve multicultural employees in open communication, and adapt decision-making practices, which would enable the hotel to effectively address intercultural relations between its employees and foster a diverse and inclusive atmosphere that would lead to increased employee satisfaction and improved guests’ experiences.</w:t>
      </w:r>
      <w:r>
        <w:rPr>
          <w:rFonts w:asciiTheme="majorBidi" w:hAnsiTheme="majorBidi" w:cstheme="majorBidi"/>
        </w:rPr>
        <w:br w:type="page"/>
      </w:r>
    </w:p>
    <w:sdt>
      <w:sdtPr>
        <w:rPr>
          <w:rFonts w:asciiTheme="minorHAnsi" w:eastAsiaTheme="minorHAnsi" w:hAnsiTheme="minorHAnsi" w:cstheme="minorBidi"/>
          <w:b w:val="0"/>
          <w:bCs w:val="0"/>
          <w:color w:val="auto"/>
          <w:kern w:val="2"/>
          <w:sz w:val="24"/>
          <w:szCs w:val="24"/>
          <w:lang w:val="en-GB"/>
          <w14:ligatures w14:val="standardContextual"/>
        </w:rPr>
        <w:id w:val="731502788"/>
        <w:docPartObj>
          <w:docPartGallery w:val="Table of Contents"/>
          <w:docPartUnique/>
        </w:docPartObj>
      </w:sdtPr>
      <w:sdtEndPr/>
      <w:sdtContent>
        <w:p w:rsidR="00CE29B5" w:rsidRDefault="00FC1DE4">
          <w:pPr>
            <w:pStyle w:val="TOCHeading1"/>
            <w:spacing w:line="360" w:lineRule="auto"/>
            <w:jc w:val="center"/>
            <w:rPr>
              <w:rFonts w:asciiTheme="majorBidi" w:hAnsiTheme="majorBidi"/>
            </w:rPr>
          </w:pPr>
          <w:r>
            <w:rPr>
              <w:rFonts w:asciiTheme="majorBidi" w:hAnsiTheme="majorBidi"/>
            </w:rPr>
            <w:t>Table of Contents</w:t>
          </w:r>
        </w:p>
        <w:p w:rsidR="00CE29B5" w:rsidRDefault="00FC1DE4">
          <w:pPr>
            <w:pStyle w:val="TOC1"/>
            <w:tabs>
              <w:tab w:val="right" w:leader="dot" w:pos="9016"/>
            </w:tabs>
            <w:spacing w:line="360" w:lineRule="auto"/>
            <w:rPr>
              <w:rFonts w:asciiTheme="majorBidi" w:hAnsiTheme="majorBidi" w:cstheme="majorBidi"/>
            </w:rPr>
          </w:pPr>
          <w:r>
            <w:rPr>
              <w:rFonts w:asciiTheme="majorBidi" w:hAnsiTheme="majorBidi" w:cstheme="majorBidi"/>
              <w:b w:val="0"/>
              <w:bCs w:val="0"/>
            </w:rPr>
            <w:fldChar w:fldCharType="begin"/>
          </w:r>
          <w:r>
            <w:rPr>
              <w:rFonts w:asciiTheme="majorBidi" w:hAnsiTheme="majorBidi" w:cstheme="majorBidi"/>
            </w:rPr>
            <w:instrText xml:space="preserve"> TOC \o "1-3" \h \z \u </w:instrText>
          </w:r>
          <w:r>
            <w:rPr>
              <w:rFonts w:asciiTheme="majorBidi" w:hAnsiTheme="majorBidi" w:cstheme="majorBidi"/>
              <w:b w:val="0"/>
              <w:bCs w:val="0"/>
            </w:rPr>
            <w:fldChar w:fldCharType="separate"/>
          </w:r>
          <w:hyperlink w:anchor="_Toc167582177" w:history="1">
            <w:r>
              <w:rPr>
                <w:rStyle w:val="Hyperlink"/>
                <w:rFonts w:asciiTheme="majorBidi" w:hAnsiTheme="majorBidi" w:cstheme="majorBidi"/>
              </w:rPr>
              <w:t>Introduction</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_Toc167582177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4</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78" w:history="1">
            <w:r>
              <w:rPr>
                <w:rStyle w:val="Hyperlink"/>
                <w:rFonts w:asciiTheme="majorBidi" w:hAnsiTheme="majorBidi" w:cstheme="majorBidi"/>
              </w:rPr>
              <w:t>Difference Between England's and Germany's Culture</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_Toc167582178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4</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79" w:history="1">
            <w:r>
              <w:rPr>
                <w:rStyle w:val="Hyperlink"/>
                <w:rFonts w:asciiTheme="majorBidi" w:hAnsiTheme="majorBidi" w:cstheme="majorBidi"/>
              </w:rPr>
              <w:t>Comparison of Two Countries</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_Toc167582179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4</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80" w:history="1">
            <w:r>
              <w:rPr>
                <w:rStyle w:val="Hyperlink"/>
                <w:rFonts w:asciiTheme="majorBidi" w:hAnsiTheme="majorBidi" w:cstheme="majorBidi"/>
              </w:rPr>
              <w:t>Challenges</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_Toc167582180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7</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81" w:history="1">
            <w:r>
              <w:rPr>
                <w:rStyle w:val="Hyperlink"/>
                <w:rFonts w:asciiTheme="majorBidi" w:hAnsiTheme="majorBidi" w:cstheme="majorBidi"/>
              </w:rPr>
              <w:t>Recommendations</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_Toc167582181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7</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82" w:history="1">
            <w:r>
              <w:rPr>
                <w:rStyle w:val="Hyperlink"/>
                <w:rFonts w:asciiTheme="majorBidi" w:hAnsiTheme="majorBidi" w:cstheme="majorBidi"/>
              </w:rPr>
              <w:t>Conclusion</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_Toc167582182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8</w:t>
            </w:r>
            <w:r>
              <w:rPr>
                <w:rFonts w:asciiTheme="majorBidi" w:hAnsiTheme="majorBidi" w:cstheme="majorBidi"/>
              </w:rPr>
              <w:fldChar w:fldCharType="end"/>
            </w:r>
          </w:hyperlink>
        </w:p>
        <w:p w:rsidR="00CE29B5" w:rsidRDefault="00FC1DE4">
          <w:pPr>
            <w:pStyle w:val="TOC1"/>
            <w:tabs>
              <w:tab w:val="right" w:leader="dot" w:pos="9016"/>
            </w:tabs>
            <w:spacing w:line="360" w:lineRule="auto"/>
            <w:rPr>
              <w:rFonts w:asciiTheme="majorBidi" w:hAnsiTheme="majorBidi" w:cstheme="majorBidi"/>
            </w:rPr>
          </w:pPr>
          <w:hyperlink w:anchor="_Toc167582183" w:history="1">
            <w:r>
              <w:rPr>
                <w:rStyle w:val="Hyperlink"/>
                <w:rFonts w:asciiTheme="majorBidi" w:hAnsiTheme="majorBidi" w:cstheme="majorBidi"/>
              </w:rPr>
              <w:t>References</w:t>
            </w:r>
            <w:r>
              <w:rPr>
                <w:rFonts w:asciiTheme="majorBidi" w:hAnsiTheme="majorBidi" w:cstheme="majorBidi"/>
              </w:rPr>
              <w:tab/>
            </w:r>
            <w:r>
              <w:rPr>
                <w:rFonts w:asciiTheme="majorBidi" w:hAnsiTheme="majorBidi" w:cstheme="majorBidi"/>
              </w:rPr>
              <w:fldChar w:fldCharType="begin"/>
            </w:r>
            <w:r>
              <w:rPr>
                <w:rFonts w:asciiTheme="majorBidi" w:hAnsiTheme="majorBidi" w:cstheme="majorBidi"/>
              </w:rPr>
              <w:instrText xml:space="preserve"> PAGEREF _Toc167582183 \h </w:instrText>
            </w:r>
            <w:r>
              <w:rPr>
                <w:rFonts w:asciiTheme="majorBidi" w:hAnsiTheme="majorBidi" w:cstheme="majorBidi"/>
              </w:rPr>
            </w:r>
            <w:r>
              <w:rPr>
                <w:rFonts w:asciiTheme="majorBidi" w:hAnsiTheme="majorBidi" w:cstheme="majorBidi"/>
              </w:rPr>
              <w:fldChar w:fldCharType="separate"/>
            </w:r>
            <w:r>
              <w:rPr>
                <w:rFonts w:asciiTheme="majorBidi" w:hAnsiTheme="majorBidi" w:cstheme="majorBidi"/>
              </w:rPr>
              <w:t>9</w:t>
            </w:r>
            <w:r>
              <w:rPr>
                <w:rFonts w:asciiTheme="majorBidi" w:hAnsiTheme="majorBidi" w:cstheme="majorBidi"/>
              </w:rPr>
              <w:fldChar w:fldCharType="end"/>
            </w:r>
          </w:hyperlink>
        </w:p>
        <w:p w:rsidR="00CE29B5" w:rsidRDefault="00FC1DE4">
          <w:pPr>
            <w:spacing w:line="360" w:lineRule="auto"/>
          </w:pPr>
          <w:r>
            <w:rPr>
              <w:rFonts w:asciiTheme="majorBidi" w:hAnsiTheme="majorBidi" w:cstheme="majorBidi"/>
              <w:b/>
              <w:bCs/>
            </w:rPr>
            <w:fldChar w:fldCharType="end"/>
          </w:r>
        </w:p>
      </w:sdtContent>
    </w:sdt>
    <w:p w:rsidR="00CE29B5" w:rsidRDefault="00CE29B5">
      <w:pPr>
        <w:spacing w:line="360" w:lineRule="auto"/>
        <w:jc w:val="both"/>
        <w:rPr>
          <w:rFonts w:asciiTheme="majorBidi" w:hAnsiTheme="majorBidi" w:cstheme="majorBidi"/>
          <w:b/>
          <w:bCs/>
        </w:rPr>
      </w:pPr>
    </w:p>
    <w:p w:rsidR="00CE29B5" w:rsidRDefault="00FC1DE4">
      <w:pPr>
        <w:rPr>
          <w:rFonts w:asciiTheme="majorBidi" w:hAnsiTheme="majorBidi" w:cstheme="majorBidi"/>
          <w:b/>
          <w:bCs/>
        </w:rPr>
      </w:pPr>
      <w:r>
        <w:rPr>
          <w:rFonts w:asciiTheme="majorBidi" w:hAnsiTheme="majorBidi" w:cstheme="majorBidi"/>
          <w:b/>
          <w:bCs/>
        </w:rPr>
        <w:br w:type="page"/>
      </w:r>
    </w:p>
    <w:p w:rsidR="00CE29B5" w:rsidRDefault="00FC1DE4">
      <w:pPr>
        <w:pStyle w:val="Heading1"/>
        <w:rPr>
          <w:rFonts w:asciiTheme="majorBidi" w:hAnsiTheme="majorBidi"/>
          <w:b/>
          <w:bCs/>
          <w:color w:val="000000" w:themeColor="text1"/>
          <w:sz w:val="24"/>
          <w:szCs w:val="24"/>
        </w:rPr>
      </w:pPr>
      <w:bookmarkStart w:id="0" w:name="_Toc167582177"/>
      <w:r>
        <w:rPr>
          <w:rFonts w:asciiTheme="majorBidi" w:hAnsiTheme="majorBidi"/>
          <w:b/>
          <w:bCs/>
          <w:color w:val="000000" w:themeColor="text1"/>
          <w:sz w:val="24"/>
          <w:szCs w:val="24"/>
        </w:rPr>
        <w:lastRenderedPageBreak/>
        <w:t>Introduction</w:t>
      </w:r>
      <w:bookmarkEnd w:id="0"/>
    </w:p>
    <w:p w:rsidR="00CE29B5" w:rsidRDefault="00FC1DE4">
      <w:pPr>
        <w:spacing w:line="360" w:lineRule="auto"/>
        <w:jc w:val="both"/>
        <w:rPr>
          <w:rFonts w:asciiTheme="majorBidi" w:hAnsiTheme="majorBidi" w:cstheme="majorBidi"/>
        </w:rPr>
      </w:pPr>
      <w:r>
        <w:rPr>
          <w:rFonts w:asciiTheme="majorBidi" w:hAnsiTheme="majorBidi" w:cstheme="majorBidi"/>
        </w:rPr>
        <w:t xml:space="preserve">For this report "Germany" has been selected from the Globe Country's List to discuss the cultural differences </w:t>
      </w:r>
      <w:r>
        <w:rPr>
          <w:rFonts w:asciiTheme="majorBidi" w:hAnsiTheme="majorBidi" w:cstheme="majorBidi"/>
        </w:rPr>
        <w:t xml:space="preserve">with England. This report will also highlight the Globe project's leadership and cultural study along with the possible challenges in the hospitality industry. </w:t>
      </w:r>
    </w:p>
    <w:p w:rsidR="00CE29B5" w:rsidRDefault="00FC1DE4">
      <w:pPr>
        <w:pStyle w:val="Heading1"/>
        <w:rPr>
          <w:rFonts w:asciiTheme="majorBidi" w:hAnsiTheme="majorBidi"/>
          <w:b/>
          <w:bCs/>
          <w:color w:val="000000" w:themeColor="text1"/>
          <w:sz w:val="24"/>
          <w:szCs w:val="24"/>
        </w:rPr>
      </w:pPr>
      <w:bookmarkStart w:id="1" w:name="_Toc167582178"/>
      <w:r>
        <w:rPr>
          <w:rFonts w:asciiTheme="majorBidi" w:hAnsiTheme="majorBidi"/>
          <w:b/>
          <w:bCs/>
          <w:color w:val="000000" w:themeColor="text1"/>
          <w:sz w:val="24"/>
          <w:szCs w:val="24"/>
        </w:rPr>
        <w:t>Difference Between England's and Germany's Culture</w:t>
      </w:r>
      <w:bookmarkEnd w:id="1"/>
    </w:p>
    <w:p w:rsidR="00CE29B5" w:rsidRDefault="00FC1DE4">
      <w:pPr>
        <w:spacing w:line="360" w:lineRule="auto"/>
        <w:jc w:val="both"/>
        <w:rPr>
          <w:rFonts w:asciiTheme="majorBidi" w:hAnsiTheme="majorBidi" w:cstheme="majorBidi"/>
        </w:rPr>
      </w:pPr>
      <w:r>
        <w:rPr>
          <w:rFonts w:asciiTheme="majorBidi" w:hAnsiTheme="majorBidi" w:cstheme="majorBidi"/>
        </w:rPr>
        <w:t>By analyzing Hofstede’s cultural dimensions, it is evident that Germany and England have a lot in common but inherit some differences</w:t>
      </w:r>
      <w:r>
        <w:rPr>
          <w:rFonts w:asciiTheme="majorBidi" w:hAnsiTheme="majorBidi" w:cstheme="majorBidi"/>
          <w:lang w:val="en-US"/>
        </w:rPr>
        <w:t xml:space="preserve"> in hospitality sector</w:t>
      </w:r>
      <w:r>
        <w:rPr>
          <w:rFonts w:asciiTheme="majorBidi" w:hAnsiTheme="majorBidi" w:cstheme="majorBidi"/>
        </w:rPr>
        <w:t xml:space="preserve">. </w:t>
      </w:r>
      <w:r>
        <w:rPr>
          <w:rFonts w:asciiTheme="majorBidi" w:hAnsiTheme="majorBidi" w:cstheme="majorBidi"/>
          <w:lang w:val="en-US"/>
        </w:rPr>
        <w:t>When the difference between two hotel branches were examined it was found that t</w:t>
      </w:r>
      <w:r>
        <w:rPr>
          <w:rFonts w:asciiTheme="majorBidi" w:hAnsiTheme="majorBidi" w:cstheme="majorBidi"/>
        </w:rPr>
        <w:t xml:space="preserve">he power distance index for both countries </w:t>
      </w:r>
      <w:r>
        <w:rPr>
          <w:rFonts w:asciiTheme="majorBidi" w:hAnsiTheme="majorBidi" w:cstheme="majorBidi"/>
          <w:lang w:val="en-US"/>
        </w:rPr>
        <w:t xml:space="preserve">branches </w:t>
      </w:r>
      <w:r>
        <w:rPr>
          <w:rFonts w:asciiTheme="majorBidi" w:hAnsiTheme="majorBidi" w:cstheme="majorBidi"/>
        </w:rPr>
        <w:t>lie</w:t>
      </w:r>
      <w:r>
        <w:rPr>
          <w:rFonts w:asciiTheme="majorBidi" w:hAnsiTheme="majorBidi" w:cstheme="majorBidi"/>
          <w:lang w:val="en-US"/>
        </w:rPr>
        <w:t>d</w:t>
      </w:r>
      <w:r>
        <w:rPr>
          <w:rFonts w:asciiTheme="majorBidi" w:hAnsiTheme="majorBidi" w:cstheme="majorBidi"/>
        </w:rPr>
        <w:t xml:space="preserve"> near the lowest level illustrating that both nations prefer having professional interaction with higher authorities where the bosses are easily approachable</w:t>
      </w:r>
      <w:r>
        <w:rPr>
          <w:rFonts w:asciiTheme="majorBidi" w:hAnsiTheme="majorBidi" w:cstheme="majorBidi"/>
          <w:lang w:val="en-US"/>
        </w:rPr>
        <w:t xml:space="preserve"> in the hotels</w:t>
      </w:r>
      <w:r>
        <w:rPr>
          <w:rFonts w:asciiTheme="majorBidi" w:hAnsiTheme="majorBidi" w:cstheme="majorBidi"/>
        </w:rPr>
        <w:t>. Nonetheless, Germany</w:t>
      </w:r>
      <w:r>
        <w:rPr>
          <w:rFonts w:asciiTheme="majorBidi" w:hAnsiTheme="majorBidi" w:cstheme="majorBidi"/>
          <w:lang w:val="en-US"/>
        </w:rPr>
        <w:t xml:space="preserve"> hotel branch</w:t>
      </w:r>
      <w:r>
        <w:rPr>
          <w:rFonts w:asciiTheme="majorBidi" w:hAnsiTheme="majorBidi" w:cstheme="majorBidi"/>
        </w:rPr>
        <w:t xml:space="preserve"> ranks significantly higher on the individualism index and encourages people to be assertive about their accomplishments and rights; still, the </w:t>
      </w:r>
      <w:r>
        <w:rPr>
          <w:rFonts w:asciiTheme="majorBidi" w:hAnsiTheme="majorBidi" w:cstheme="majorBidi"/>
          <w:lang w:val="en-US"/>
        </w:rPr>
        <w:t>En</w:t>
      </w:r>
      <w:r>
        <w:rPr>
          <w:rFonts w:asciiTheme="majorBidi" w:hAnsiTheme="majorBidi" w:cstheme="majorBidi"/>
          <w:lang w:val="en-US"/>
        </w:rPr>
        <w:t xml:space="preserve">gland </w:t>
      </w:r>
      <w:r>
        <w:rPr>
          <w:rFonts w:asciiTheme="majorBidi" w:hAnsiTheme="majorBidi" w:cstheme="majorBidi"/>
        </w:rPr>
        <w:t xml:space="preserve">are even more individualistic. This means that German culture </w:t>
      </w:r>
      <w:r>
        <w:rPr>
          <w:rFonts w:asciiTheme="majorBidi" w:hAnsiTheme="majorBidi" w:cstheme="majorBidi"/>
          <w:lang w:val="en-US"/>
        </w:rPr>
        <w:t xml:space="preserve">in hospitality sector </w:t>
      </w:r>
      <w:r>
        <w:rPr>
          <w:rFonts w:asciiTheme="majorBidi" w:hAnsiTheme="majorBidi" w:cstheme="majorBidi"/>
        </w:rPr>
        <w:t>has a relatively high masculinity index, being slightly behind England but with an important focus on quality of life and work-life balance (</w:t>
      </w:r>
      <w:proofErr w:type="spellStart"/>
      <w:r>
        <w:rPr>
          <w:rFonts w:asciiTheme="majorBidi" w:hAnsiTheme="majorBidi" w:cstheme="majorBidi"/>
        </w:rPr>
        <w:t>Reisinger</w:t>
      </w:r>
      <w:proofErr w:type="spellEnd"/>
      <w:r>
        <w:rPr>
          <w:rFonts w:asciiTheme="majorBidi" w:hAnsiTheme="majorBidi" w:cstheme="majorBidi"/>
        </w:rPr>
        <w:t xml:space="preserve"> &amp; </w:t>
      </w:r>
      <w:proofErr w:type="spellStart"/>
      <w:r>
        <w:rPr>
          <w:rFonts w:asciiTheme="majorBidi" w:hAnsiTheme="majorBidi" w:cstheme="majorBidi"/>
        </w:rPr>
        <w:t>Crotts</w:t>
      </w:r>
      <w:proofErr w:type="spellEnd"/>
      <w:r>
        <w:rPr>
          <w:rFonts w:asciiTheme="majorBidi" w:hAnsiTheme="majorBidi" w:cstheme="majorBidi"/>
        </w:rPr>
        <w:t>, 2009). Germany is more comfortable with set policies and hierarchical organizations for uncertainty avoidance. In contrast, England is more comfortable when there is a focus on the unknown and the fluidity in organizations. These orientation systems reveal that</w:t>
      </w:r>
      <w:r>
        <w:rPr>
          <w:rFonts w:asciiTheme="majorBidi" w:hAnsiTheme="majorBidi" w:cstheme="majorBidi"/>
        </w:rPr>
        <w:t xml:space="preserve"> the German </w:t>
      </w:r>
      <w:r>
        <w:rPr>
          <w:rFonts w:asciiTheme="majorBidi" w:hAnsiTheme="majorBidi" w:cstheme="majorBidi"/>
          <w:lang w:val="en-US"/>
        </w:rPr>
        <w:t xml:space="preserve">hospitality </w:t>
      </w:r>
      <w:r>
        <w:rPr>
          <w:rFonts w:asciiTheme="majorBidi" w:hAnsiTheme="majorBidi" w:cstheme="majorBidi"/>
        </w:rPr>
        <w:t>business culture has a long-term view and appreciation for hard work and planning for the future in contrast to the English culture which seems to have short-term goals and prefers functional flexibility. Finally, it may be pointed out that Germany is characterized by moderate inclinations about satisfying needs and leisure</w:t>
      </w:r>
      <w:r>
        <w:rPr>
          <w:rFonts w:asciiTheme="majorBidi" w:hAnsiTheme="majorBidi" w:cstheme="majorBidi"/>
          <w:lang w:val="en-US"/>
        </w:rPr>
        <w:t xml:space="preserve"> of customers in hotels</w:t>
      </w:r>
      <w:r>
        <w:rPr>
          <w:rFonts w:asciiTheme="majorBidi" w:hAnsiTheme="majorBidi" w:cstheme="majorBidi"/>
        </w:rPr>
        <w:t>, whereas England prioritizes individual pleasures and leisure</w:t>
      </w:r>
      <w:r>
        <w:rPr>
          <w:rFonts w:asciiTheme="majorBidi" w:hAnsiTheme="majorBidi" w:cstheme="majorBidi"/>
          <w:lang w:val="en-US"/>
        </w:rPr>
        <w:t xml:space="preserve"> (</w:t>
      </w:r>
      <w:proofErr w:type="spellStart"/>
      <w:r>
        <w:rPr>
          <w:rFonts w:asciiTheme="majorBidi" w:hAnsiTheme="majorBidi" w:cstheme="majorBidi"/>
          <w:lang w:val="en-US"/>
        </w:rPr>
        <w:t>Expatrio</w:t>
      </w:r>
      <w:proofErr w:type="spellEnd"/>
      <w:r>
        <w:rPr>
          <w:rFonts w:asciiTheme="majorBidi" w:hAnsiTheme="majorBidi" w:cstheme="majorBidi"/>
          <w:lang w:val="en-US"/>
        </w:rPr>
        <w:t>, 2024)</w:t>
      </w:r>
      <w:r>
        <w:rPr>
          <w:rFonts w:asciiTheme="majorBidi" w:hAnsiTheme="majorBidi" w:cstheme="majorBidi"/>
        </w:rPr>
        <w:t>.</w:t>
      </w:r>
    </w:p>
    <w:p w:rsidR="00CE29B5" w:rsidRDefault="00FC1DE4">
      <w:pPr>
        <w:pStyle w:val="Heading1"/>
        <w:rPr>
          <w:rFonts w:asciiTheme="majorBidi" w:hAnsiTheme="majorBidi"/>
          <w:b/>
          <w:bCs/>
          <w:color w:val="000000" w:themeColor="text1"/>
          <w:sz w:val="24"/>
          <w:szCs w:val="24"/>
        </w:rPr>
      </w:pPr>
      <w:bookmarkStart w:id="2" w:name="_Toc167582179"/>
      <w:r>
        <w:rPr>
          <w:rFonts w:asciiTheme="majorBidi" w:hAnsiTheme="majorBidi"/>
          <w:b/>
          <w:bCs/>
          <w:color w:val="000000" w:themeColor="text1"/>
          <w:sz w:val="24"/>
          <w:szCs w:val="24"/>
        </w:rPr>
        <w:t>Comparison of Two Countries</w:t>
      </w:r>
      <w:bookmarkEnd w:id="2"/>
    </w:p>
    <w:p w:rsidR="00CE29B5" w:rsidRDefault="00FC1DE4">
      <w:pPr>
        <w:spacing w:line="360" w:lineRule="auto"/>
        <w:jc w:val="both"/>
        <w:rPr>
          <w:rFonts w:asciiTheme="majorBidi" w:hAnsiTheme="majorBidi" w:cstheme="majorBidi"/>
        </w:rPr>
      </w:pPr>
      <w:r>
        <w:rPr>
          <w:rFonts w:asciiTheme="majorBidi" w:hAnsiTheme="majorBidi" w:cstheme="majorBidi"/>
        </w:rPr>
        <w:t>This discussion is based on the GLOBE Project's culture and leadership study. Only material relevant to the scenario has been taken from the study.</w:t>
      </w:r>
    </w:p>
    <w:tbl>
      <w:tblPr>
        <w:tblStyle w:val="GridTable4-Accent11"/>
        <w:tblW w:w="0" w:type="auto"/>
        <w:tblLook w:val="04A0" w:firstRow="1" w:lastRow="0" w:firstColumn="1" w:lastColumn="0" w:noHBand="0" w:noVBand="1"/>
      </w:tblPr>
      <w:tblGrid>
        <w:gridCol w:w="2429"/>
        <w:gridCol w:w="3326"/>
        <w:gridCol w:w="3261"/>
      </w:tblGrid>
      <w:tr w:rsidR="00CE29B5" w:rsidTr="00CE29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9" w:type="dxa"/>
          </w:tcPr>
          <w:p w:rsidR="00CE29B5" w:rsidRDefault="00FC1DE4">
            <w:pPr>
              <w:spacing w:line="360" w:lineRule="auto"/>
              <w:jc w:val="center"/>
              <w:rPr>
                <w:rFonts w:asciiTheme="majorBidi" w:hAnsiTheme="majorBidi" w:cstheme="majorBidi"/>
              </w:rPr>
            </w:pPr>
            <w:r>
              <w:rPr>
                <w:rFonts w:asciiTheme="majorBidi" w:hAnsiTheme="majorBidi" w:cstheme="majorBidi"/>
                <w:b w:val="0"/>
                <w:bCs w:val="0"/>
              </w:rPr>
              <w:t>Hofstede Cultural Dimension</w:t>
            </w:r>
          </w:p>
        </w:tc>
        <w:tc>
          <w:tcPr>
            <w:tcW w:w="3326" w:type="dxa"/>
          </w:tcPr>
          <w:p w:rsidR="00CE29B5" w:rsidRDefault="00FC1DE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b w:val="0"/>
                <w:bCs w:val="0"/>
              </w:rPr>
              <w:t>Germany</w:t>
            </w:r>
          </w:p>
        </w:tc>
        <w:tc>
          <w:tcPr>
            <w:tcW w:w="3261" w:type="dxa"/>
          </w:tcPr>
          <w:p w:rsidR="00CE29B5" w:rsidRDefault="00FC1DE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b w:val="0"/>
                <w:bCs w:val="0"/>
              </w:rPr>
              <w:t>England</w:t>
            </w:r>
          </w:p>
        </w:tc>
      </w:tr>
      <w:tr w:rsidR="00CE29B5" w:rsidTr="00CE29B5">
        <w:tc>
          <w:tcPr>
            <w:cnfStyle w:val="001000000000" w:firstRow="0" w:lastRow="0" w:firstColumn="1" w:lastColumn="0" w:oddVBand="0" w:evenVBand="0" w:oddHBand="0" w:evenHBand="0" w:firstRowFirstColumn="0" w:firstRowLastColumn="0" w:lastRowFirstColumn="0" w:lastRowLastColumn="0"/>
            <w:tcW w:w="2429" w:type="dxa"/>
            <w:shd w:val="clear" w:color="auto" w:fill="C1E4F5" w:themeFill="accent1" w:themeFillTint="33"/>
          </w:tcPr>
          <w:p w:rsidR="00CE29B5" w:rsidRDefault="00FC1DE4">
            <w:pPr>
              <w:spacing w:line="360" w:lineRule="auto"/>
              <w:jc w:val="both"/>
              <w:rPr>
                <w:rFonts w:asciiTheme="majorBidi" w:hAnsiTheme="majorBidi" w:cstheme="majorBidi"/>
                <w:b w:val="0"/>
                <w:bCs w:val="0"/>
              </w:rPr>
            </w:pPr>
            <w:r>
              <w:rPr>
                <w:rFonts w:asciiTheme="majorBidi" w:hAnsiTheme="majorBidi" w:cstheme="majorBidi"/>
              </w:rPr>
              <w:t>Power Distance</w:t>
            </w:r>
          </w:p>
          <w:p w:rsidR="00CE29B5" w:rsidRDefault="00FC1DE4">
            <w:pPr>
              <w:spacing w:line="360" w:lineRule="auto"/>
              <w:jc w:val="both"/>
              <w:rPr>
                <w:rFonts w:asciiTheme="majorBidi" w:hAnsiTheme="majorBidi" w:cstheme="majorBidi"/>
              </w:rPr>
            </w:pPr>
            <w:r>
              <w:rPr>
                <w:rFonts w:asciiTheme="majorBidi" w:hAnsiTheme="majorBidi" w:cstheme="majorBidi"/>
                <w:b w:val="0"/>
                <w:bCs w:val="0"/>
              </w:rPr>
              <w:t>Germany (35)</w:t>
            </w:r>
          </w:p>
          <w:p w:rsidR="00CE29B5" w:rsidRDefault="00FC1DE4">
            <w:pPr>
              <w:spacing w:line="360" w:lineRule="auto"/>
              <w:jc w:val="both"/>
              <w:rPr>
                <w:rFonts w:asciiTheme="majorBidi" w:hAnsiTheme="majorBidi" w:cstheme="majorBidi"/>
                <w:b w:val="0"/>
                <w:bCs w:val="0"/>
              </w:rPr>
            </w:pPr>
            <w:r>
              <w:rPr>
                <w:rFonts w:asciiTheme="majorBidi" w:hAnsiTheme="majorBidi" w:cstheme="majorBidi"/>
                <w:b w:val="0"/>
                <w:bCs w:val="0"/>
              </w:rPr>
              <w:t>England (350</w:t>
            </w:r>
          </w:p>
        </w:tc>
        <w:tc>
          <w:tcPr>
            <w:tcW w:w="3326"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The conditions and opportunities of different people in Germany are made as equal as possible. There are subordination relations between </w:t>
            </w:r>
            <w:r>
              <w:rPr>
                <w:rFonts w:asciiTheme="majorBidi" w:hAnsiTheme="majorBidi" w:cstheme="majorBidi"/>
              </w:rPr>
              <w:lastRenderedPageBreak/>
              <w:t xml:space="preserve">perceiving and less perceiving people </w:t>
            </w:r>
            <w:r>
              <w:rPr>
                <w:rFonts w:asciiTheme="majorBidi" w:hAnsiTheme="majorBidi" w:cstheme="majorBidi"/>
                <w:lang w:val="en-US"/>
              </w:rPr>
              <w:t xml:space="preserve">in hotels </w:t>
            </w:r>
            <w:r>
              <w:rPr>
                <w:rFonts w:asciiTheme="majorBidi" w:hAnsiTheme="majorBidi" w:cstheme="majorBidi"/>
              </w:rPr>
              <w:t xml:space="preserve">as well as the power relations are more situational and positional than ontological in </w:t>
            </w:r>
            <w:r>
              <w:rPr>
                <w:rFonts w:asciiTheme="majorBidi" w:hAnsiTheme="majorBidi" w:cstheme="majorBidi"/>
                <w:lang w:val="en-US"/>
              </w:rPr>
              <w:t xml:space="preserve">hospitality </w:t>
            </w:r>
            <w:r>
              <w:rPr>
                <w:rFonts w:asciiTheme="majorBidi" w:hAnsiTheme="majorBidi" w:cstheme="majorBidi"/>
              </w:rPr>
              <w:t>organizations (</w:t>
            </w:r>
            <w:proofErr w:type="spellStart"/>
            <w:r>
              <w:rPr>
                <w:rFonts w:asciiTheme="majorBidi" w:hAnsiTheme="majorBidi" w:cstheme="majorBidi"/>
              </w:rPr>
              <w:t>Odugbesan</w:t>
            </w:r>
            <w:proofErr w:type="spellEnd"/>
            <w:r>
              <w:rPr>
                <w:rFonts w:asciiTheme="majorBidi" w:hAnsiTheme="majorBidi" w:cstheme="majorBidi"/>
              </w:rPr>
              <w:t xml:space="preserve"> &amp; </w:t>
            </w:r>
            <w:proofErr w:type="spellStart"/>
            <w:r>
              <w:rPr>
                <w:rFonts w:asciiTheme="majorBidi" w:hAnsiTheme="majorBidi" w:cstheme="majorBidi"/>
              </w:rPr>
              <w:t>Schwiertz</w:t>
            </w:r>
            <w:proofErr w:type="spellEnd"/>
            <w:r>
              <w:rPr>
                <w:rFonts w:asciiTheme="majorBidi" w:hAnsiTheme="majorBidi" w:cstheme="majorBidi"/>
              </w:rPr>
              <w:t>, 2018).</w:t>
            </w:r>
          </w:p>
        </w:tc>
        <w:tc>
          <w:tcPr>
            <w:tcW w:w="3261"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lastRenderedPageBreak/>
              <w:t xml:space="preserve">England </w:t>
            </w:r>
            <w:r>
              <w:rPr>
                <w:rFonts w:asciiTheme="majorBidi" w:hAnsiTheme="majorBidi" w:cstheme="majorBidi"/>
                <w:lang w:val="en-US"/>
              </w:rPr>
              <w:t xml:space="preserve">hospitality </w:t>
            </w:r>
            <w:r>
              <w:rPr>
                <w:rFonts w:asciiTheme="majorBidi" w:hAnsiTheme="majorBidi" w:cstheme="majorBidi"/>
              </w:rPr>
              <w:t xml:space="preserve">business culture also has low power distance and supports equal rights and decentralized decision making. </w:t>
            </w:r>
            <w:r>
              <w:rPr>
                <w:rFonts w:asciiTheme="majorBidi" w:hAnsiTheme="majorBidi" w:cstheme="majorBidi"/>
                <w:lang w:val="en-US"/>
              </w:rPr>
              <w:t xml:space="preserve">Hotel </w:t>
            </w:r>
            <w:r>
              <w:rPr>
                <w:rFonts w:asciiTheme="majorBidi" w:hAnsiTheme="majorBidi" w:cstheme="majorBidi"/>
                <w:lang w:val="en-US"/>
              </w:rPr>
              <w:lastRenderedPageBreak/>
              <w:t>o</w:t>
            </w:r>
            <w:proofErr w:type="spellStart"/>
            <w:r>
              <w:rPr>
                <w:rFonts w:asciiTheme="majorBidi" w:hAnsiTheme="majorBidi" w:cstheme="majorBidi"/>
              </w:rPr>
              <w:t>rganizational</w:t>
            </w:r>
            <w:proofErr w:type="spellEnd"/>
            <w:r>
              <w:rPr>
                <w:rFonts w:asciiTheme="majorBidi" w:hAnsiTheme="majorBidi" w:cstheme="majorBidi"/>
              </w:rPr>
              <w:t xml:space="preserve"> structures are nowhere near as hierarchical, and managers are regarded more as resourceful decision makers rather than authoritative figures (Khatri, 2009).</w:t>
            </w:r>
          </w:p>
        </w:tc>
      </w:tr>
      <w:tr w:rsidR="00CE29B5" w:rsidTr="00CE29B5">
        <w:tc>
          <w:tcPr>
            <w:cnfStyle w:val="001000000000" w:firstRow="0" w:lastRow="0" w:firstColumn="1" w:lastColumn="0" w:oddVBand="0" w:evenVBand="0" w:oddHBand="0" w:evenHBand="0" w:firstRowFirstColumn="0" w:firstRowLastColumn="0" w:lastRowFirstColumn="0" w:lastRowLastColumn="0"/>
            <w:tcW w:w="2429" w:type="dxa"/>
          </w:tcPr>
          <w:p w:rsidR="00CE29B5" w:rsidRDefault="00FC1DE4">
            <w:pPr>
              <w:spacing w:line="360" w:lineRule="auto"/>
              <w:jc w:val="both"/>
              <w:rPr>
                <w:rFonts w:asciiTheme="majorBidi" w:hAnsiTheme="majorBidi" w:cstheme="majorBidi"/>
              </w:rPr>
            </w:pPr>
            <w:r>
              <w:rPr>
                <w:rFonts w:asciiTheme="majorBidi" w:hAnsiTheme="majorBidi" w:cstheme="majorBidi"/>
              </w:rPr>
              <w:lastRenderedPageBreak/>
              <w:t xml:space="preserve">Individualism vs Collectivism </w:t>
            </w:r>
          </w:p>
          <w:p w:rsidR="00CE29B5" w:rsidRDefault="00FC1DE4">
            <w:pPr>
              <w:spacing w:line="360" w:lineRule="auto"/>
              <w:jc w:val="both"/>
              <w:rPr>
                <w:rFonts w:asciiTheme="majorBidi" w:hAnsiTheme="majorBidi" w:cstheme="majorBidi"/>
              </w:rPr>
            </w:pPr>
            <w:r>
              <w:rPr>
                <w:rFonts w:asciiTheme="majorBidi" w:hAnsiTheme="majorBidi" w:cstheme="majorBidi"/>
                <w:b w:val="0"/>
                <w:bCs w:val="0"/>
              </w:rPr>
              <w:t>Germany (67)</w:t>
            </w:r>
          </w:p>
          <w:p w:rsidR="00CE29B5" w:rsidRDefault="00FC1DE4">
            <w:pPr>
              <w:spacing w:line="360" w:lineRule="auto"/>
              <w:jc w:val="both"/>
              <w:rPr>
                <w:rFonts w:asciiTheme="majorBidi" w:hAnsiTheme="majorBidi" w:cstheme="majorBidi"/>
                <w:b w:val="0"/>
                <w:bCs w:val="0"/>
              </w:rPr>
            </w:pPr>
            <w:r>
              <w:rPr>
                <w:rFonts w:asciiTheme="majorBidi" w:hAnsiTheme="majorBidi" w:cstheme="majorBidi"/>
                <w:b w:val="0"/>
                <w:bCs w:val="0"/>
              </w:rPr>
              <w:t>England (89)</w:t>
            </w:r>
          </w:p>
        </w:tc>
        <w:tc>
          <w:tcPr>
            <w:tcW w:w="3326"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Individualism or self-reliance </w:t>
            </w:r>
            <w:r>
              <w:rPr>
                <w:rFonts w:asciiTheme="majorBidi" w:hAnsiTheme="majorBidi" w:cstheme="majorBidi"/>
                <w:lang w:val="en-US"/>
              </w:rPr>
              <w:t xml:space="preserve">in hotel </w:t>
            </w:r>
            <w:r>
              <w:rPr>
                <w:rFonts w:asciiTheme="majorBidi" w:hAnsiTheme="majorBidi" w:cstheme="majorBidi"/>
              </w:rPr>
              <w:t>is high in Germany wherein each one is expected to find for himself or herself (</w:t>
            </w:r>
            <w:proofErr w:type="spellStart"/>
            <w:r>
              <w:rPr>
                <w:rFonts w:asciiTheme="majorBidi" w:hAnsiTheme="majorBidi" w:cstheme="majorBidi"/>
              </w:rPr>
              <w:t>Odugbesan</w:t>
            </w:r>
            <w:proofErr w:type="spellEnd"/>
            <w:r>
              <w:rPr>
                <w:rFonts w:asciiTheme="majorBidi" w:hAnsiTheme="majorBidi" w:cstheme="majorBidi"/>
              </w:rPr>
              <w:t xml:space="preserve"> &amp; </w:t>
            </w:r>
            <w:proofErr w:type="spellStart"/>
            <w:r>
              <w:rPr>
                <w:rFonts w:asciiTheme="majorBidi" w:hAnsiTheme="majorBidi" w:cstheme="majorBidi"/>
              </w:rPr>
              <w:t>Schwiertz</w:t>
            </w:r>
            <w:proofErr w:type="spellEnd"/>
            <w:r>
              <w:rPr>
                <w:rFonts w:asciiTheme="majorBidi" w:hAnsiTheme="majorBidi" w:cstheme="majorBidi"/>
              </w:rPr>
              <w:t>, 2018).</w:t>
            </w:r>
          </w:p>
        </w:tc>
        <w:tc>
          <w:tcPr>
            <w:tcW w:w="3261"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England is much more individualistic than Germany</w:t>
            </w:r>
            <w:r>
              <w:rPr>
                <w:rFonts w:asciiTheme="majorBidi" w:hAnsiTheme="majorBidi" w:cstheme="majorBidi"/>
                <w:lang w:val="en-US"/>
              </w:rPr>
              <w:t xml:space="preserve"> in hospitality sector</w:t>
            </w:r>
            <w:r>
              <w:rPr>
                <w:rFonts w:asciiTheme="majorBidi" w:hAnsiTheme="majorBidi" w:cstheme="majorBidi"/>
              </w:rPr>
              <w:t xml:space="preserve"> and competing for individual freedom, success, and personal responsibility (Khatri, 2009).</w:t>
            </w:r>
          </w:p>
        </w:tc>
      </w:tr>
      <w:tr w:rsidR="00CE29B5" w:rsidTr="00CE29B5">
        <w:tc>
          <w:tcPr>
            <w:cnfStyle w:val="001000000000" w:firstRow="0" w:lastRow="0" w:firstColumn="1" w:lastColumn="0" w:oddVBand="0" w:evenVBand="0" w:oddHBand="0" w:evenHBand="0" w:firstRowFirstColumn="0" w:firstRowLastColumn="0" w:lastRowFirstColumn="0" w:lastRowLastColumn="0"/>
            <w:tcW w:w="2429" w:type="dxa"/>
            <w:shd w:val="clear" w:color="auto" w:fill="C1E4F5" w:themeFill="accent1" w:themeFillTint="33"/>
          </w:tcPr>
          <w:p w:rsidR="00CE29B5" w:rsidRDefault="00FC1DE4">
            <w:pPr>
              <w:spacing w:line="360" w:lineRule="auto"/>
              <w:jc w:val="both"/>
              <w:rPr>
                <w:rFonts w:asciiTheme="majorBidi" w:hAnsiTheme="majorBidi" w:cstheme="majorBidi"/>
                <w:b w:val="0"/>
                <w:bCs w:val="0"/>
              </w:rPr>
            </w:pPr>
            <w:r>
              <w:rPr>
                <w:rFonts w:asciiTheme="majorBidi" w:hAnsiTheme="majorBidi" w:cstheme="majorBidi"/>
              </w:rPr>
              <w:t xml:space="preserve">Masculinity vs </w:t>
            </w:r>
            <w:proofErr w:type="spellStart"/>
            <w:r>
              <w:rPr>
                <w:rFonts w:asciiTheme="majorBidi" w:hAnsiTheme="majorBidi" w:cstheme="majorBidi"/>
              </w:rPr>
              <w:t>Femineit</w:t>
            </w:r>
            <w:r>
              <w:rPr>
                <w:rFonts w:asciiTheme="majorBidi" w:hAnsiTheme="majorBidi" w:cstheme="majorBidi"/>
                <w:b w:val="0"/>
                <w:bCs w:val="0"/>
              </w:rPr>
              <w:t>y</w:t>
            </w:r>
            <w:proofErr w:type="spellEnd"/>
          </w:p>
          <w:p w:rsidR="00CE29B5" w:rsidRDefault="00FC1DE4">
            <w:pPr>
              <w:spacing w:line="360" w:lineRule="auto"/>
              <w:jc w:val="both"/>
              <w:rPr>
                <w:rFonts w:asciiTheme="majorBidi" w:hAnsiTheme="majorBidi" w:cstheme="majorBidi"/>
              </w:rPr>
            </w:pPr>
            <w:r>
              <w:rPr>
                <w:rFonts w:asciiTheme="majorBidi" w:hAnsiTheme="majorBidi" w:cstheme="majorBidi"/>
                <w:b w:val="0"/>
                <w:bCs w:val="0"/>
              </w:rPr>
              <w:t>Germany (66)</w:t>
            </w:r>
          </w:p>
          <w:p w:rsidR="00CE29B5" w:rsidRDefault="00FC1DE4">
            <w:pPr>
              <w:spacing w:line="360" w:lineRule="auto"/>
              <w:jc w:val="both"/>
              <w:rPr>
                <w:rFonts w:asciiTheme="majorBidi" w:hAnsiTheme="majorBidi" w:cstheme="majorBidi"/>
                <w:b w:val="0"/>
                <w:bCs w:val="0"/>
              </w:rPr>
            </w:pPr>
            <w:r>
              <w:rPr>
                <w:rFonts w:asciiTheme="majorBidi" w:hAnsiTheme="majorBidi" w:cstheme="majorBidi"/>
                <w:b w:val="0"/>
                <w:bCs w:val="0"/>
              </w:rPr>
              <w:t>England (66)</w:t>
            </w:r>
          </w:p>
        </w:tc>
        <w:tc>
          <w:tcPr>
            <w:tcW w:w="3326"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Germany ranks above average for masculinity and hence the society is highly competitive, achievement oriented; gender roles are defined</w:t>
            </w:r>
            <w:r>
              <w:rPr>
                <w:rFonts w:asciiTheme="majorBidi" w:hAnsiTheme="majorBidi" w:cstheme="majorBidi"/>
                <w:lang w:val="en-US"/>
              </w:rPr>
              <w:t xml:space="preserve"> in hotels</w:t>
            </w:r>
            <w:r>
              <w:rPr>
                <w:rFonts w:asciiTheme="majorBidi" w:hAnsiTheme="majorBidi" w:cstheme="majorBidi"/>
              </w:rPr>
              <w:t>, and material success is valued</w:t>
            </w:r>
            <w:r>
              <w:rPr>
                <w:rFonts w:asciiTheme="majorBidi" w:hAnsiTheme="majorBidi" w:cstheme="majorBidi"/>
                <w:lang w:val="en-US"/>
              </w:rPr>
              <w:t xml:space="preserve"> (</w:t>
            </w:r>
            <w:proofErr w:type="spellStart"/>
            <w:r>
              <w:rPr>
                <w:rFonts w:asciiTheme="majorBidi" w:hAnsiTheme="majorBidi" w:cstheme="majorBidi"/>
                <w:lang w:val="en-US"/>
              </w:rPr>
              <w:t>Bluszcz</w:t>
            </w:r>
            <w:proofErr w:type="spellEnd"/>
            <w:r>
              <w:rPr>
                <w:rFonts w:asciiTheme="majorBidi" w:hAnsiTheme="majorBidi" w:cstheme="majorBidi"/>
                <w:lang w:val="en-US"/>
              </w:rPr>
              <w:t>, 2016)</w:t>
            </w:r>
            <w:r>
              <w:rPr>
                <w:rFonts w:asciiTheme="majorBidi" w:hAnsiTheme="majorBidi" w:cstheme="majorBidi"/>
              </w:rPr>
              <w:t>.</w:t>
            </w:r>
          </w:p>
        </w:tc>
        <w:tc>
          <w:tcPr>
            <w:tcW w:w="3261"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England has also a higher score in masculinity, where competitiveness prevails and achievement is valued</w:t>
            </w:r>
            <w:r>
              <w:rPr>
                <w:rFonts w:asciiTheme="majorBidi" w:hAnsiTheme="majorBidi" w:cstheme="majorBidi"/>
                <w:lang w:val="en-US"/>
              </w:rPr>
              <w:t xml:space="preserve"> in hotels</w:t>
            </w:r>
            <w:r>
              <w:rPr>
                <w:rFonts w:asciiTheme="majorBidi" w:hAnsiTheme="majorBidi" w:cstheme="majorBidi"/>
              </w:rPr>
              <w:t xml:space="preserve">, as it is the case in Germany as well. Gender is much more defined, and more emphasis is </w:t>
            </w:r>
            <w:r>
              <w:rPr>
                <w:rFonts w:asciiTheme="majorBidi" w:hAnsiTheme="majorBidi" w:cstheme="majorBidi"/>
              </w:rPr>
              <w:t>put on the effectiveness (</w:t>
            </w:r>
            <w:proofErr w:type="spellStart"/>
            <w:r>
              <w:rPr>
                <w:rFonts w:asciiTheme="majorBidi" w:hAnsiTheme="majorBidi" w:cstheme="majorBidi"/>
              </w:rPr>
              <w:t>Beugelsdijk</w:t>
            </w:r>
            <w:proofErr w:type="spellEnd"/>
            <w:r>
              <w:rPr>
                <w:rFonts w:asciiTheme="majorBidi" w:hAnsiTheme="majorBidi" w:cstheme="majorBidi"/>
              </w:rPr>
              <w:t xml:space="preserve"> et al., 2015).</w:t>
            </w:r>
          </w:p>
        </w:tc>
      </w:tr>
      <w:tr w:rsidR="00CE29B5" w:rsidTr="00CE29B5">
        <w:tc>
          <w:tcPr>
            <w:cnfStyle w:val="001000000000" w:firstRow="0" w:lastRow="0" w:firstColumn="1" w:lastColumn="0" w:oddVBand="0" w:evenVBand="0" w:oddHBand="0" w:evenHBand="0" w:firstRowFirstColumn="0" w:firstRowLastColumn="0" w:lastRowFirstColumn="0" w:lastRowLastColumn="0"/>
            <w:tcW w:w="2429" w:type="dxa"/>
          </w:tcPr>
          <w:p w:rsidR="00CE29B5" w:rsidRDefault="00FC1DE4">
            <w:pPr>
              <w:spacing w:line="360" w:lineRule="auto"/>
              <w:jc w:val="both"/>
              <w:rPr>
                <w:rFonts w:asciiTheme="majorBidi" w:hAnsiTheme="majorBidi" w:cstheme="majorBidi"/>
              </w:rPr>
            </w:pPr>
            <w:r>
              <w:rPr>
                <w:rFonts w:asciiTheme="majorBidi" w:hAnsiTheme="majorBidi" w:cstheme="majorBidi"/>
              </w:rPr>
              <w:t>Long term vs Short term Orientation</w:t>
            </w:r>
          </w:p>
          <w:p w:rsidR="00CE29B5" w:rsidRDefault="00FC1DE4">
            <w:pPr>
              <w:spacing w:line="360" w:lineRule="auto"/>
              <w:jc w:val="both"/>
              <w:rPr>
                <w:rFonts w:asciiTheme="majorBidi" w:hAnsiTheme="majorBidi" w:cstheme="majorBidi"/>
              </w:rPr>
            </w:pPr>
            <w:r>
              <w:rPr>
                <w:rFonts w:asciiTheme="majorBidi" w:hAnsiTheme="majorBidi" w:cstheme="majorBidi"/>
                <w:b w:val="0"/>
                <w:bCs w:val="0"/>
              </w:rPr>
              <w:t>Germany (83 - long-term)</w:t>
            </w:r>
          </w:p>
          <w:p w:rsidR="00CE29B5" w:rsidRDefault="00FC1DE4">
            <w:pPr>
              <w:spacing w:line="360" w:lineRule="auto"/>
              <w:jc w:val="both"/>
              <w:rPr>
                <w:rFonts w:asciiTheme="majorBidi" w:hAnsiTheme="majorBidi" w:cstheme="majorBidi"/>
                <w:b w:val="0"/>
                <w:bCs w:val="0"/>
              </w:rPr>
            </w:pPr>
            <w:r>
              <w:rPr>
                <w:rFonts w:asciiTheme="majorBidi" w:hAnsiTheme="majorBidi" w:cstheme="majorBidi"/>
                <w:b w:val="0"/>
                <w:bCs w:val="0"/>
              </w:rPr>
              <w:t>England (51 - short-term)</w:t>
            </w:r>
          </w:p>
        </w:tc>
        <w:tc>
          <w:tcPr>
            <w:tcW w:w="3326"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German </w:t>
            </w:r>
            <w:r>
              <w:rPr>
                <w:rFonts w:asciiTheme="majorBidi" w:hAnsiTheme="majorBidi" w:cstheme="majorBidi"/>
                <w:lang w:val="en-US"/>
              </w:rPr>
              <w:t xml:space="preserve">hotel </w:t>
            </w:r>
            <w:r>
              <w:rPr>
                <w:rFonts w:asciiTheme="majorBidi" w:hAnsiTheme="majorBidi" w:cstheme="majorBidi"/>
              </w:rPr>
              <w:t xml:space="preserve">culture characteristics are long-term orientation, emphasis on the reward of the future, consistency, and frugality </w:t>
            </w:r>
            <w:r>
              <w:rPr>
                <w:rFonts w:asciiTheme="majorBidi" w:hAnsiTheme="majorBidi" w:cstheme="majorBidi"/>
                <w:lang w:val="en-US"/>
              </w:rPr>
              <w:t>(</w:t>
            </w:r>
            <w:proofErr w:type="spellStart"/>
            <w:r>
              <w:rPr>
                <w:rFonts w:asciiTheme="majorBidi" w:hAnsiTheme="majorBidi" w:cstheme="majorBidi"/>
                <w:lang w:val="en-US"/>
              </w:rPr>
              <w:t>Bluszcz</w:t>
            </w:r>
            <w:proofErr w:type="spellEnd"/>
            <w:r>
              <w:rPr>
                <w:rFonts w:asciiTheme="majorBidi" w:hAnsiTheme="majorBidi" w:cstheme="majorBidi"/>
                <w:lang w:val="en-US"/>
              </w:rPr>
              <w:t>, 2016)</w:t>
            </w:r>
            <w:r>
              <w:rPr>
                <w:rFonts w:asciiTheme="majorBidi" w:hAnsiTheme="majorBidi" w:cstheme="majorBidi"/>
              </w:rPr>
              <w:t>.</w:t>
            </w:r>
          </w:p>
        </w:tc>
        <w:tc>
          <w:tcPr>
            <w:tcW w:w="3261"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In terms of </w:t>
            </w:r>
            <w:r>
              <w:rPr>
                <w:rFonts w:asciiTheme="majorBidi" w:hAnsiTheme="majorBidi" w:cstheme="majorBidi"/>
                <w:lang w:val="en-US"/>
              </w:rPr>
              <w:t xml:space="preserve">hotel </w:t>
            </w:r>
            <w:r>
              <w:rPr>
                <w:rFonts w:asciiTheme="majorBidi" w:hAnsiTheme="majorBidi" w:cstheme="majorBidi"/>
              </w:rPr>
              <w:t>culture, England is more short-term oriented than Germany, where traditions, fast results and keeping the status quo of individuals are more valued (</w:t>
            </w:r>
            <w:proofErr w:type="spellStart"/>
            <w:r>
              <w:rPr>
                <w:rFonts w:asciiTheme="majorBidi" w:hAnsiTheme="majorBidi" w:cstheme="majorBidi"/>
              </w:rPr>
              <w:t>Beugelsdijk</w:t>
            </w:r>
            <w:proofErr w:type="spellEnd"/>
            <w:r>
              <w:rPr>
                <w:rFonts w:asciiTheme="majorBidi" w:hAnsiTheme="majorBidi" w:cstheme="majorBidi"/>
              </w:rPr>
              <w:t xml:space="preserve"> et al., 2015).</w:t>
            </w:r>
          </w:p>
        </w:tc>
      </w:tr>
    </w:tbl>
    <w:p w:rsidR="00CE29B5" w:rsidRDefault="00FC1DE4">
      <w:pPr>
        <w:spacing w:line="360" w:lineRule="auto"/>
        <w:jc w:val="center"/>
        <w:rPr>
          <w:rFonts w:asciiTheme="majorBidi" w:hAnsiTheme="majorBidi" w:cstheme="majorBidi"/>
          <w:b/>
          <w:bCs/>
        </w:rPr>
      </w:pPr>
      <w:r>
        <w:rPr>
          <w:rFonts w:asciiTheme="majorBidi" w:hAnsiTheme="majorBidi" w:cstheme="majorBidi"/>
        </w:rPr>
        <w:lastRenderedPageBreak/>
        <w:fldChar w:fldCharType="begin"/>
      </w:r>
      <w:r>
        <w:rPr>
          <w:rFonts w:asciiTheme="majorBidi" w:hAnsiTheme="majorBidi" w:cstheme="majorBidi"/>
        </w:rPr>
        <w:instrText xml:space="preserve"> INCLUDEPICTURE "https://ivypanda.com/essays/wp-content/uploads/2020/10/134728_2.png" \* MERGEFORMATINET </w:instrText>
      </w:r>
      <w:r>
        <w:rPr>
          <w:rFonts w:asciiTheme="majorBidi" w:hAnsiTheme="majorBidi" w:cstheme="majorBidi"/>
        </w:rPr>
        <w:fldChar w:fldCharType="separate"/>
      </w:r>
      <w:r>
        <w:rPr>
          <w:rFonts w:asciiTheme="majorBidi" w:hAnsiTheme="majorBidi" w:cstheme="majorBidi"/>
          <w:noProof/>
        </w:rPr>
        <w:drawing>
          <wp:inline distT="0" distB="0" distL="0" distR="0">
            <wp:extent cx="5731510" cy="3803650"/>
            <wp:effectExtent l="0" t="0" r="0" b="6350"/>
            <wp:docPr id="632737524" name="Picture 3" descr="International Marketing Decisions: Culture Significance - 1553 Words |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737524" name="Picture 3" descr="International Marketing Decisions: Culture Significance - 1553 Words |  Essay Examp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3803650"/>
                    </a:xfrm>
                    <a:prstGeom prst="rect">
                      <a:avLst/>
                    </a:prstGeom>
                    <a:noFill/>
                    <a:ln>
                      <a:noFill/>
                    </a:ln>
                  </pic:spPr>
                </pic:pic>
              </a:graphicData>
            </a:graphic>
          </wp:inline>
        </w:drawing>
      </w:r>
      <w:r>
        <w:rPr>
          <w:rFonts w:asciiTheme="majorBidi" w:hAnsiTheme="majorBidi" w:cstheme="majorBidi"/>
        </w:rPr>
        <w:fldChar w:fldCharType="end"/>
      </w:r>
    </w:p>
    <w:p w:rsidR="00CE29B5" w:rsidRDefault="00FC1DE4">
      <w:pPr>
        <w:spacing w:line="360" w:lineRule="auto"/>
        <w:jc w:val="center"/>
        <w:rPr>
          <w:rFonts w:asciiTheme="majorBidi" w:hAnsiTheme="majorBidi" w:cstheme="majorBidi"/>
          <w:b/>
          <w:bCs/>
        </w:rPr>
      </w:pPr>
      <w:r>
        <w:rPr>
          <w:rFonts w:asciiTheme="majorBidi" w:hAnsiTheme="majorBidi" w:cstheme="majorBidi"/>
          <w:b/>
          <w:bCs/>
        </w:rPr>
        <w:t xml:space="preserve">Source: </w:t>
      </w:r>
      <w:r>
        <w:rPr>
          <w:rFonts w:asciiTheme="majorBidi" w:hAnsiTheme="majorBidi" w:cstheme="majorBidi"/>
          <w:b/>
          <w:bCs/>
          <w:lang w:val="en-US"/>
        </w:rPr>
        <w:t>(HOESL, no date)</w:t>
      </w:r>
      <w:r>
        <w:rPr>
          <w:rFonts w:asciiTheme="majorBidi" w:hAnsiTheme="majorBidi" w:cstheme="majorBidi"/>
          <w:b/>
          <w:bCs/>
        </w:rPr>
        <w:fldChar w:fldCharType="begin"/>
      </w:r>
      <w:r>
        <w:rPr>
          <w:rFonts w:asciiTheme="majorBidi" w:hAnsiTheme="majorBidi" w:cstheme="majorBidi"/>
          <w:b/>
          <w:bCs/>
        </w:rPr>
        <w:instrText xml:space="preserve"> INCLUDEPICTURE "https://comm220sullivan.wordpress.com/wp-content/uploads/2014/10/germany.jpg" \* MERGEFORMATINET </w:instrText>
      </w:r>
      <w:r>
        <w:rPr>
          <w:rFonts w:asciiTheme="majorBidi" w:hAnsiTheme="majorBidi" w:cstheme="majorBidi"/>
          <w:b/>
          <w:bCs/>
        </w:rPr>
        <w:fldChar w:fldCharType="separate"/>
      </w:r>
      <w:r>
        <w:rPr>
          <w:rFonts w:asciiTheme="majorBidi" w:hAnsiTheme="majorBidi" w:cstheme="majorBidi"/>
          <w:b/>
          <w:bCs/>
        </w:rPr>
        <w:fldChar w:fldCharType="end"/>
      </w:r>
    </w:p>
    <w:tbl>
      <w:tblPr>
        <w:tblStyle w:val="GridTable4-Accent11"/>
        <w:tblW w:w="0" w:type="auto"/>
        <w:tblLook w:val="04A0" w:firstRow="1" w:lastRow="0" w:firstColumn="1" w:lastColumn="0" w:noHBand="0" w:noVBand="1"/>
      </w:tblPr>
      <w:tblGrid>
        <w:gridCol w:w="3005"/>
        <w:gridCol w:w="3005"/>
        <w:gridCol w:w="3006"/>
      </w:tblGrid>
      <w:tr w:rsidR="00CE29B5" w:rsidTr="00CE29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CE29B5" w:rsidRDefault="00CE29B5">
            <w:pPr>
              <w:spacing w:line="360" w:lineRule="auto"/>
              <w:jc w:val="both"/>
              <w:rPr>
                <w:rFonts w:asciiTheme="majorBidi" w:hAnsiTheme="majorBidi" w:cstheme="majorBidi"/>
                <w:b w:val="0"/>
                <w:bCs w:val="0"/>
              </w:rPr>
            </w:pPr>
          </w:p>
        </w:tc>
        <w:tc>
          <w:tcPr>
            <w:tcW w:w="3005" w:type="dxa"/>
          </w:tcPr>
          <w:p w:rsidR="00CE29B5" w:rsidRDefault="00FC1DE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b w:val="0"/>
                <w:bCs w:val="0"/>
              </w:rPr>
              <w:t>Germany</w:t>
            </w:r>
          </w:p>
        </w:tc>
        <w:tc>
          <w:tcPr>
            <w:tcW w:w="3006" w:type="dxa"/>
          </w:tcPr>
          <w:p w:rsidR="00CE29B5" w:rsidRDefault="00FC1DE4">
            <w:pPr>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b w:val="0"/>
                <w:bCs w:val="0"/>
              </w:rPr>
              <w:t>England</w:t>
            </w:r>
          </w:p>
        </w:tc>
      </w:tr>
      <w:tr w:rsidR="00CE29B5" w:rsidTr="00CE29B5">
        <w:tc>
          <w:tcPr>
            <w:cnfStyle w:val="001000000000" w:firstRow="0" w:lastRow="0" w:firstColumn="1" w:lastColumn="0" w:oddVBand="0" w:evenVBand="0" w:oddHBand="0" w:evenHBand="0" w:firstRowFirstColumn="0" w:firstRowLastColumn="0" w:lastRowFirstColumn="0" w:lastRowLastColumn="0"/>
            <w:tcW w:w="3005" w:type="dxa"/>
            <w:shd w:val="clear" w:color="auto" w:fill="C1E4F5" w:themeFill="accent1" w:themeFillTint="33"/>
          </w:tcPr>
          <w:p w:rsidR="00CE29B5" w:rsidRDefault="00FC1DE4">
            <w:pPr>
              <w:spacing w:line="360" w:lineRule="auto"/>
              <w:jc w:val="both"/>
              <w:rPr>
                <w:rFonts w:asciiTheme="majorBidi" w:hAnsiTheme="majorBidi" w:cstheme="majorBidi"/>
              </w:rPr>
            </w:pPr>
            <w:r>
              <w:rPr>
                <w:rFonts w:asciiTheme="majorBidi" w:hAnsiTheme="majorBidi" w:cstheme="majorBidi"/>
                <w:b w:val="0"/>
                <w:bCs w:val="0"/>
              </w:rPr>
              <w:t>Assertiveness</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Germany (High)</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England (Moderate)</w:t>
            </w:r>
          </w:p>
        </w:tc>
        <w:tc>
          <w:tcPr>
            <w:tcW w:w="3005"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lang w:val="en-US"/>
              </w:rPr>
              <w:t>Hospitality c</w:t>
            </w:r>
            <w:proofErr w:type="spellStart"/>
            <w:r>
              <w:rPr>
                <w:rFonts w:asciiTheme="majorBidi" w:hAnsiTheme="majorBidi" w:cstheme="majorBidi"/>
              </w:rPr>
              <w:t>ulture</w:t>
            </w:r>
            <w:proofErr w:type="spellEnd"/>
            <w:r>
              <w:rPr>
                <w:rFonts w:asciiTheme="majorBidi" w:hAnsiTheme="majorBidi" w:cstheme="majorBidi"/>
              </w:rPr>
              <w:t xml:space="preserve"> of Germany reflects the fact that the country’s population appreciates self-assertiveness and a direct approach to decision-making, including in communication and when </w:t>
            </w:r>
            <w:r>
              <w:rPr>
                <w:rFonts w:asciiTheme="majorBidi" w:hAnsiTheme="majorBidi" w:cstheme="majorBidi"/>
              </w:rPr>
              <w:t>providing leadership.  (</w:t>
            </w:r>
            <w:proofErr w:type="spellStart"/>
            <w:r>
              <w:rPr>
                <w:rFonts w:asciiTheme="majorBidi" w:hAnsiTheme="majorBidi" w:cstheme="majorBidi"/>
              </w:rPr>
              <w:t>Brodbeck</w:t>
            </w:r>
            <w:proofErr w:type="spellEnd"/>
            <w:r>
              <w:rPr>
                <w:rFonts w:asciiTheme="majorBidi" w:hAnsiTheme="majorBidi" w:cstheme="majorBidi"/>
              </w:rPr>
              <w:t xml:space="preserve"> et al., 2002).</w:t>
            </w:r>
          </w:p>
        </w:tc>
        <w:tc>
          <w:tcPr>
            <w:tcW w:w="3006"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The English culture is relatively low on assertiveness or assertiveness with appropriate amounts of appropriateness when it comes to leadership and communication (</w:t>
            </w:r>
            <w:proofErr w:type="spellStart"/>
            <w:r>
              <w:rPr>
                <w:rFonts w:asciiTheme="majorBidi" w:hAnsiTheme="majorBidi" w:cstheme="majorBidi"/>
              </w:rPr>
              <w:t>Bresnahan</w:t>
            </w:r>
            <w:proofErr w:type="spellEnd"/>
            <w:r>
              <w:rPr>
                <w:rFonts w:asciiTheme="majorBidi" w:hAnsiTheme="majorBidi" w:cstheme="majorBidi"/>
              </w:rPr>
              <w:t xml:space="preserve"> et al., 2002).</w:t>
            </w:r>
          </w:p>
        </w:tc>
      </w:tr>
      <w:tr w:rsidR="00CE29B5" w:rsidTr="00CE29B5">
        <w:tc>
          <w:tcPr>
            <w:cnfStyle w:val="001000000000" w:firstRow="0" w:lastRow="0" w:firstColumn="1" w:lastColumn="0" w:oddVBand="0" w:evenVBand="0" w:oddHBand="0" w:evenHBand="0" w:firstRowFirstColumn="0" w:firstRowLastColumn="0" w:lastRowFirstColumn="0" w:lastRowLastColumn="0"/>
            <w:tcW w:w="3005" w:type="dxa"/>
          </w:tcPr>
          <w:p w:rsidR="00CE29B5" w:rsidRDefault="00FC1DE4">
            <w:pPr>
              <w:spacing w:line="360" w:lineRule="auto"/>
              <w:jc w:val="both"/>
              <w:rPr>
                <w:rFonts w:asciiTheme="majorBidi" w:hAnsiTheme="majorBidi" w:cstheme="majorBidi"/>
              </w:rPr>
            </w:pPr>
            <w:r>
              <w:rPr>
                <w:rFonts w:asciiTheme="majorBidi" w:hAnsiTheme="majorBidi" w:cstheme="majorBidi"/>
                <w:b w:val="0"/>
                <w:bCs w:val="0"/>
              </w:rPr>
              <w:t>Future Orientation</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Germany (High)</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England (Moderate)</w:t>
            </w:r>
          </w:p>
        </w:tc>
        <w:tc>
          <w:tcPr>
            <w:tcW w:w="3005"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Culturally, Germans </w:t>
            </w:r>
            <w:r>
              <w:rPr>
                <w:rFonts w:asciiTheme="majorBidi" w:hAnsiTheme="majorBidi" w:cstheme="majorBidi"/>
                <w:lang w:val="en-US"/>
              </w:rPr>
              <w:t xml:space="preserve">hospitality sector </w:t>
            </w:r>
            <w:r>
              <w:rPr>
                <w:rFonts w:asciiTheme="majorBidi" w:hAnsiTheme="majorBidi" w:cstheme="majorBidi"/>
              </w:rPr>
              <w:t>adhere to the long-term orientation of Hofstede, by stressing-out planning and emphasizing the outcome in far future (</w:t>
            </w:r>
            <w:proofErr w:type="spellStart"/>
            <w:r>
              <w:rPr>
                <w:rFonts w:asciiTheme="majorBidi" w:hAnsiTheme="majorBidi" w:cstheme="majorBidi"/>
              </w:rPr>
              <w:t>Brodbeck</w:t>
            </w:r>
            <w:proofErr w:type="spellEnd"/>
            <w:r>
              <w:rPr>
                <w:rFonts w:asciiTheme="majorBidi" w:hAnsiTheme="majorBidi" w:cstheme="majorBidi"/>
              </w:rPr>
              <w:t xml:space="preserve"> et al., 2002).</w:t>
            </w:r>
          </w:p>
        </w:tc>
        <w:tc>
          <w:tcPr>
            <w:tcW w:w="3006" w:type="dxa"/>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England maintains a relative balance as it attends to planning while embracing the here and now and looking at what can be accomplished in the short term (</w:t>
            </w:r>
            <w:proofErr w:type="spellStart"/>
            <w:r>
              <w:rPr>
                <w:rFonts w:asciiTheme="majorBidi" w:hAnsiTheme="majorBidi" w:cstheme="majorBidi"/>
              </w:rPr>
              <w:t>Bresnahan</w:t>
            </w:r>
            <w:proofErr w:type="spellEnd"/>
            <w:r>
              <w:rPr>
                <w:rFonts w:asciiTheme="majorBidi" w:hAnsiTheme="majorBidi" w:cstheme="majorBidi"/>
              </w:rPr>
              <w:t xml:space="preserve"> et al., 2002).</w:t>
            </w:r>
          </w:p>
        </w:tc>
      </w:tr>
      <w:tr w:rsidR="00CE29B5" w:rsidTr="00CE29B5">
        <w:tc>
          <w:tcPr>
            <w:cnfStyle w:val="001000000000" w:firstRow="0" w:lastRow="0" w:firstColumn="1" w:lastColumn="0" w:oddVBand="0" w:evenVBand="0" w:oddHBand="0" w:evenHBand="0" w:firstRowFirstColumn="0" w:firstRowLastColumn="0" w:lastRowFirstColumn="0" w:lastRowLastColumn="0"/>
            <w:tcW w:w="3005" w:type="dxa"/>
            <w:shd w:val="clear" w:color="auto" w:fill="C1E4F5" w:themeFill="accent1" w:themeFillTint="33"/>
          </w:tcPr>
          <w:p w:rsidR="00CE29B5" w:rsidRDefault="00FC1DE4">
            <w:pPr>
              <w:spacing w:line="360" w:lineRule="auto"/>
              <w:jc w:val="both"/>
              <w:rPr>
                <w:rFonts w:asciiTheme="majorBidi" w:hAnsiTheme="majorBidi" w:cstheme="majorBidi"/>
              </w:rPr>
            </w:pPr>
            <w:r>
              <w:rPr>
                <w:rFonts w:asciiTheme="majorBidi" w:hAnsiTheme="majorBidi" w:cstheme="majorBidi"/>
                <w:b w:val="0"/>
                <w:bCs w:val="0"/>
              </w:rPr>
              <w:lastRenderedPageBreak/>
              <w:t>Gender Egalitarianism</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Germany (Moderate)</w:t>
            </w:r>
          </w:p>
          <w:p w:rsidR="00CE29B5" w:rsidRDefault="00FC1DE4">
            <w:pPr>
              <w:spacing w:line="360" w:lineRule="auto"/>
              <w:jc w:val="both"/>
              <w:rPr>
                <w:rFonts w:asciiTheme="majorBidi" w:hAnsiTheme="majorBidi" w:cstheme="majorBidi"/>
                <w:b w:val="0"/>
                <w:bCs w:val="0"/>
              </w:rPr>
            </w:pPr>
            <w:r>
              <w:rPr>
                <w:rFonts w:asciiTheme="majorBidi" w:hAnsiTheme="majorBidi" w:cstheme="majorBidi"/>
              </w:rPr>
              <w:t>England (High)</w:t>
            </w:r>
          </w:p>
        </w:tc>
        <w:tc>
          <w:tcPr>
            <w:tcW w:w="3005"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 xml:space="preserve">The gender egalitarianism in Germany </w:t>
            </w:r>
            <w:r>
              <w:rPr>
                <w:rFonts w:asciiTheme="majorBidi" w:hAnsiTheme="majorBidi" w:cstheme="majorBidi"/>
                <w:lang w:val="en-US"/>
              </w:rPr>
              <w:t xml:space="preserve">for hospitality sector </w:t>
            </w:r>
            <w:r>
              <w:rPr>
                <w:rFonts w:asciiTheme="majorBidi" w:hAnsiTheme="majorBidi" w:cstheme="majorBidi"/>
              </w:rPr>
              <w:t>can be considered moderate with a country that has made substantial advancements towards gender equality but is still far from breaking the barriers of traditionalism  (</w:t>
            </w:r>
            <w:proofErr w:type="spellStart"/>
            <w:r>
              <w:rPr>
                <w:rFonts w:asciiTheme="majorBidi" w:hAnsiTheme="majorBidi" w:cstheme="majorBidi"/>
              </w:rPr>
              <w:t>Brodbeck</w:t>
            </w:r>
            <w:proofErr w:type="spellEnd"/>
            <w:r>
              <w:rPr>
                <w:rFonts w:asciiTheme="majorBidi" w:hAnsiTheme="majorBidi" w:cstheme="majorBidi"/>
              </w:rPr>
              <w:t xml:space="preserve"> et al., 2002).</w:t>
            </w:r>
          </w:p>
        </w:tc>
        <w:tc>
          <w:tcPr>
            <w:tcW w:w="3006" w:type="dxa"/>
            <w:shd w:val="clear" w:color="auto" w:fill="C1E4F5" w:themeFill="accent1" w:themeFillTint="33"/>
          </w:tcPr>
          <w:p w:rsidR="00CE29B5" w:rsidRDefault="00FC1DE4">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Theme="majorBidi" w:hAnsiTheme="majorBidi" w:cstheme="majorBidi"/>
              </w:rPr>
              <w:t>It is much more likely that England was more gender egalitarian</w:t>
            </w:r>
            <w:r>
              <w:rPr>
                <w:rFonts w:asciiTheme="majorBidi" w:hAnsiTheme="majorBidi" w:cstheme="majorBidi"/>
                <w:lang w:val="en-US"/>
              </w:rPr>
              <w:t xml:space="preserve"> in hospitality sector</w:t>
            </w:r>
            <w:r>
              <w:rPr>
                <w:rFonts w:asciiTheme="majorBidi" w:hAnsiTheme="majorBidi" w:cstheme="majorBidi"/>
              </w:rPr>
              <w:t>, meaning that it has actively pursued the policy of equal rights for both genders and minimized gender roles to a larger extent as compared to Germany.</w:t>
            </w:r>
          </w:p>
        </w:tc>
      </w:tr>
    </w:tbl>
    <w:p w:rsidR="00CE29B5" w:rsidRDefault="00CE29B5">
      <w:pPr>
        <w:spacing w:line="360" w:lineRule="auto"/>
        <w:jc w:val="both"/>
        <w:rPr>
          <w:rFonts w:asciiTheme="majorBidi" w:hAnsiTheme="majorBidi" w:cstheme="majorBidi"/>
        </w:rPr>
      </w:pPr>
    </w:p>
    <w:p w:rsidR="00CE29B5" w:rsidRDefault="00FC1DE4">
      <w:pPr>
        <w:pStyle w:val="Heading1"/>
        <w:rPr>
          <w:rFonts w:asciiTheme="majorBidi" w:hAnsiTheme="majorBidi"/>
          <w:b/>
          <w:bCs/>
          <w:color w:val="000000" w:themeColor="text1"/>
          <w:sz w:val="24"/>
          <w:szCs w:val="24"/>
        </w:rPr>
      </w:pPr>
      <w:r>
        <w:rPr>
          <w:rFonts w:asciiTheme="majorBidi" w:hAnsiTheme="majorBidi"/>
          <w:b/>
          <w:bCs/>
          <w:color w:val="000000" w:themeColor="text1"/>
          <w:sz w:val="24"/>
          <w:szCs w:val="24"/>
        </w:rPr>
        <w:fldChar w:fldCharType="begin"/>
      </w:r>
      <w:r>
        <w:rPr>
          <w:rFonts w:asciiTheme="majorBidi" w:hAnsiTheme="majorBidi"/>
          <w:b/>
          <w:bCs/>
          <w:color w:val="000000" w:themeColor="text1"/>
          <w:sz w:val="24"/>
          <w:szCs w:val="24"/>
        </w:rPr>
        <w:instrText xml:space="preserve"> INCLUDEPICTURE "https://cultureinworkplace.com/wp-content/uploads/2023/04/Screenshot-2023-04-24-at-10.15.03-AM.png" \* MERGEFORMATINET </w:instrText>
      </w:r>
      <w:r>
        <w:rPr>
          <w:rFonts w:asciiTheme="majorBidi" w:hAnsiTheme="majorBidi"/>
          <w:b/>
          <w:bCs/>
          <w:color w:val="000000" w:themeColor="text1"/>
          <w:sz w:val="24"/>
          <w:szCs w:val="24"/>
        </w:rPr>
        <w:fldChar w:fldCharType="separate"/>
      </w:r>
      <w:r>
        <w:rPr>
          <w:rFonts w:asciiTheme="majorBidi" w:hAnsiTheme="majorBidi"/>
          <w:b/>
          <w:bCs/>
          <w:color w:val="000000" w:themeColor="text1"/>
          <w:sz w:val="24"/>
          <w:szCs w:val="24"/>
        </w:rPr>
        <w:fldChar w:fldCharType="end"/>
      </w:r>
      <w:bookmarkStart w:id="3" w:name="_Toc167582180"/>
      <w:r>
        <w:rPr>
          <w:rFonts w:asciiTheme="majorBidi" w:hAnsiTheme="majorBidi"/>
          <w:b/>
          <w:bCs/>
          <w:color w:val="000000" w:themeColor="text1"/>
          <w:sz w:val="24"/>
          <w:szCs w:val="24"/>
        </w:rPr>
        <w:t>Challenges</w:t>
      </w:r>
      <w:bookmarkEnd w:id="3"/>
    </w:p>
    <w:p w:rsidR="00CE29B5" w:rsidRDefault="00FC1DE4">
      <w:pPr>
        <w:spacing w:line="360" w:lineRule="auto"/>
        <w:jc w:val="both"/>
        <w:rPr>
          <w:rFonts w:asciiTheme="majorBidi" w:hAnsiTheme="majorBidi" w:cstheme="majorBidi"/>
        </w:rPr>
      </w:pPr>
      <w:r>
        <w:rPr>
          <w:rFonts w:asciiTheme="majorBidi" w:hAnsiTheme="majorBidi" w:cstheme="majorBidi"/>
        </w:rPr>
        <w:t>Different norms of communication shall cause a discrepancy. For instance, while Germans are very frank in their dealing</w:t>
      </w:r>
      <w:r>
        <w:rPr>
          <w:rFonts w:asciiTheme="majorBidi" w:hAnsiTheme="majorBidi" w:cstheme="majorBidi"/>
          <w:lang w:val="en-US"/>
        </w:rPr>
        <w:t xml:space="preserve"> in hotels</w:t>
      </w:r>
      <w:r>
        <w:rPr>
          <w:rFonts w:asciiTheme="majorBidi" w:hAnsiTheme="majorBidi" w:cstheme="majorBidi"/>
        </w:rPr>
        <w:t xml:space="preserve">, the British are not straightforward in their communication. When it comes to decision-making cultural differences represent another challenge that can slow down the process. A possible disadvantage of this approach could be in differences between Germans’ attention to structured planning </w:t>
      </w:r>
      <w:r>
        <w:rPr>
          <w:rFonts w:asciiTheme="majorBidi" w:hAnsiTheme="majorBidi" w:cstheme="majorBidi"/>
          <w:lang w:val="en-US"/>
        </w:rPr>
        <w:t xml:space="preserve">in hotels </w:t>
      </w:r>
      <w:r>
        <w:rPr>
          <w:rFonts w:asciiTheme="majorBidi" w:hAnsiTheme="majorBidi" w:cstheme="majorBidi"/>
        </w:rPr>
        <w:t>and the British focus on adaptability (</w:t>
      </w:r>
      <w:proofErr w:type="spellStart"/>
      <w:r>
        <w:rPr>
          <w:rFonts w:asciiTheme="majorBidi" w:hAnsiTheme="majorBidi" w:cstheme="majorBidi"/>
        </w:rPr>
        <w:t>Fietz</w:t>
      </w:r>
      <w:proofErr w:type="spellEnd"/>
      <w:r>
        <w:rPr>
          <w:rFonts w:asciiTheme="majorBidi" w:hAnsiTheme="majorBidi" w:cstheme="majorBidi"/>
        </w:rPr>
        <w:t xml:space="preserve"> et al., 2021). Conformity to physical appearance norms can be influenced by the media and comparison with others or peers. German formal leadership </w:t>
      </w:r>
      <w:r>
        <w:rPr>
          <w:rFonts w:asciiTheme="majorBidi" w:hAnsiTheme="majorBidi" w:cstheme="majorBidi"/>
          <w:lang w:val="en-US"/>
        </w:rPr>
        <w:t>in hotel</w:t>
      </w:r>
      <w:r>
        <w:rPr>
          <w:rFonts w:asciiTheme="majorBidi" w:hAnsiTheme="majorBidi" w:cstheme="majorBidi"/>
          <w:lang w:val="en-US"/>
        </w:rPr>
        <w:t xml:space="preserve">s </w:t>
      </w:r>
      <w:r>
        <w:rPr>
          <w:rFonts w:asciiTheme="majorBidi" w:hAnsiTheme="majorBidi" w:cstheme="majorBidi"/>
        </w:rPr>
        <w:t xml:space="preserve">can sometimes hamper the British more liberal approach (Schneider &amp; </w:t>
      </w:r>
      <w:proofErr w:type="spellStart"/>
      <w:r>
        <w:rPr>
          <w:rFonts w:asciiTheme="majorBidi" w:hAnsiTheme="majorBidi" w:cstheme="majorBidi"/>
        </w:rPr>
        <w:t>Littrell</w:t>
      </w:r>
      <w:proofErr w:type="spellEnd"/>
      <w:r>
        <w:rPr>
          <w:rFonts w:asciiTheme="majorBidi" w:hAnsiTheme="majorBidi" w:cstheme="majorBidi"/>
        </w:rPr>
        <w:t>, 2003).</w:t>
      </w:r>
    </w:p>
    <w:p w:rsidR="00CE29B5" w:rsidRDefault="00FC1DE4">
      <w:pPr>
        <w:pStyle w:val="Heading1"/>
        <w:rPr>
          <w:rFonts w:asciiTheme="majorBidi" w:hAnsiTheme="majorBidi"/>
          <w:b/>
          <w:bCs/>
          <w:color w:val="000000" w:themeColor="text1"/>
          <w:sz w:val="24"/>
          <w:szCs w:val="24"/>
        </w:rPr>
      </w:pPr>
      <w:bookmarkStart w:id="4" w:name="_Toc167582181"/>
      <w:r>
        <w:rPr>
          <w:rFonts w:asciiTheme="majorBidi" w:hAnsiTheme="majorBidi"/>
          <w:b/>
          <w:bCs/>
          <w:color w:val="000000" w:themeColor="text1"/>
          <w:sz w:val="24"/>
          <w:szCs w:val="24"/>
        </w:rPr>
        <w:t>Recommendations</w:t>
      </w:r>
      <w:bookmarkEnd w:id="4"/>
    </w:p>
    <w:p w:rsidR="00CE29B5" w:rsidRDefault="00FC1DE4">
      <w:pPr>
        <w:spacing w:line="360" w:lineRule="auto"/>
        <w:jc w:val="both"/>
        <w:rPr>
          <w:rFonts w:asciiTheme="majorBidi" w:hAnsiTheme="majorBidi" w:cstheme="majorBidi"/>
        </w:rPr>
      </w:pPr>
      <w:r>
        <w:rPr>
          <w:rFonts w:asciiTheme="majorBidi" w:hAnsiTheme="majorBidi" w:cstheme="majorBidi"/>
        </w:rPr>
        <w:t xml:space="preserve">According to the below-discussed recommendations, it will be possible to effectively address intercultural issues within the Multicultural Hotel &amp; Spa and create a </w:t>
      </w:r>
      <w:proofErr w:type="spellStart"/>
      <w:r>
        <w:rPr>
          <w:rFonts w:asciiTheme="majorBidi" w:hAnsiTheme="majorBidi" w:cstheme="majorBidi"/>
        </w:rPr>
        <w:t>favorable</w:t>
      </w:r>
      <w:proofErr w:type="spellEnd"/>
      <w:r>
        <w:rPr>
          <w:rFonts w:asciiTheme="majorBidi" w:hAnsiTheme="majorBidi" w:cstheme="majorBidi"/>
        </w:rPr>
        <w:t xml:space="preserve"> perception of diversity among its staff and guests.</w:t>
      </w:r>
    </w:p>
    <w:p w:rsidR="00CE29B5" w:rsidRDefault="00FC1DE4">
      <w:pPr>
        <w:pStyle w:val="ListParagraph"/>
        <w:numPr>
          <w:ilvl w:val="0"/>
          <w:numId w:val="1"/>
        </w:numPr>
        <w:spacing w:line="360" w:lineRule="auto"/>
        <w:rPr>
          <w:rFonts w:asciiTheme="majorBidi" w:hAnsiTheme="majorBidi" w:cstheme="majorBidi"/>
        </w:rPr>
      </w:pPr>
      <w:r>
        <w:rPr>
          <w:rFonts w:asciiTheme="majorBidi" w:hAnsiTheme="majorBidi" w:cstheme="majorBidi"/>
        </w:rPr>
        <w:t>It is important to establish rigorous training sessions that would help staff members become sensitized on cultural diversity.</w:t>
      </w:r>
    </w:p>
    <w:p w:rsidR="00CE29B5" w:rsidRDefault="00FC1DE4">
      <w:pPr>
        <w:pStyle w:val="ListParagraph"/>
        <w:numPr>
          <w:ilvl w:val="0"/>
          <w:numId w:val="1"/>
        </w:numPr>
        <w:spacing w:line="360" w:lineRule="auto"/>
        <w:jc w:val="both"/>
        <w:rPr>
          <w:rFonts w:asciiTheme="majorBidi" w:hAnsiTheme="majorBidi" w:cstheme="majorBidi"/>
        </w:rPr>
      </w:pPr>
      <w:r>
        <w:rPr>
          <w:rFonts w:asciiTheme="majorBidi" w:hAnsiTheme="majorBidi" w:cstheme="majorBidi"/>
        </w:rPr>
        <w:t xml:space="preserve">Encourage free speech where workers can easily come out and speak to the management for a change without considering the </w:t>
      </w:r>
      <w:proofErr w:type="spellStart"/>
      <w:r>
        <w:rPr>
          <w:rFonts w:asciiTheme="majorBidi" w:hAnsiTheme="majorBidi" w:cstheme="majorBidi"/>
        </w:rPr>
        <w:t>color</w:t>
      </w:r>
      <w:proofErr w:type="spellEnd"/>
      <w:r>
        <w:rPr>
          <w:rFonts w:asciiTheme="majorBidi" w:hAnsiTheme="majorBidi" w:cstheme="majorBidi"/>
        </w:rPr>
        <w:t xml:space="preserve"> or race of the management.</w:t>
      </w:r>
    </w:p>
    <w:p w:rsidR="00CE29B5" w:rsidRDefault="00FC1DE4">
      <w:pPr>
        <w:pStyle w:val="Heading1"/>
        <w:rPr>
          <w:rFonts w:asciiTheme="majorBidi" w:hAnsiTheme="majorBidi"/>
          <w:b/>
          <w:bCs/>
          <w:color w:val="000000" w:themeColor="text1"/>
          <w:sz w:val="24"/>
          <w:szCs w:val="24"/>
        </w:rPr>
      </w:pPr>
      <w:bookmarkStart w:id="5" w:name="_Toc167582182"/>
      <w:r>
        <w:rPr>
          <w:rFonts w:asciiTheme="majorBidi" w:hAnsiTheme="majorBidi"/>
          <w:b/>
          <w:bCs/>
          <w:color w:val="000000" w:themeColor="text1"/>
          <w:sz w:val="24"/>
          <w:szCs w:val="24"/>
        </w:rPr>
        <w:t>Conclusion</w:t>
      </w:r>
      <w:bookmarkEnd w:id="5"/>
    </w:p>
    <w:p w:rsidR="00CE29B5" w:rsidRDefault="00FC1DE4">
      <w:pPr>
        <w:spacing w:line="360" w:lineRule="auto"/>
        <w:jc w:val="both"/>
        <w:rPr>
          <w:rFonts w:asciiTheme="majorBidi" w:hAnsiTheme="majorBidi" w:cstheme="majorBidi"/>
        </w:rPr>
      </w:pPr>
      <w:r>
        <w:rPr>
          <w:rFonts w:asciiTheme="majorBidi" w:hAnsiTheme="majorBidi" w:cstheme="majorBidi"/>
        </w:rPr>
        <w:t>Through the implementation of proper cultural sensitivity training, adjustment of organizational decisions, and encouragement of free communication, the Multicultural Hotel &amp; Spa will be capable of handling intercultural concerns. These techniques will support diversity and improve satisfaction between the employees and guests, which leads to an effective outcome.</w:t>
      </w: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1A2E6F" w:rsidRDefault="001A2E6F">
      <w:pPr>
        <w:spacing w:line="360" w:lineRule="auto"/>
        <w:jc w:val="both"/>
        <w:rPr>
          <w:rFonts w:asciiTheme="majorBidi" w:hAnsiTheme="majorBidi" w:cstheme="majorBidi"/>
        </w:rPr>
      </w:pPr>
    </w:p>
    <w:p w:rsidR="001A2E6F" w:rsidRDefault="001A2E6F">
      <w:pPr>
        <w:spacing w:line="360" w:lineRule="auto"/>
        <w:jc w:val="both"/>
        <w:rPr>
          <w:rFonts w:asciiTheme="majorBidi" w:hAnsiTheme="majorBidi" w:cstheme="majorBidi"/>
        </w:rPr>
      </w:pPr>
    </w:p>
    <w:p w:rsidR="00CE29B5" w:rsidRDefault="00CE29B5">
      <w:pPr>
        <w:spacing w:line="360" w:lineRule="auto"/>
        <w:jc w:val="both"/>
        <w:rPr>
          <w:rFonts w:asciiTheme="majorBidi" w:hAnsiTheme="majorBidi" w:cstheme="majorBidi"/>
        </w:rPr>
      </w:pPr>
    </w:p>
    <w:p w:rsidR="00CE29B5" w:rsidRDefault="00FC1DE4">
      <w:pPr>
        <w:pStyle w:val="Heading1"/>
        <w:jc w:val="center"/>
        <w:rPr>
          <w:rFonts w:asciiTheme="majorBidi" w:hAnsiTheme="majorBidi"/>
          <w:b/>
          <w:bCs/>
          <w:color w:val="000000" w:themeColor="text1"/>
          <w:sz w:val="24"/>
          <w:szCs w:val="24"/>
        </w:rPr>
      </w:pPr>
      <w:bookmarkStart w:id="6" w:name="_Toc167582183"/>
      <w:r>
        <w:rPr>
          <w:rFonts w:asciiTheme="majorBidi" w:hAnsiTheme="majorBidi"/>
          <w:b/>
          <w:bCs/>
          <w:color w:val="000000" w:themeColor="text1"/>
          <w:sz w:val="24"/>
          <w:szCs w:val="24"/>
        </w:rPr>
        <w:t>References</w:t>
      </w:r>
      <w:bookmarkEnd w:id="6"/>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Beugelsdijk</w:t>
      </w:r>
      <w:proofErr w:type="spellEnd"/>
      <w:r>
        <w:rPr>
          <w:rFonts w:asciiTheme="majorBidi" w:eastAsia="Times New Roman" w:hAnsiTheme="majorBidi" w:cstheme="majorBidi"/>
          <w:kern w:val="0"/>
          <w:lang w:eastAsia="en-GB"/>
          <w14:ligatures w14:val="none"/>
        </w:rPr>
        <w:t xml:space="preserve">, S., </w:t>
      </w:r>
      <w:proofErr w:type="spellStart"/>
      <w:r>
        <w:rPr>
          <w:rFonts w:asciiTheme="majorBidi" w:eastAsia="Times New Roman" w:hAnsiTheme="majorBidi" w:cstheme="majorBidi"/>
          <w:kern w:val="0"/>
          <w:lang w:eastAsia="en-GB"/>
          <w14:ligatures w14:val="none"/>
        </w:rPr>
        <w:t>Maseland</w:t>
      </w:r>
      <w:proofErr w:type="spellEnd"/>
      <w:r>
        <w:rPr>
          <w:rFonts w:asciiTheme="majorBidi" w:eastAsia="Times New Roman" w:hAnsiTheme="majorBidi" w:cstheme="majorBidi"/>
          <w:kern w:val="0"/>
          <w:lang w:eastAsia="en-GB"/>
          <w14:ligatures w14:val="none"/>
        </w:rPr>
        <w:t xml:space="preserve">, R., &amp; Van Hoorn, A. (2015). Are Scores on Hofstede’s Dimensions of National Culture Stable over Time? A Cohort Analysis. </w:t>
      </w:r>
      <w:r>
        <w:rPr>
          <w:rFonts w:asciiTheme="majorBidi" w:eastAsia="Times New Roman" w:hAnsiTheme="majorBidi" w:cstheme="majorBidi"/>
          <w:i/>
          <w:iCs/>
          <w:kern w:val="0"/>
          <w:lang w:eastAsia="en-GB"/>
          <w14:ligatures w14:val="none"/>
        </w:rPr>
        <w:t>Global Strategy Journal</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5</w:t>
      </w:r>
      <w:r>
        <w:rPr>
          <w:rFonts w:asciiTheme="majorBidi" w:eastAsia="Times New Roman" w:hAnsiTheme="majorBidi" w:cstheme="majorBidi"/>
          <w:kern w:val="0"/>
          <w:lang w:eastAsia="en-GB"/>
          <w14:ligatures w14:val="none"/>
        </w:rPr>
        <w:t>(3), 223–240. https://doi.org/10.1002/gsj.1098</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Bluszcz</w:t>
      </w:r>
      <w:proofErr w:type="spellEnd"/>
      <w:r>
        <w:rPr>
          <w:rFonts w:asciiTheme="majorBidi" w:eastAsia="Times New Roman" w:hAnsiTheme="majorBidi" w:cstheme="majorBidi"/>
          <w:kern w:val="0"/>
          <w:lang w:eastAsia="en-GB"/>
          <w14:ligatures w14:val="none"/>
        </w:rPr>
        <w:t xml:space="preserve">, M. A. (2016). CULTURAL COMPARISON BETWEEN CHINA AND GERMANY BASED ON HOFSTEDE AND GLOBE. </w:t>
      </w:r>
      <w:proofErr w:type="spellStart"/>
      <w:r>
        <w:rPr>
          <w:rFonts w:asciiTheme="majorBidi" w:eastAsia="Times New Roman" w:hAnsiTheme="majorBidi" w:cstheme="majorBidi"/>
          <w:i/>
          <w:iCs/>
          <w:kern w:val="0"/>
          <w:lang w:eastAsia="en-GB"/>
          <w14:ligatures w14:val="none"/>
        </w:rPr>
        <w:t>Researchgate</w:t>
      </w:r>
      <w:proofErr w:type="spellEnd"/>
      <w:r>
        <w:rPr>
          <w:rFonts w:asciiTheme="majorBidi" w:eastAsia="Times New Roman" w:hAnsiTheme="majorBidi" w:cstheme="majorBidi"/>
          <w:kern w:val="0"/>
          <w:lang w:eastAsia="en-GB"/>
          <w14:ligatures w14:val="none"/>
        </w:rPr>
        <w:t>, pp. 58-68.</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Bresnahan</w:t>
      </w:r>
      <w:proofErr w:type="spellEnd"/>
      <w:r>
        <w:rPr>
          <w:rFonts w:asciiTheme="majorBidi" w:eastAsia="Times New Roman" w:hAnsiTheme="majorBidi" w:cstheme="majorBidi"/>
          <w:kern w:val="0"/>
          <w:lang w:eastAsia="en-GB"/>
          <w14:ligatures w14:val="none"/>
        </w:rPr>
        <w:t xml:space="preserve">, M. J., Shearman, S. M., Lee, S. Y., </w:t>
      </w:r>
      <w:proofErr w:type="spellStart"/>
      <w:r>
        <w:rPr>
          <w:rFonts w:asciiTheme="majorBidi" w:eastAsia="Times New Roman" w:hAnsiTheme="majorBidi" w:cstheme="majorBidi"/>
          <w:kern w:val="0"/>
          <w:lang w:eastAsia="en-GB"/>
          <w14:ligatures w14:val="none"/>
        </w:rPr>
        <w:t>Ohashi</w:t>
      </w:r>
      <w:proofErr w:type="spellEnd"/>
      <w:r>
        <w:rPr>
          <w:rFonts w:asciiTheme="majorBidi" w:eastAsia="Times New Roman" w:hAnsiTheme="majorBidi" w:cstheme="majorBidi"/>
          <w:kern w:val="0"/>
          <w:lang w:eastAsia="en-GB"/>
          <w14:ligatures w14:val="none"/>
        </w:rPr>
        <w:t xml:space="preserve">, R., &amp; Mosher, D. (2002). Personal and cultural differences in responding to criticism in three countries. </w:t>
      </w:r>
      <w:r>
        <w:rPr>
          <w:rFonts w:asciiTheme="majorBidi" w:eastAsia="Times New Roman" w:hAnsiTheme="majorBidi" w:cstheme="majorBidi"/>
          <w:i/>
          <w:iCs/>
          <w:kern w:val="0"/>
          <w:lang w:eastAsia="en-GB"/>
          <w14:ligatures w14:val="none"/>
        </w:rPr>
        <w:t>Asian Journal of Social Psychology</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5</w:t>
      </w:r>
      <w:r>
        <w:rPr>
          <w:rFonts w:asciiTheme="majorBidi" w:eastAsia="Times New Roman" w:hAnsiTheme="majorBidi" w:cstheme="majorBidi"/>
          <w:kern w:val="0"/>
          <w:lang w:eastAsia="en-GB"/>
          <w14:ligatures w14:val="none"/>
        </w:rPr>
        <w:t>(2), 93–105. https://doi.org/10.1111/1467-839x.00097</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Brodbeck</w:t>
      </w:r>
      <w:proofErr w:type="spellEnd"/>
      <w:r>
        <w:rPr>
          <w:rFonts w:asciiTheme="majorBidi" w:eastAsia="Times New Roman" w:hAnsiTheme="majorBidi" w:cstheme="majorBidi"/>
          <w:kern w:val="0"/>
          <w:lang w:eastAsia="en-GB"/>
          <w14:ligatures w14:val="none"/>
        </w:rPr>
        <w:t xml:space="preserve">, F. C., </w:t>
      </w:r>
      <w:proofErr w:type="spellStart"/>
      <w:r>
        <w:rPr>
          <w:rFonts w:asciiTheme="majorBidi" w:eastAsia="Times New Roman" w:hAnsiTheme="majorBidi" w:cstheme="majorBidi"/>
          <w:kern w:val="0"/>
          <w:lang w:eastAsia="en-GB"/>
          <w14:ligatures w14:val="none"/>
        </w:rPr>
        <w:t>Frese</w:t>
      </w:r>
      <w:proofErr w:type="spellEnd"/>
      <w:r>
        <w:rPr>
          <w:rFonts w:asciiTheme="majorBidi" w:eastAsia="Times New Roman" w:hAnsiTheme="majorBidi" w:cstheme="majorBidi"/>
          <w:kern w:val="0"/>
          <w:lang w:eastAsia="en-GB"/>
          <w14:ligatures w14:val="none"/>
        </w:rPr>
        <w:t xml:space="preserve">, M., &amp; </w:t>
      </w:r>
      <w:proofErr w:type="spellStart"/>
      <w:r>
        <w:rPr>
          <w:rFonts w:asciiTheme="majorBidi" w:eastAsia="Times New Roman" w:hAnsiTheme="majorBidi" w:cstheme="majorBidi"/>
          <w:kern w:val="0"/>
          <w:lang w:eastAsia="en-GB"/>
          <w14:ligatures w14:val="none"/>
        </w:rPr>
        <w:t>Javidan</w:t>
      </w:r>
      <w:proofErr w:type="spellEnd"/>
      <w:r>
        <w:rPr>
          <w:rFonts w:asciiTheme="majorBidi" w:eastAsia="Times New Roman" w:hAnsiTheme="majorBidi" w:cstheme="majorBidi"/>
          <w:kern w:val="0"/>
          <w:lang w:eastAsia="en-GB"/>
          <w14:ligatures w14:val="none"/>
        </w:rPr>
        <w:t xml:space="preserve">, M. (2002). Leadership made in Germany: Low on compassion, high on performance. </w:t>
      </w:r>
      <w:r>
        <w:rPr>
          <w:rFonts w:asciiTheme="majorBidi" w:eastAsia="Times New Roman" w:hAnsiTheme="majorBidi" w:cstheme="majorBidi"/>
          <w:i/>
          <w:iCs/>
          <w:kern w:val="0"/>
          <w:lang w:eastAsia="en-GB"/>
          <w14:ligatures w14:val="none"/>
        </w:rPr>
        <w:t>Academy of Management Perspectives</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16</w:t>
      </w:r>
      <w:r>
        <w:rPr>
          <w:rFonts w:asciiTheme="majorBidi" w:eastAsia="Times New Roman" w:hAnsiTheme="majorBidi" w:cstheme="majorBidi"/>
          <w:kern w:val="0"/>
          <w:lang w:eastAsia="en-GB"/>
          <w14:ligatures w14:val="none"/>
        </w:rPr>
        <w:t>(1), 16–29. https://doi.org/10.5465/ame.2002.6640111</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Expatrio</w:t>
      </w:r>
      <w:proofErr w:type="spellEnd"/>
      <w:r>
        <w:rPr>
          <w:rFonts w:asciiTheme="majorBidi" w:eastAsia="Times New Roman" w:hAnsiTheme="majorBidi" w:cstheme="majorBidi"/>
          <w:kern w:val="0"/>
          <w:lang w:eastAsia="en-GB"/>
          <w14:ligatures w14:val="none"/>
        </w:rPr>
        <w:t xml:space="preserve">. (2024). </w:t>
      </w:r>
      <w:r>
        <w:rPr>
          <w:rFonts w:asciiTheme="majorBidi" w:eastAsia="Times New Roman" w:hAnsiTheme="majorBidi" w:cstheme="majorBidi"/>
          <w:i/>
          <w:iCs/>
          <w:kern w:val="0"/>
          <w:lang w:eastAsia="en-GB"/>
          <w14:ligatures w14:val="none"/>
        </w:rPr>
        <w:t>German Business Culture</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kern w:val="0"/>
          <w:lang w:val="en-US" w:eastAsia="en-GB"/>
          <w14:ligatures w14:val="none"/>
        </w:rPr>
        <w:t>Available at:</w:t>
      </w:r>
      <w:r>
        <w:rPr>
          <w:rFonts w:asciiTheme="majorBidi" w:eastAsia="Times New Roman" w:hAnsiTheme="majorBidi" w:cstheme="majorBidi"/>
          <w:kern w:val="0"/>
          <w:lang w:eastAsia="en-GB"/>
          <w14:ligatures w14:val="none"/>
        </w:rPr>
        <w:t xml:space="preserve"> </w:t>
      </w:r>
      <w:hyperlink r:id="rId8" w:history="1">
        <w:r>
          <w:rPr>
            <w:rStyle w:val="Hyperlink"/>
            <w:rFonts w:asciiTheme="majorBidi" w:eastAsia="Times New Roman" w:hAnsiTheme="majorBidi" w:cstheme="majorBidi"/>
            <w:kern w:val="0"/>
            <w:lang w:eastAsia="en-GB"/>
            <w14:ligatures w14:val="none"/>
          </w:rPr>
          <w:t>https://www.expatrio.com/about-germany/german-business-culture</w:t>
        </w:r>
      </w:hyperlink>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Fietz</w:t>
      </w:r>
      <w:proofErr w:type="spellEnd"/>
      <w:r>
        <w:rPr>
          <w:rFonts w:asciiTheme="majorBidi" w:eastAsia="Times New Roman" w:hAnsiTheme="majorBidi" w:cstheme="majorBidi"/>
          <w:kern w:val="0"/>
          <w:lang w:eastAsia="en-GB"/>
          <w14:ligatures w14:val="none"/>
        </w:rPr>
        <w:t xml:space="preserve">, B., </w:t>
      </w:r>
      <w:proofErr w:type="spellStart"/>
      <w:r>
        <w:rPr>
          <w:rFonts w:asciiTheme="majorBidi" w:eastAsia="Times New Roman" w:hAnsiTheme="majorBidi" w:cstheme="majorBidi"/>
          <w:kern w:val="0"/>
          <w:lang w:eastAsia="en-GB"/>
          <w14:ligatures w14:val="none"/>
        </w:rPr>
        <w:t>Hillmann</w:t>
      </w:r>
      <w:proofErr w:type="spellEnd"/>
      <w:r>
        <w:rPr>
          <w:rFonts w:asciiTheme="majorBidi" w:eastAsia="Times New Roman" w:hAnsiTheme="majorBidi" w:cstheme="majorBidi"/>
          <w:kern w:val="0"/>
          <w:lang w:eastAsia="en-GB"/>
          <w14:ligatures w14:val="none"/>
        </w:rPr>
        <w:t xml:space="preserve">, J., &amp; Guenther, E. (2021). Cultural Effects on Organizational Resilience: Evidence from the NAFTA Region. </w:t>
      </w:r>
      <w:proofErr w:type="spellStart"/>
      <w:r>
        <w:rPr>
          <w:rFonts w:asciiTheme="majorBidi" w:eastAsia="Times New Roman" w:hAnsiTheme="majorBidi" w:cstheme="majorBidi"/>
          <w:i/>
          <w:iCs/>
          <w:kern w:val="0"/>
          <w:lang w:eastAsia="en-GB"/>
          <w14:ligatures w14:val="none"/>
        </w:rPr>
        <w:t>Schmalenbach</w:t>
      </w:r>
      <w:proofErr w:type="spellEnd"/>
      <w:r>
        <w:rPr>
          <w:rFonts w:asciiTheme="majorBidi" w:eastAsia="Times New Roman" w:hAnsiTheme="majorBidi" w:cstheme="majorBidi"/>
          <w:i/>
          <w:iCs/>
          <w:kern w:val="0"/>
          <w:lang w:eastAsia="en-GB"/>
          <w14:ligatures w14:val="none"/>
        </w:rPr>
        <w:t xml:space="preserve"> Journal of Business Research</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73</w:t>
      </w:r>
      <w:r>
        <w:rPr>
          <w:rFonts w:asciiTheme="majorBidi" w:eastAsia="Times New Roman" w:hAnsiTheme="majorBidi" w:cstheme="majorBidi"/>
          <w:kern w:val="0"/>
          <w:lang w:eastAsia="en-GB"/>
          <w14:ligatures w14:val="none"/>
        </w:rPr>
        <w:t>(1), 5–46. https://doi.org/10.1007/s41471-021-00106-8</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r>
        <w:rPr>
          <w:rFonts w:asciiTheme="majorBidi" w:eastAsia="Times New Roman" w:hAnsiTheme="majorBidi" w:cstheme="majorBidi"/>
          <w:kern w:val="0"/>
          <w:lang w:eastAsia="en-GB"/>
          <w14:ligatures w14:val="none"/>
        </w:rPr>
        <w:t xml:space="preserve">HOESL, A. (no date). </w:t>
      </w:r>
      <w:r>
        <w:rPr>
          <w:rFonts w:asciiTheme="majorBidi" w:eastAsia="Times New Roman" w:hAnsiTheme="majorBidi" w:cstheme="majorBidi"/>
          <w:i/>
          <w:iCs/>
          <w:kern w:val="0"/>
          <w:lang w:eastAsia="en-GB"/>
          <w14:ligatures w14:val="none"/>
        </w:rPr>
        <w:t>German World View: The Values and Characteristics Behind the Flag.</w:t>
      </w:r>
      <w:r>
        <w:rPr>
          <w:rFonts w:asciiTheme="majorBidi" w:eastAsia="Times New Roman" w:hAnsiTheme="majorBidi" w:cstheme="majorBidi"/>
          <w:kern w:val="0"/>
          <w:lang w:eastAsia="en-GB"/>
          <w14:ligatures w14:val="none"/>
        </w:rPr>
        <w:t xml:space="preserve"> Available at: </w:t>
      </w:r>
      <w:hyperlink r:id="rId9" w:history="1">
        <w:r>
          <w:rPr>
            <w:rStyle w:val="Hyperlink"/>
            <w:rFonts w:asciiTheme="majorBidi" w:eastAsia="Times New Roman" w:hAnsiTheme="majorBidi" w:cstheme="majorBidi"/>
            <w:kern w:val="0"/>
            <w:lang w:eastAsia="en-GB"/>
            <w14:ligatures w14:val="none"/>
          </w:rPr>
          <w:t>https://comm220sullivan.wordpress.com/time-orientation-how-to-not-be-in-a-rush/</w:t>
        </w:r>
      </w:hyperlink>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r>
        <w:rPr>
          <w:rFonts w:asciiTheme="majorBidi" w:eastAsia="Times New Roman" w:hAnsiTheme="majorBidi" w:cstheme="majorBidi"/>
          <w:kern w:val="0"/>
          <w:lang w:eastAsia="en-GB"/>
          <w14:ligatures w14:val="none"/>
        </w:rPr>
        <w:t xml:space="preserve">Khatri, N. (2009). Consequences of Power Distance Orientation in Organisations. </w:t>
      </w:r>
      <w:r>
        <w:rPr>
          <w:rFonts w:asciiTheme="majorBidi" w:eastAsia="Times New Roman" w:hAnsiTheme="majorBidi" w:cstheme="majorBidi"/>
          <w:i/>
          <w:iCs/>
          <w:kern w:val="0"/>
          <w:lang w:eastAsia="en-GB"/>
          <w14:ligatures w14:val="none"/>
        </w:rPr>
        <w:t>Vision: The Journal of Business Perspective</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13</w:t>
      </w:r>
      <w:r>
        <w:rPr>
          <w:rFonts w:asciiTheme="majorBidi" w:eastAsia="Times New Roman" w:hAnsiTheme="majorBidi" w:cstheme="majorBidi"/>
          <w:kern w:val="0"/>
          <w:lang w:eastAsia="en-GB"/>
          <w14:ligatures w14:val="none"/>
        </w:rPr>
        <w:t>(1), 1–9. https://doi.org/10.1177/097226290901300101</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Odugbesan</w:t>
      </w:r>
      <w:proofErr w:type="spellEnd"/>
      <w:r>
        <w:rPr>
          <w:rFonts w:asciiTheme="majorBidi" w:eastAsia="Times New Roman" w:hAnsiTheme="majorBidi" w:cstheme="majorBidi"/>
          <w:kern w:val="0"/>
          <w:lang w:eastAsia="en-GB"/>
          <w14:ligatures w14:val="none"/>
        </w:rPr>
        <w:t xml:space="preserve">, A., &amp; </w:t>
      </w:r>
      <w:proofErr w:type="spellStart"/>
      <w:r>
        <w:rPr>
          <w:rFonts w:asciiTheme="majorBidi" w:eastAsia="Times New Roman" w:hAnsiTheme="majorBidi" w:cstheme="majorBidi"/>
          <w:kern w:val="0"/>
          <w:lang w:eastAsia="en-GB"/>
          <w14:ligatures w14:val="none"/>
        </w:rPr>
        <w:t>Schwiertz</w:t>
      </w:r>
      <w:proofErr w:type="spellEnd"/>
      <w:r>
        <w:rPr>
          <w:rFonts w:asciiTheme="majorBidi" w:eastAsia="Times New Roman" w:hAnsiTheme="majorBidi" w:cstheme="majorBidi"/>
          <w:kern w:val="0"/>
          <w:lang w:eastAsia="en-GB"/>
          <w14:ligatures w14:val="none"/>
        </w:rPr>
        <w:t xml:space="preserve">, H. (2018). “We Are Here to Stay” – Refugee Struggles in Germany Between Unity and Division. </w:t>
      </w:r>
      <w:r>
        <w:rPr>
          <w:rFonts w:asciiTheme="majorBidi" w:eastAsia="Times New Roman" w:hAnsiTheme="majorBidi" w:cstheme="majorBidi"/>
          <w:i/>
          <w:iCs/>
          <w:kern w:val="0"/>
          <w:lang w:eastAsia="en-GB"/>
          <w14:ligatures w14:val="none"/>
        </w:rPr>
        <w:t>IMISCOE Research Series</w:t>
      </w:r>
      <w:r>
        <w:rPr>
          <w:rFonts w:asciiTheme="majorBidi" w:eastAsia="Times New Roman" w:hAnsiTheme="majorBidi" w:cstheme="majorBidi"/>
          <w:kern w:val="0"/>
          <w:lang w:eastAsia="en-GB"/>
          <w14:ligatures w14:val="none"/>
        </w:rPr>
        <w:t>, 185–203. https://doi.org/10.1007/978-3-319-74696-8_9</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proofErr w:type="spellStart"/>
      <w:r>
        <w:rPr>
          <w:rFonts w:asciiTheme="majorBidi" w:eastAsia="Times New Roman" w:hAnsiTheme="majorBidi" w:cstheme="majorBidi"/>
          <w:kern w:val="0"/>
          <w:lang w:eastAsia="en-GB"/>
          <w14:ligatures w14:val="none"/>
        </w:rPr>
        <w:t>Reisinger</w:t>
      </w:r>
      <w:proofErr w:type="spellEnd"/>
      <w:r>
        <w:rPr>
          <w:rFonts w:asciiTheme="majorBidi" w:eastAsia="Times New Roman" w:hAnsiTheme="majorBidi" w:cstheme="majorBidi"/>
          <w:kern w:val="0"/>
          <w:lang w:eastAsia="en-GB"/>
          <w14:ligatures w14:val="none"/>
        </w:rPr>
        <w:t xml:space="preserve">, Y., &amp; </w:t>
      </w:r>
      <w:proofErr w:type="spellStart"/>
      <w:r>
        <w:rPr>
          <w:rFonts w:asciiTheme="majorBidi" w:eastAsia="Times New Roman" w:hAnsiTheme="majorBidi" w:cstheme="majorBidi"/>
          <w:kern w:val="0"/>
          <w:lang w:eastAsia="en-GB"/>
          <w14:ligatures w14:val="none"/>
        </w:rPr>
        <w:t>Crotts</w:t>
      </w:r>
      <w:proofErr w:type="spellEnd"/>
      <w:r>
        <w:rPr>
          <w:rFonts w:asciiTheme="majorBidi" w:eastAsia="Times New Roman" w:hAnsiTheme="majorBidi" w:cstheme="majorBidi"/>
          <w:kern w:val="0"/>
          <w:lang w:eastAsia="en-GB"/>
          <w14:ligatures w14:val="none"/>
        </w:rPr>
        <w:t xml:space="preserve">, J. C. (2009). Applying Hofstede’s National Culture Measures in Tourism Research: Illuminating Issues of Divergence and Convergence. </w:t>
      </w:r>
      <w:r>
        <w:rPr>
          <w:rFonts w:asciiTheme="majorBidi" w:eastAsia="Times New Roman" w:hAnsiTheme="majorBidi" w:cstheme="majorBidi"/>
          <w:i/>
          <w:iCs/>
          <w:kern w:val="0"/>
          <w:lang w:eastAsia="en-GB"/>
          <w14:ligatures w14:val="none"/>
        </w:rPr>
        <w:t>Journal of Travel Research</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49</w:t>
      </w:r>
      <w:r>
        <w:rPr>
          <w:rFonts w:asciiTheme="majorBidi" w:eastAsia="Times New Roman" w:hAnsiTheme="majorBidi" w:cstheme="majorBidi"/>
          <w:kern w:val="0"/>
          <w:lang w:eastAsia="en-GB"/>
          <w14:ligatures w14:val="none"/>
        </w:rPr>
        <w:t>(2), 153–164. https://doi.org/10.1177/0047287509336473</w:t>
      </w:r>
    </w:p>
    <w:p w:rsidR="00CE29B5" w:rsidRDefault="00FC1DE4">
      <w:pPr>
        <w:spacing w:before="100" w:beforeAutospacing="1" w:after="100" w:afterAutospacing="1" w:line="480" w:lineRule="auto"/>
        <w:ind w:left="720" w:hanging="720"/>
        <w:jc w:val="both"/>
        <w:rPr>
          <w:rFonts w:asciiTheme="majorBidi" w:eastAsia="Times New Roman" w:hAnsiTheme="majorBidi" w:cstheme="majorBidi"/>
          <w:kern w:val="0"/>
          <w:lang w:eastAsia="en-GB"/>
          <w14:ligatures w14:val="none"/>
        </w:rPr>
      </w:pPr>
      <w:r>
        <w:rPr>
          <w:rFonts w:asciiTheme="majorBidi" w:eastAsia="Times New Roman" w:hAnsiTheme="majorBidi" w:cstheme="majorBidi"/>
          <w:kern w:val="0"/>
          <w:lang w:eastAsia="en-GB"/>
          <w14:ligatures w14:val="none"/>
        </w:rPr>
        <w:t xml:space="preserve">Schneider, J., &amp; </w:t>
      </w:r>
      <w:proofErr w:type="spellStart"/>
      <w:r>
        <w:rPr>
          <w:rFonts w:asciiTheme="majorBidi" w:eastAsia="Times New Roman" w:hAnsiTheme="majorBidi" w:cstheme="majorBidi"/>
          <w:kern w:val="0"/>
          <w:lang w:eastAsia="en-GB"/>
          <w14:ligatures w14:val="none"/>
        </w:rPr>
        <w:t>Littrell</w:t>
      </w:r>
      <w:proofErr w:type="spellEnd"/>
      <w:r>
        <w:rPr>
          <w:rFonts w:asciiTheme="majorBidi" w:eastAsia="Times New Roman" w:hAnsiTheme="majorBidi" w:cstheme="majorBidi"/>
          <w:kern w:val="0"/>
          <w:lang w:eastAsia="en-GB"/>
          <w14:ligatures w14:val="none"/>
        </w:rPr>
        <w:t xml:space="preserve">, R. F. (2003). Leadership preferences of German and English managers. </w:t>
      </w:r>
      <w:r>
        <w:rPr>
          <w:rFonts w:asciiTheme="majorBidi" w:eastAsia="Times New Roman" w:hAnsiTheme="majorBidi" w:cstheme="majorBidi"/>
          <w:i/>
          <w:iCs/>
          <w:kern w:val="0"/>
          <w:lang w:eastAsia="en-GB"/>
          <w14:ligatures w14:val="none"/>
        </w:rPr>
        <w:t>Journal of Management Development</w:t>
      </w:r>
      <w:r>
        <w:rPr>
          <w:rFonts w:asciiTheme="majorBidi" w:eastAsia="Times New Roman" w:hAnsiTheme="majorBidi" w:cstheme="majorBidi"/>
          <w:kern w:val="0"/>
          <w:lang w:eastAsia="en-GB"/>
          <w14:ligatures w14:val="none"/>
        </w:rPr>
        <w:t xml:space="preserve">, </w:t>
      </w:r>
      <w:r>
        <w:rPr>
          <w:rFonts w:asciiTheme="majorBidi" w:eastAsia="Times New Roman" w:hAnsiTheme="majorBidi" w:cstheme="majorBidi"/>
          <w:i/>
          <w:iCs/>
          <w:kern w:val="0"/>
          <w:lang w:eastAsia="en-GB"/>
          <w14:ligatures w14:val="none"/>
        </w:rPr>
        <w:t>22</w:t>
      </w:r>
      <w:r>
        <w:rPr>
          <w:rFonts w:asciiTheme="majorBidi" w:eastAsia="Times New Roman" w:hAnsiTheme="majorBidi" w:cstheme="majorBidi"/>
          <w:kern w:val="0"/>
          <w:lang w:eastAsia="en-GB"/>
          <w14:ligatures w14:val="none"/>
        </w:rPr>
        <w:t xml:space="preserve">(2), 130–148. </w:t>
      </w:r>
      <w:r>
        <w:rPr>
          <w:rFonts w:asciiTheme="majorBidi" w:eastAsia="Times New Roman" w:hAnsiTheme="majorBidi" w:cstheme="majorBidi"/>
          <w:kern w:val="0"/>
          <w:lang w:eastAsia="en-GB"/>
          <w14:ligatures w14:val="none"/>
        </w:rPr>
        <w:t>https://doi.org/10.1108/02621710310459694</w:t>
      </w:r>
    </w:p>
    <w:p w:rsidR="00CE29B5" w:rsidRDefault="00CE29B5">
      <w:pPr>
        <w:spacing w:line="360" w:lineRule="auto"/>
        <w:jc w:val="both"/>
        <w:rPr>
          <w:rFonts w:asciiTheme="majorBidi" w:hAnsiTheme="majorBidi" w:cstheme="majorBidi"/>
        </w:rPr>
      </w:pPr>
    </w:p>
    <w:sectPr w:rsidR="00CE29B5">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1DE4" w:rsidRDefault="00FC1DE4">
      <w:r>
        <w:separator/>
      </w:r>
    </w:p>
  </w:endnote>
  <w:endnote w:type="continuationSeparator" w:id="0">
    <w:p w:rsidR="00FC1DE4" w:rsidRDefault="00FC1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2264595"/>
      <w:docPartObj>
        <w:docPartGallery w:val="AutoText"/>
      </w:docPartObj>
    </w:sdtPr>
    <w:sdtEndPr>
      <w:rPr>
        <w:rStyle w:val="PageNumber"/>
      </w:rPr>
    </w:sdtEndPr>
    <w:sdtContent>
      <w:p w:rsidR="00CE29B5" w:rsidRDefault="00FC1DE4">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E29B5" w:rsidRDefault="00CE29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8468262"/>
      <w:docPartObj>
        <w:docPartGallery w:val="AutoText"/>
      </w:docPartObj>
    </w:sdtPr>
    <w:sdtEndPr>
      <w:rPr>
        <w:rStyle w:val="PageNumber"/>
      </w:rPr>
    </w:sdtEndPr>
    <w:sdtContent>
      <w:p w:rsidR="00CE29B5" w:rsidRDefault="00FC1DE4">
        <w:pPr>
          <w:pStyle w:val="Footer"/>
          <w:framePr w:wrap="auto"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rsidR="00CE29B5" w:rsidRDefault="00CE29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1DE4" w:rsidRDefault="00FC1DE4">
      <w:r>
        <w:separator/>
      </w:r>
    </w:p>
  </w:footnote>
  <w:footnote w:type="continuationSeparator" w:id="0">
    <w:p w:rsidR="00FC1DE4" w:rsidRDefault="00FC1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377F4"/>
    <w:multiLevelType w:val="multilevel"/>
    <w:tmpl w:val="136377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3862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7EB"/>
    <w:rsid w:val="FFEECF74"/>
    <w:rsid w:val="000030DC"/>
    <w:rsid w:val="00006A80"/>
    <w:rsid w:val="00007031"/>
    <w:rsid w:val="00017539"/>
    <w:rsid w:val="00023FD2"/>
    <w:rsid w:val="00026A09"/>
    <w:rsid w:val="00054572"/>
    <w:rsid w:val="00077A91"/>
    <w:rsid w:val="00081BCD"/>
    <w:rsid w:val="0008446A"/>
    <w:rsid w:val="0009153E"/>
    <w:rsid w:val="000A0353"/>
    <w:rsid w:val="000C22D8"/>
    <w:rsid w:val="000C3B0D"/>
    <w:rsid w:val="000C6B17"/>
    <w:rsid w:val="000E630A"/>
    <w:rsid w:val="00123A9D"/>
    <w:rsid w:val="00132387"/>
    <w:rsid w:val="001654BB"/>
    <w:rsid w:val="00172C1B"/>
    <w:rsid w:val="001805DD"/>
    <w:rsid w:val="0019215F"/>
    <w:rsid w:val="00196B70"/>
    <w:rsid w:val="001A1E50"/>
    <w:rsid w:val="001A2E6F"/>
    <w:rsid w:val="001A57C5"/>
    <w:rsid w:val="001B0ADD"/>
    <w:rsid w:val="001C6DFF"/>
    <w:rsid w:val="001D479A"/>
    <w:rsid w:val="001E04EA"/>
    <w:rsid w:val="001E5C8C"/>
    <w:rsid w:val="001F7156"/>
    <w:rsid w:val="00223424"/>
    <w:rsid w:val="00231143"/>
    <w:rsid w:val="0023552B"/>
    <w:rsid w:val="00247734"/>
    <w:rsid w:val="0025675C"/>
    <w:rsid w:val="00286DE4"/>
    <w:rsid w:val="002972D6"/>
    <w:rsid w:val="00297B64"/>
    <w:rsid w:val="002A73CE"/>
    <w:rsid w:val="002C002D"/>
    <w:rsid w:val="002C2530"/>
    <w:rsid w:val="002C5EFD"/>
    <w:rsid w:val="002C73E2"/>
    <w:rsid w:val="0030707C"/>
    <w:rsid w:val="00347649"/>
    <w:rsid w:val="003512A8"/>
    <w:rsid w:val="00355CA0"/>
    <w:rsid w:val="00363FB2"/>
    <w:rsid w:val="003707C7"/>
    <w:rsid w:val="00372CE2"/>
    <w:rsid w:val="003732D5"/>
    <w:rsid w:val="0038326F"/>
    <w:rsid w:val="00386AC8"/>
    <w:rsid w:val="003B21A0"/>
    <w:rsid w:val="003C1FE8"/>
    <w:rsid w:val="003D1AB6"/>
    <w:rsid w:val="003E5A72"/>
    <w:rsid w:val="003E6074"/>
    <w:rsid w:val="00413B0B"/>
    <w:rsid w:val="00425376"/>
    <w:rsid w:val="00427788"/>
    <w:rsid w:val="0044312E"/>
    <w:rsid w:val="00443570"/>
    <w:rsid w:val="00454B40"/>
    <w:rsid w:val="004920C9"/>
    <w:rsid w:val="0049348B"/>
    <w:rsid w:val="004B6F5F"/>
    <w:rsid w:val="004C7857"/>
    <w:rsid w:val="004D1E58"/>
    <w:rsid w:val="004D3AA8"/>
    <w:rsid w:val="004E1AE2"/>
    <w:rsid w:val="004E2B0E"/>
    <w:rsid w:val="004E69B7"/>
    <w:rsid w:val="00513B41"/>
    <w:rsid w:val="00514398"/>
    <w:rsid w:val="005219CB"/>
    <w:rsid w:val="00537E05"/>
    <w:rsid w:val="0055621A"/>
    <w:rsid w:val="0056479B"/>
    <w:rsid w:val="005703FF"/>
    <w:rsid w:val="00571262"/>
    <w:rsid w:val="005729E9"/>
    <w:rsid w:val="00590202"/>
    <w:rsid w:val="005B4C59"/>
    <w:rsid w:val="005C443C"/>
    <w:rsid w:val="005C6068"/>
    <w:rsid w:val="005E693F"/>
    <w:rsid w:val="00641375"/>
    <w:rsid w:val="006709CB"/>
    <w:rsid w:val="006C02EE"/>
    <w:rsid w:val="006C3D21"/>
    <w:rsid w:val="006C5376"/>
    <w:rsid w:val="006E0648"/>
    <w:rsid w:val="006E07A3"/>
    <w:rsid w:val="006E25F9"/>
    <w:rsid w:val="006F324C"/>
    <w:rsid w:val="00706891"/>
    <w:rsid w:val="007500C4"/>
    <w:rsid w:val="00755CE8"/>
    <w:rsid w:val="00767DC5"/>
    <w:rsid w:val="00775932"/>
    <w:rsid w:val="00781868"/>
    <w:rsid w:val="00795E3F"/>
    <w:rsid w:val="007E70FE"/>
    <w:rsid w:val="007E7C76"/>
    <w:rsid w:val="0080013D"/>
    <w:rsid w:val="00810FC1"/>
    <w:rsid w:val="00815410"/>
    <w:rsid w:val="008237D6"/>
    <w:rsid w:val="00845DB4"/>
    <w:rsid w:val="00846A55"/>
    <w:rsid w:val="00850F16"/>
    <w:rsid w:val="00855456"/>
    <w:rsid w:val="00892F2C"/>
    <w:rsid w:val="008965E2"/>
    <w:rsid w:val="008A345F"/>
    <w:rsid w:val="008C05C6"/>
    <w:rsid w:val="008C724F"/>
    <w:rsid w:val="008F400C"/>
    <w:rsid w:val="008F7838"/>
    <w:rsid w:val="00933CBE"/>
    <w:rsid w:val="009433D0"/>
    <w:rsid w:val="00944ADC"/>
    <w:rsid w:val="009452A0"/>
    <w:rsid w:val="00952A31"/>
    <w:rsid w:val="00966260"/>
    <w:rsid w:val="00970887"/>
    <w:rsid w:val="009926EA"/>
    <w:rsid w:val="00993C16"/>
    <w:rsid w:val="009C6DF9"/>
    <w:rsid w:val="009D7D76"/>
    <w:rsid w:val="009E391C"/>
    <w:rsid w:val="009F7549"/>
    <w:rsid w:val="00A1033D"/>
    <w:rsid w:val="00A145BD"/>
    <w:rsid w:val="00A40407"/>
    <w:rsid w:val="00A41EEA"/>
    <w:rsid w:val="00A525F5"/>
    <w:rsid w:val="00A57186"/>
    <w:rsid w:val="00A733B0"/>
    <w:rsid w:val="00A771C7"/>
    <w:rsid w:val="00A90272"/>
    <w:rsid w:val="00A931C0"/>
    <w:rsid w:val="00A949A6"/>
    <w:rsid w:val="00AB585F"/>
    <w:rsid w:val="00AB6888"/>
    <w:rsid w:val="00AC0015"/>
    <w:rsid w:val="00B045E0"/>
    <w:rsid w:val="00B146B9"/>
    <w:rsid w:val="00B24072"/>
    <w:rsid w:val="00B43498"/>
    <w:rsid w:val="00B559D1"/>
    <w:rsid w:val="00B616B0"/>
    <w:rsid w:val="00B62A57"/>
    <w:rsid w:val="00B71611"/>
    <w:rsid w:val="00B80C6B"/>
    <w:rsid w:val="00B86C40"/>
    <w:rsid w:val="00BA4B37"/>
    <w:rsid w:val="00BB37E4"/>
    <w:rsid w:val="00BC10A5"/>
    <w:rsid w:val="00BF24EC"/>
    <w:rsid w:val="00C01FE2"/>
    <w:rsid w:val="00C127E9"/>
    <w:rsid w:val="00C303B8"/>
    <w:rsid w:val="00C43B00"/>
    <w:rsid w:val="00C5364D"/>
    <w:rsid w:val="00C8178A"/>
    <w:rsid w:val="00C939CC"/>
    <w:rsid w:val="00C97B6F"/>
    <w:rsid w:val="00CA04D9"/>
    <w:rsid w:val="00CE29B5"/>
    <w:rsid w:val="00CE3689"/>
    <w:rsid w:val="00CE4F6B"/>
    <w:rsid w:val="00D247EB"/>
    <w:rsid w:val="00D27822"/>
    <w:rsid w:val="00D30D01"/>
    <w:rsid w:val="00D3224F"/>
    <w:rsid w:val="00D50315"/>
    <w:rsid w:val="00D5571F"/>
    <w:rsid w:val="00D64817"/>
    <w:rsid w:val="00DA528A"/>
    <w:rsid w:val="00DB7E7B"/>
    <w:rsid w:val="00DC1793"/>
    <w:rsid w:val="00DD3E58"/>
    <w:rsid w:val="00DE1152"/>
    <w:rsid w:val="00E01018"/>
    <w:rsid w:val="00E56A8C"/>
    <w:rsid w:val="00E56FBA"/>
    <w:rsid w:val="00E733EC"/>
    <w:rsid w:val="00E74B7C"/>
    <w:rsid w:val="00E772A9"/>
    <w:rsid w:val="00E83264"/>
    <w:rsid w:val="00EA3F7C"/>
    <w:rsid w:val="00EA57A8"/>
    <w:rsid w:val="00EA72F2"/>
    <w:rsid w:val="00EB4977"/>
    <w:rsid w:val="00ED04E4"/>
    <w:rsid w:val="00ED43EA"/>
    <w:rsid w:val="00EE34B5"/>
    <w:rsid w:val="00F17165"/>
    <w:rsid w:val="00F21462"/>
    <w:rsid w:val="00F43C16"/>
    <w:rsid w:val="00F714EE"/>
    <w:rsid w:val="00F75329"/>
    <w:rsid w:val="00F82FD2"/>
    <w:rsid w:val="00F94693"/>
    <w:rsid w:val="00F962BE"/>
    <w:rsid w:val="00FA5042"/>
    <w:rsid w:val="00FA6AF7"/>
    <w:rsid w:val="00FB5A26"/>
    <w:rsid w:val="00FB70EE"/>
    <w:rsid w:val="00FC1DE4"/>
    <w:rsid w:val="00FD21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076F85"/>
  <w15:docId w15:val="{DD263F4D-8151-3D43-BCD1-128D076E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qFormat="1"/>
    <w:lsdException w:name="Medium Shading 2 Accent 2" w:uiPriority="64" w:qFormat="1"/>
    <w:lsdException w:name="Medium List 1 Accent 2" w:uiPriority="65" w:qFormat="1"/>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qFormat="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4"/>
      <w:szCs w:val="24"/>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467886" w:themeColor="hyperlink"/>
      <w:u w:val="single"/>
    </w:rPr>
  </w:style>
  <w:style w:type="character" w:styleId="PageNumber">
    <w:name w:val="page number"/>
    <w:basedOn w:val="DefaultParagraphFont"/>
    <w:uiPriority w:val="99"/>
    <w:semiHidden/>
    <w:unhideWhenUsed/>
    <w:qFormat/>
  </w:style>
  <w:style w:type="paragraph" w:styleId="Subtitle">
    <w:name w:val="Subtitle"/>
    <w:basedOn w:val="Normal"/>
    <w:next w:val="Normal"/>
    <w:link w:val="SubtitleChar"/>
    <w:uiPriority w:val="11"/>
    <w:qFormat/>
    <w:pPr>
      <w:spacing w:after="160"/>
    </w:pPr>
    <w:rPr>
      <w:rFonts w:eastAsiaTheme="majorEastAsia" w:cstheme="majorBidi"/>
      <w:color w:val="595959" w:themeColor="text1" w:themeTint="A6"/>
      <w:spacing w:val="15"/>
      <w:sz w:val="28"/>
      <w:szCs w:val="2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qFormat/>
    <w:pPr>
      <w:spacing w:before="120"/>
    </w:pPr>
    <w:rPr>
      <w:rFonts w:cs="Times New Roman"/>
      <w:b/>
      <w:bCs/>
      <w:i/>
      <w:iCs/>
      <w:szCs w:val="28"/>
    </w:rPr>
  </w:style>
  <w:style w:type="paragraph" w:styleId="TOC2">
    <w:name w:val="toc 2"/>
    <w:basedOn w:val="Normal"/>
    <w:next w:val="Normal"/>
    <w:uiPriority w:val="39"/>
    <w:semiHidden/>
    <w:unhideWhenUsed/>
    <w:qFormat/>
    <w:pPr>
      <w:spacing w:before="120"/>
      <w:ind w:left="240"/>
    </w:pPr>
    <w:rPr>
      <w:rFonts w:cs="Times New Roman"/>
      <w:b/>
      <w:bCs/>
      <w:sz w:val="22"/>
      <w:szCs w:val="26"/>
    </w:rPr>
  </w:style>
  <w:style w:type="paragraph" w:styleId="TOC3">
    <w:name w:val="toc 3"/>
    <w:basedOn w:val="Normal"/>
    <w:next w:val="Normal"/>
    <w:uiPriority w:val="39"/>
    <w:semiHidden/>
    <w:unhideWhenUsed/>
    <w:qFormat/>
    <w:pPr>
      <w:ind w:left="480"/>
    </w:pPr>
    <w:rPr>
      <w:rFonts w:cs="Times New Roman"/>
      <w:sz w:val="20"/>
    </w:rPr>
  </w:style>
  <w:style w:type="paragraph" w:styleId="TOC4">
    <w:name w:val="toc 4"/>
    <w:basedOn w:val="Normal"/>
    <w:next w:val="Normal"/>
    <w:uiPriority w:val="39"/>
    <w:semiHidden/>
    <w:unhideWhenUsed/>
    <w:qFormat/>
    <w:pPr>
      <w:ind w:left="720"/>
    </w:pPr>
    <w:rPr>
      <w:rFonts w:cs="Times New Roman"/>
      <w:sz w:val="20"/>
    </w:rPr>
  </w:style>
  <w:style w:type="paragraph" w:styleId="TOC5">
    <w:name w:val="toc 5"/>
    <w:basedOn w:val="Normal"/>
    <w:next w:val="Normal"/>
    <w:uiPriority w:val="39"/>
    <w:semiHidden/>
    <w:unhideWhenUsed/>
    <w:qFormat/>
    <w:pPr>
      <w:ind w:left="960"/>
    </w:pPr>
    <w:rPr>
      <w:rFonts w:cs="Times New Roman"/>
      <w:sz w:val="20"/>
    </w:rPr>
  </w:style>
  <w:style w:type="paragraph" w:styleId="TOC6">
    <w:name w:val="toc 6"/>
    <w:basedOn w:val="Normal"/>
    <w:next w:val="Normal"/>
    <w:uiPriority w:val="39"/>
    <w:semiHidden/>
    <w:unhideWhenUsed/>
    <w:qFormat/>
    <w:pPr>
      <w:ind w:left="1200"/>
    </w:pPr>
    <w:rPr>
      <w:rFonts w:cs="Times New Roman"/>
      <w:sz w:val="20"/>
    </w:rPr>
  </w:style>
  <w:style w:type="paragraph" w:styleId="TOC7">
    <w:name w:val="toc 7"/>
    <w:basedOn w:val="Normal"/>
    <w:next w:val="Normal"/>
    <w:uiPriority w:val="39"/>
    <w:semiHidden/>
    <w:unhideWhenUsed/>
    <w:qFormat/>
    <w:pPr>
      <w:ind w:left="1440"/>
    </w:pPr>
    <w:rPr>
      <w:rFonts w:cs="Times New Roman"/>
      <w:sz w:val="20"/>
    </w:rPr>
  </w:style>
  <w:style w:type="paragraph" w:styleId="TOC8">
    <w:name w:val="toc 8"/>
    <w:basedOn w:val="Normal"/>
    <w:next w:val="Normal"/>
    <w:uiPriority w:val="39"/>
    <w:semiHidden/>
    <w:unhideWhenUsed/>
    <w:qFormat/>
    <w:pPr>
      <w:ind w:left="1680"/>
    </w:pPr>
    <w:rPr>
      <w:rFonts w:cs="Times New Roman"/>
      <w:sz w:val="20"/>
    </w:rPr>
  </w:style>
  <w:style w:type="paragraph" w:styleId="TOC9">
    <w:name w:val="toc 9"/>
    <w:basedOn w:val="Normal"/>
    <w:next w:val="Normal"/>
    <w:uiPriority w:val="39"/>
    <w:semiHidden/>
    <w:unhideWhenUsed/>
    <w:qFormat/>
    <w:pPr>
      <w:ind w:left="1920"/>
    </w:pPr>
    <w:rPr>
      <w:rFonts w:cs="Times New Roman"/>
      <w:sz w:val="20"/>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qFormat/>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qFormat/>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lang w:val="en-GB"/>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lang w:val="en-GB"/>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lang w:val="en-GB"/>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lang w:val="en-GB"/>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table" w:customStyle="1" w:styleId="GridTable4-Accent11">
    <w:name w:val="Grid Table 4 - Accent 11"/>
    <w:basedOn w:val="TableNormal"/>
    <w:uiPriority w:val="49"/>
    <w:qFormat/>
    <w:tblPr>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Bibliography1">
    <w:name w:val="Bibliography1"/>
    <w:basedOn w:val="Normal"/>
    <w:next w:val="Normal"/>
    <w:uiPriority w:val="37"/>
    <w:unhideWhenUsed/>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FooterChar">
    <w:name w:val="Footer Char"/>
    <w:basedOn w:val="DefaultParagraphFont"/>
    <w:link w:val="Footer"/>
    <w:uiPriority w:val="99"/>
    <w:qFormat/>
    <w:rPr>
      <w:lang w:val="en-GB"/>
    </w:rPr>
  </w:style>
  <w:style w:type="paragraph" w:customStyle="1" w:styleId="TOCHeading1">
    <w:name w:val="TOC Heading1"/>
    <w:basedOn w:val="Heading1"/>
    <w:next w:val="Normal"/>
    <w:uiPriority w:val="39"/>
    <w:unhideWhenUsed/>
    <w:qFormat/>
    <w:pPr>
      <w:spacing w:before="480" w:after="0" w:line="276" w:lineRule="auto"/>
      <w:outlineLvl w:val="9"/>
    </w:pPr>
    <w:rPr>
      <w:b/>
      <w:bCs/>
      <w:kern w:val="0"/>
      <w:sz w:val="28"/>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xpatrio.com/about-germany/german-business-culture"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comm220sullivan.wordpress.com/time-orientation-how-to-not-be-in-a-rus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1771</Words>
  <Characters>10097</Characters>
  <Application>Microsoft Office Word</Application>
  <DocSecurity>0</DocSecurity>
  <Lines>84</Lines>
  <Paragraphs>23</Paragraphs>
  <ScaleCrop>false</ScaleCrop>
  <Company/>
  <LinksUpToDate>false</LinksUpToDate>
  <CharactersWithSpaces>11845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 Mujtaba</dc:creator>
  <cp:lastModifiedBy>Syeda Tahira Maryem</cp:lastModifiedBy>
  <cp:revision>2</cp:revision>
  <dcterms:created xsi:type="dcterms:W3CDTF">2024-06-04T17:01:00Z</dcterms:created>
  <dcterms:modified xsi:type="dcterms:W3CDTF">2024-06-04T17:01:00Z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1033-5.7.0.8090</vt:lpwstr>
  </property>
</Properties>
</file>