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261ACC" w14:textId="77777777" w:rsidR="00FC6DFA" w:rsidRDefault="009F1B79">
      <w:r>
        <w:rPr>
          <w:noProof/>
        </w:rPr>
        <w:drawing>
          <wp:inline distT="0" distB="0" distL="0" distR="0" wp14:anchorId="074140D9" wp14:editId="6D618A96">
            <wp:extent cx="2038350" cy="704850"/>
            <wp:effectExtent l="0" t="0" r="0" b="0"/>
            <wp:docPr id="105475896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38350" cy="704850"/>
                    </a:xfrm>
                    <a:prstGeom prst="rect">
                      <a:avLst/>
                    </a:prstGeom>
                    <a:ln/>
                  </pic:spPr>
                </pic:pic>
              </a:graphicData>
            </a:graphic>
          </wp:inline>
        </w:drawing>
      </w:r>
    </w:p>
    <w:p w14:paraId="0EDEFA6D" w14:textId="77777777" w:rsidR="00FC6DFA" w:rsidRDefault="00FC6DFA"/>
    <w:p w14:paraId="1B39D3CF" w14:textId="77777777" w:rsidR="00FC6DFA" w:rsidRDefault="009F1B79">
      <w:pPr>
        <w:rPr>
          <w:rFonts w:ascii="Arial" w:eastAsia="Arial" w:hAnsi="Arial" w:cs="Arial"/>
          <w:b/>
          <w:sz w:val="28"/>
          <w:szCs w:val="28"/>
        </w:rPr>
      </w:pPr>
      <w:r>
        <w:rPr>
          <w:rFonts w:ascii="Arial" w:eastAsia="Arial" w:hAnsi="Arial" w:cs="Arial"/>
          <w:b/>
          <w:sz w:val="28"/>
          <w:szCs w:val="28"/>
        </w:rPr>
        <w:t>BSc Professional Investigation 2025/2026</w:t>
      </w:r>
    </w:p>
    <w:p w14:paraId="147F661F" w14:textId="77777777" w:rsidR="00FC6DFA" w:rsidRDefault="009F1B79">
      <w:pPr>
        <w:rPr>
          <w:rFonts w:ascii="Arial" w:eastAsia="Arial" w:hAnsi="Arial" w:cs="Arial"/>
          <w:color w:val="000000"/>
          <w:sz w:val="28"/>
          <w:szCs w:val="28"/>
        </w:rPr>
      </w:pPr>
      <w:r>
        <w:rPr>
          <w:rFonts w:ascii="Arial" w:eastAsia="Arial" w:hAnsi="Arial" w:cs="Arial"/>
          <w:b/>
          <w:color w:val="000000"/>
          <w:sz w:val="28"/>
          <w:szCs w:val="28"/>
        </w:rPr>
        <w:t>LEVEL 6 - 40 Credits</w:t>
      </w:r>
    </w:p>
    <w:p w14:paraId="767D7665" w14:textId="77777777" w:rsidR="00FC6DFA" w:rsidRDefault="00FC6DFA">
      <w:pPr>
        <w:rPr>
          <w:rFonts w:ascii="Arial" w:eastAsia="Arial" w:hAnsi="Arial" w:cs="Arial"/>
          <w:b/>
          <w:color w:val="000000"/>
          <w:sz w:val="28"/>
          <w:szCs w:val="28"/>
        </w:rPr>
      </w:pPr>
    </w:p>
    <w:p w14:paraId="4633F74E" w14:textId="77777777" w:rsidR="00FC6DFA" w:rsidRDefault="00FC6DFA">
      <w:pPr>
        <w:rPr>
          <w:rFonts w:ascii="Arial" w:eastAsia="Arial" w:hAnsi="Arial" w:cs="Arial"/>
          <w:b/>
          <w:color w:val="000000"/>
          <w:sz w:val="28"/>
          <w:szCs w:val="28"/>
        </w:rPr>
      </w:pPr>
    </w:p>
    <w:p w14:paraId="52A3337E" w14:textId="77777777" w:rsidR="00FC6DFA" w:rsidRDefault="00FC6DFA">
      <w:pPr>
        <w:rPr>
          <w:rFonts w:ascii="Arial" w:eastAsia="Arial" w:hAnsi="Arial" w:cs="Arial"/>
          <w:b/>
          <w:color w:val="000000"/>
          <w:sz w:val="28"/>
          <w:szCs w:val="28"/>
        </w:rPr>
      </w:pPr>
    </w:p>
    <w:p w14:paraId="59FB3F8A" w14:textId="4D8688F7" w:rsidR="00FC6DFA" w:rsidRDefault="009F1B79">
      <w:pPr>
        <w:pBdr>
          <w:top w:val="single" w:sz="4" w:space="4" w:color="000000"/>
          <w:left w:val="single" w:sz="4" w:space="4" w:color="000000"/>
          <w:bottom w:val="single" w:sz="4" w:space="4" w:color="000000"/>
          <w:right w:val="single" w:sz="4" w:space="4" w:color="000000"/>
        </w:pBdr>
        <w:ind w:right="237"/>
        <w:jc w:val="center"/>
        <w:rPr>
          <w:rFonts w:ascii="Arial" w:eastAsia="Arial" w:hAnsi="Arial" w:cs="Arial"/>
          <w:b/>
          <w:color w:val="000000"/>
          <w:sz w:val="28"/>
          <w:szCs w:val="28"/>
        </w:rPr>
      </w:pPr>
      <w:r>
        <w:rPr>
          <w:rFonts w:ascii="Arial" w:eastAsia="Arial" w:hAnsi="Arial" w:cs="Arial"/>
          <w:b/>
          <w:color w:val="000000"/>
          <w:sz w:val="28"/>
          <w:szCs w:val="28"/>
        </w:rPr>
        <w:t xml:space="preserve">Submission Deadline: 23:59hrs Friday </w:t>
      </w:r>
      <w:r w:rsidR="00CD5F95">
        <w:rPr>
          <w:rFonts w:ascii="Arial" w:eastAsia="Arial" w:hAnsi="Arial" w:cs="Arial"/>
          <w:b/>
          <w:sz w:val="28"/>
          <w:szCs w:val="28"/>
        </w:rPr>
        <w:t>8</w:t>
      </w:r>
      <w:r>
        <w:rPr>
          <w:rFonts w:ascii="Arial" w:eastAsia="Arial" w:hAnsi="Arial" w:cs="Arial"/>
          <w:b/>
          <w:color w:val="000000"/>
          <w:sz w:val="28"/>
          <w:szCs w:val="28"/>
          <w:vertAlign w:val="superscript"/>
        </w:rPr>
        <w:t>th</w:t>
      </w:r>
      <w:r>
        <w:rPr>
          <w:rFonts w:ascii="Arial" w:eastAsia="Arial" w:hAnsi="Arial" w:cs="Arial"/>
          <w:b/>
          <w:color w:val="000000"/>
          <w:sz w:val="28"/>
          <w:szCs w:val="28"/>
        </w:rPr>
        <w:t xml:space="preserve"> May 202</w:t>
      </w:r>
      <w:r>
        <w:rPr>
          <w:rFonts w:ascii="Arial" w:eastAsia="Arial" w:hAnsi="Arial" w:cs="Arial"/>
          <w:b/>
          <w:sz w:val="28"/>
          <w:szCs w:val="28"/>
        </w:rPr>
        <w:t>6</w:t>
      </w:r>
    </w:p>
    <w:p w14:paraId="16C17803" w14:textId="77777777" w:rsidR="00FC6DFA" w:rsidRDefault="00FC6DFA">
      <w:pPr>
        <w:ind w:right="237"/>
        <w:jc w:val="center"/>
        <w:rPr>
          <w:rFonts w:ascii="Arial" w:eastAsia="Arial" w:hAnsi="Arial" w:cs="Arial"/>
          <w:b/>
          <w:color w:val="000000"/>
          <w:sz w:val="28"/>
          <w:szCs w:val="28"/>
        </w:rPr>
      </w:pPr>
    </w:p>
    <w:p w14:paraId="1725CDA1" w14:textId="77777777" w:rsidR="00FC6DFA" w:rsidRDefault="00FC6DFA">
      <w:pPr>
        <w:ind w:right="237"/>
        <w:jc w:val="center"/>
        <w:rPr>
          <w:rFonts w:ascii="Arial" w:eastAsia="Arial" w:hAnsi="Arial" w:cs="Arial"/>
          <w:b/>
          <w:color w:val="000000"/>
          <w:sz w:val="28"/>
          <w:szCs w:val="28"/>
        </w:rPr>
      </w:pPr>
    </w:p>
    <w:p w14:paraId="204E585B" w14:textId="77777777" w:rsidR="00FC6DFA" w:rsidRDefault="009F1B79">
      <w:pPr>
        <w:ind w:right="237"/>
        <w:jc w:val="center"/>
        <w:rPr>
          <w:rFonts w:ascii="Arial" w:eastAsia="Arial" w:hAnsi="Arial" w:cs="Arial"/>
          <w:b/>
          <w:color w:val="000000"/>
          <w:sz w:val="28"/>
          <w:szCs w:val="28"/>
        </w:rPr>
      </w:pPr>
      <w:r>
        <w:rPr>
          <w:rFonts w:ascii="Arial" w:eastAsia="Arial" w:hAnsi="Arial" w:cs="Arial"/>
          <w:b/>
          <w:color w:val="000000"/>
          <w:sz w:val="28"/>
          <w:szCs w:val="28"/>
        </w:rPr>
        <w:t>Workbook title: Competency Based Workbook 2</w:t>
      </w:r>
    </w:p>
    <w:p w14:paraId="78A05DBE" w14:textId="77777777" w:rsidR="00FC6DFA" w:rsidRDefault="009F1B79">
      <w:pPr>
        <w:ind w:right="237"/>
        <w:jc w:val="center"/>
        <w:rPr>
          <w:rFonts w:ascii="Arial" w:eastAsia="Arial" w:hAnsi="Arial" w:cs="Arial"/>
          <w:b/>
          <w:i/>
          <w:color w:val="0070C0"/>
          <w:sz w:val="32"/>
          <w:szCs w:val="32"/>
        </w:rPr>
      </w:pPr>
      <w:r>
        <w:rPr>
          <w:rFonts w:ascii="Arial" w:eastAsia="Arial" w:hAnsi="Arial" w:cs="Arial"/>
          <w:b/>
          <w:i/>
          <w:color w:val="0070C0"/>
          <w:sz w:val="32"/>
          <w:szCs w:val="32"/>
        </w:rPr>
        <w:t>Module BMPI6002D – Professional Investigative Practice</w:t>
      </w:r>
    </w:p>
    <w:p w14:paraId="3B393530" w14:textId="77777777" w:rsidR="00FC6DFA" w:rsidRDefault="00FC6DFA">
      <w:pPr>
        <w:ind w:right="237"/>
        <w:rPr>
          <w:rFonts w:ascii="Arial" w:eastAsia="Arial" w:hAnsi="Arial" w:cs="Arial"/>
          <w:b/>
          <w:color w:val="000000"/>
          <w:sz w:val="32"/>
          <w:szCs w:val="32"/>
        </w:rPr>
      </w:pPr>
    </w:p>
    <w:p w14:paraId="1CBA5352" w14:textId="77777777" w:rsidR="00FC6DFA" w:rsidRDefault="00FC6DFA">
      <w:pPr>
        <w:rPr>
          <w:rFonts w:ascii="Arial" w:eastAsia="Arial" w:hAnsi="Arial" w:cs="Arial"/>
          <w:sz w:val="36"/>
          <w:szCs w:val="36"/>
        </w:rPr>
      </w:pPr>
    </w:p>
    <w:tbl>
      <w:tblPr>
        <w:tblStyle w:val="a"/>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FC6DFA" w14:paraId="3AA747F1" w14:textId="77777777">
        <w:trPr>
          <w:trHeight w:val="1980"/>
        </w:trPr>
        <w:tc>
          <w:tcPr>
            <w:tcW w:w="9015" w:type="dxa"/>
          </w:tcPr>
          <w:p w14:paraId="331B454F" w14:textId="11A08534" w:rsidR="00FC6DFA" w:rsidRDefault="009F1B79">
            <w:pPr>
              <w:ind w:right="237"/>
              <w:rPr>
                <w:rFonts w:ascii="Arial" w:eastAsia="Arial" w:hAnsi="Arial" w:cs="Arial"/>
                <w:color w:val="000000"/>
                <w:sz w:val="28"/>
                <w:szCs w:val="28"/>
              </w:rPr>
            </w:pPr>
            <w:r>
              <w:rPr>
                <w:rFonts w:ascii="Arial" w:eastAsia="Arial" w:hAnsi="Arial" w:cs="Arial"/>
                <w:b/>
                <w:color w:val="000000"/>
                <w:sz w:val="28"/>
                <w:szCs w:val="28"/>
              </w:rPr>
              <w:t xml:space="preserve">Student name: </w:t>
            </w:r>
            <w:r w:rsidR="00465E69">
              <w:rPr>
                <w:rFonts w:ascii="Arial" w:eastAsia="Arial" w:hAnsi="Arial" w:cs="Arial"/>
                <w:b/>
                <w:color w:val="000000"/>
                <w:sz w:val="28"/>
                <w:szCs w:val="28"/>
              </w:rPr>
              <w:t>David Thomas</w:t>
            </w:r>
          </w:p>
          <w:p w14:paraId="383EBD58" w14:textId="77777777" w:rsidR="00FC6DFA" w:rsidRDefault="00FC6DFA">
            <w:pPr>
              <w:ind w:right="237"/>
              <w:rPr>
                <w:rFonts w:ascii="Arial" w:eastAsia="Arial" w:hAnsi="Arial" w:cs="Arial"/>
                <w:color w:val="000000"/>
                <w:sz w:val="28"/>
                <w:szCs w:val="28"/>
              </w:rPr>
            </w:pPr>
          </w:p>
          <w:p w14:paraId="59F2A40C" w14:textId="77777777" w:rsidR="00FC6DFA" w:rsidRDefault="009F1B79">
            <w:pPr>
              <w:ind w:right="237"/>
              <w:rPr>
                <w:rFonts w:ascii="Arial" w:eastAsia="Arial" w:hAnsi="Arial" w:cs="Arial"/>
                <w:color w:val="000000"/>
                <w:sz w:val="28"/>
                <w:szCs w:val="28"/>
              </w:rPr>
            </w:pPr>
            <w:r>
              <w:rPr>
                <w:rFonts w:ascii="Arial" w:eastAsia="Arial" w:hAnsi="Arial" w:cs="Arial"/>
                <w:b/>
                <w:color w:val="000000"/>
                <w:sz w:val="28"/>
                <w:szCs w:val="28"/>
              </w:rPr>
              <w:t>Student’s University Registration Number:</w:t>
            </w:r>
          </w:p>
          <w:p w14:paraId="4C8C3A59" w14:textId="0B95785B" w:rsidR="00FC6DFA" w:rsidRDefault="00465E69">
            <w:pPr>
              <w:ind w:right="237"/>
              <w:rPr>
                <w:rFonts w:ascii="Arial" w:eastAsia="Arial" w:hAnsi="Arial" w:cs="Arial"/>
                <w:color w:val="000000"/>
                <w:sz w:val="28"/>
                <w:szCs w:val="28"/>
              </w:rPr>
            </w:pPr>
            <w:r>
              <w:rPr>
                <w:rFonts w:ascii="Arial" w:eastAsia="Arial" w:hAnsi="Arial" w:cs="Arial"/>
                <w:b/>
                <w:color w:val="000000"/>
                <w:sz w:val="28"/>
                <w:szCs w:val="28"/>
              </w:rPr>
              <w:t>2519864</w:t>
            </w:r>
          </w:p>
        </w:tc>
      </w:tr>
    </w:tbl>
    <w:p w14:paraId="3E7FB9B3" w14:textId="77777777" w:rsidR="00FC6DFA" w:rsidRDefault="00FC6DFA">
      <w:pPr>
        <w:ind w:right="237"/>
        <w:rPr>
          <w:rFonts w:ascii="Arial" w:eastAsia="Arial" w:hAnsi="Arial" w:cs="Arial"/>
          <w:color w:val="000000"/>
          <w:sz w:val="32"/>
          <w:szCs w:val="32"/>
        </w:rPr>
      </w:pPr>
    </w:p>
    <w:p w14:paraId="4503D700" w14:textId="77777777" w:rsidR="00FC6DFA" w:rsidRDefault="00FC6DFA">
      <w:pPr>
        <w:ind w:right="237"/>
        <w:rPr>
          <w:rFonts w:ascii="Arial" w:eastAsia="Arial" w:hAnsi="Arial" w:cs="Arial"/>
          <w:color w:val="000000"/>
          <w:sz w:val="32"/>
          <w:szCs w:val="32"/>
        </w:rPr>
      </w:pPr>
    </w:p>
    <w:p w14:paraId="3F5C0613" w14:textId="77777777" w:rsidR="00FC6DFA" w:rsidRDefault="00FC6DFA">
      <w:pPr>
        <w:ind w:right="237"/>
        <w:rPr>
          <w:rFonts w:ascii="Arial" w:eastAsia="Arial" w:hAnsi="Arial" w:cs="Arial"/>
          <w:color w:val="000000"/>
          <w:sz w:val="32"/>
          <w:szCs w:val="32"/>
        </w:rPr>
      </w:pPr>
    </w:p>
    <w:p w14:paraId="4861D008" w14:textId="77777777" w:rsidR="00FC6DFA" w:rsidRDefault="00FC6DFA">
      <w:pPr>
        <w:ind w:right="237"/>
        <w:rPr>
          <w:rFonts w:ascii="Arial" w:eastAsia="Arial" w:hAnsi="Arial" w:cs="Arial"/>
          <w:color w:val="000000"/>
          <w:sz w:val="32"/>
          <w:szCs w:val="32"/>
        </w:rPr>
      </w:pPr>
    </w:p>
    <w:p w14:paraId="6B76A788" w14:textId="77777777" w:rsidR="00FC6DFA" w:rsidRDefault="00FC6DFA">
      <w:pPr>
        <w:ind w:right="237"/>
        <w:rPr>
          <w:rFonts w:ascii="Arial" w:eastAsia="Arial" w:hAnsi="Arial" w:cs="Arial"/>
          <w:color w:val="000000"/>
          <w:sz w:val="32"/>
          <w:szCs w:val="32"/>
        </w:rPr>
      </w:pPr>
    </w:p>
    <w:p w14:paraId="7CCB323E" w14:textId="1543F7CF" w:rsidR="00FC6DFA" w:rsidRDefault="00CD5F95">
      <w:pPr>
        <w:ind w:right="237"/>
        <w:rPr>
          <w:rFonts w:ascii="Arial" w:eastAsia="Arial" w:hAnsi="Arial" w:cs="Arial"/>
          <w:b/>
          <w:i/>
          <w:color w:val="000000"/>
          <w:sz w:val="24"/>
          <w:szCs w:val="24"/>
        </w:rPr>
      </w:pPr>
      <w:r>
        <w:rPr>
          <w:rFonts w:ascii="Arial" w:eastAsia="Arial" w:hAnsi="Arial" w:cs="Arial"/>
          <w:b/>
          <w:i/>
          <w:color w:val="000000"/>
          <w:sz w:val="28"/>
          <w:szCs w:val="28"/>
        </w:rPr>
        <w:t>Swansea Law School</w:t>
      </w:r>
    </w:p>
    <w:p w14:paraId="1A536046" w14:textId="77777777" w:rsidR="00FC6DFA" w:rsidRDefault="00FC6DFA">
      <w:pPr>
        <w:ind w:right="237"/>
        <w:jc w:val="center"/>
        <w:rPr>
          <w:rFonts w:ascii="Arial" w:eastAsia="Arial" w:hAnsi="Arial" w:cs="Arial"/>
          <w:b/>
          <w:color w:val="000000"/>
          <w:sz w:val="28"/>
          <w:szCs w:val="28"/>
        </w:rPr>
      </w:pPr>
    </w:p>
    <w:p w14:paraId="0BA118B4" w14:textId="77777777" w:rsidR="00FC6DFA" w:rsidRDefault="009F1B79">
      <w:pPr>
        <w:ind w:right="237"/>
        <w:jc w:val="center"/>
        <w:rPr>
          <w:rFonts w:ascii="Arial" w:eastAsia="Arial" w:hAnsi="Arial" w:cs="Arial"/>
          <w:color w:val="000000"/>
          <w:sz w:val="28"/>
          <w:szCs w:val="28"/>
        </w:rPr>
      </w:pPr>
      <w:r>
        <w:rPr>
          <w:rFonts w:ascii="Arial" w:eastAsia="Arial" w:hAnsi="Arial" w:cs="Arial"/>
          <w:b/>
          <w:color w:val="000000"/>
          <w:sz w:val="28"/>
          <w:szCs w:val="28"/>
        </w:rPr>
        <w:lastRenderedPageBreak/>
        <w:t>Workbook Guidance</w:t>
      </w:r>
    </w:p>
    <w:p w14:paraId="3E3D5881" w14:textId="77777777" w:rsidR="00FC6DFA" w:rsidRDefault="00FC6DFA">
      <w:pPr>
        <w:ind w:right="237"/>
        <w:jc w:val="center"/>
        <w:rPr>
          <w:rFonts w:ascii="Arial" w:eastAsia="Arial" w:hAnsi="Arial" w:cs="Arial"/>
          <w:b/>
          <w:color w:val="000000"/>
          <w:sz w:val="28"/>
          <w:szCs w:val="28"/>
        </w:rPr>
      </w:pPr>
    </w:p>
    <w:p w14:paraId="52791FA9" w14:textId="77777777" w:rsidR="00FC6DFA" w:rsidRDefault="009F1B79">
      <w:pPr>
        <w:ind w:right="237"/>
        <w:jc w:val="both"/>
        <w:rPr>
          <w:rFonts w:ascii="Arial" w:eastAsia="Arial" w:hAnsi="Arial" w:cs="Arial"/>
          <w:color w:val="000000"/>
          <w:sz w:val="24"/>
          <w:szCs w:val="24"/>
        </w:rPr>
      </w:pPr>
      <w:r>
        <w:rPr>
          <w:rFonts w:ascii="Arial" w:eastAsia="Arial" w:hAnsi="Arial" w:cs="Arial"/>
          <w:color w:val="000000"/>
          <w:sz w:val="24"/>
          <w:szCs w:val="24"/>
        </w:rPr>
        <w:t>Please read these notes carefully. They provide essential information in relation to your assessment. The documents you will use in developing your workbook are on the following pages.</w:t>
      </w:r>
    </w:p>
    <w:p w14:paraId="0BC06539" w14:textId="77777777" w:rsidR="00FC6DFA" w:rsidRDefault="009F1B79">
      <w:pPr>
        <w:ind w:right="237"/>
        <w:jc w:val="both"/>
        <w:rPr>
          <w:rFonts w:ascii="Arial" w:eastAsia="Arial" w:hAnsi="Arial" w:cs="Arial"/>
          <w:color w:val="000000"/>
          <w:sz w:val="24"/>
          <w:szCs w:val="24"/>
        </w:rPr>
      </w:pPr>
      <w:r>
        <w:rPr>
          <w:rFonts w:ascii="Arial" w:eastAsia="Arial" w:hAnsi="Arial" w:cs="Arial"/>
          <w:b/>
          <w:color w:val="000000"/>
          <w:sz w:val="24"/>
          <w:szCs w:val="24"/>
        </w:rPr>
        <w:t>What is the workbook for?</w:t>
      </w:r>
    </w:p>
    <w:p w14:paraId="6EF7F27A" w14:textId="77777777" w:rsidR="00FC6DFA" w:rsidRDefault="009F1B79">
      <w:pPr>
        <w:ind w:right="237"/>
        <w:jc w:val="both"/>
        <w:rPr>
          <w:rFonts w:ascii="Arial" w:eastAsia="Arial" w:hAnsi="Arial" w:cs="Arial"/>
          <w:color w:val="000000"/>
          <w:sz w:val="24"/>
          <w:szCs w:val="24"/>
        </w:rPr>
      </w:pPr>
      <w:r>
        <w:rPr>
          <w:rFonts w:ascii="Arial" w:eastAsia="Arial" w:hAnsi="Arial" w:cs="Arial"/>
          <w:color w:val="000000"/>
          <w:sz w:val="24"/>
          <w:szCs w:val="24"/>
        </w:rPr>
        <w:t xml:space="preserve">The purpose of this workbook is to enable learners to demonstrate and provide evidence of how they meet the learning outcomes for the BSc Professional Investigation. You are being asked to outline your experiential learning based upon your theoretical understanding in a range of operational situations. </w:t>
      </w:r>
    </w:p>
    <w:p w14:paraId="391E2A0E" w14:textId="77777777" w:rsidR="00FC6DFA" w:rsidRDefault="009F1B79">
      <w:pPr>
        <w:ind w:right="237"/>
        <w:jc w:val="both"/>
        <w:rPr>
          <w:rFonts w:ascii="Arial" w:eastAsia="Arial" w:hAnsi="Arial" w:cs="Arial"/>
          <w:color w:val="000000"/>
          <w:sz w:val="24"/>
          <w:szCs w:val="24"/>
        </w:rPr>
      </w:pPr>
      <w:r>
        <w:rPr>
          <w:rFonts w:ascii="Arial" w:eastAsia="Arial" w:hAnsi="Arial" w:cs="Arial"/>
          <w:b/>
          <w:color w:val="000000"/>
          <w:sz w:val="24"/>
          <w:szCs w:val="24"/>
        </w:rPr>
        <w:t>How should the workbook be presented?</w:t>
      </w:r>
    </w:p>
    <w:p w14:paraId="55403F1D" w14:textId="77777777" w:rsidR="00FC6DFA" w:rsidRDefault="009F1B79">
      <w:pPr>
        <w:jc w:val="both"/>
        <w:rPr>
          <w:rFonts w:ascii="Arial" w:eastAsia="Arial" w:hAnsi="Arial" w:cs="Arial"/>
          <w:color w:val="000000"/>
          <w:sz w:val="24"/>
          <w:szCs w:val="24"/>
        </w:rPr>
      </w:pPr>
      <w:r>
        <w:rPr>
          <w:rFonts w:ascii="Arial" w:eastAsia="Arial" w:hAnsi="Arial" w:cs="Arial"/>
          <w:color w:val="000000"/>
          <w:sz w:val="24"/>
          <w:szCs w:val="24"/>
        </w:rPr>
        <w:t>Blank electronic copies of this workbook can be found on Moodle. You must submit your assessment document electronically once completed, therefore it is important that you save your work regularly and upload the final typed version through Turnitin on Moodle. Further guidance will be provided by your tutor.</w:t>
      </w:r>
    </w:p>
    <w:p w14:paraId="1CC2282F" w14:textId="77777777" w:rsidR="00FC6DFA" w:rsidRDefault="009F1B79">
      <w:pPr>
        <w:jc w:val="both"/>
        <w:rPr>
          <w:rFonts w:ascii="Arial" w:eastAsia="Arial" w:hAnsi="Arial" w:cs="Arial"/>
          <w:color w:val="000000"/>
          <w:sz w:val="24"/>
          <w:szCs w:val="24"/>
        </w:rPr>
      </w:pPr>
      <w:r>
        <w:rPr>
          <w:rFonts w:ascii="Arial" w:eastAsia="Arial" w:hAnsi="Arial" w:cs="Arial"/>
          <w:b/>
          <w:color w:val="000000"/>
          <w:sz w:val="24"/>
          <w:szCs w:val="24"/>
        </w:rPr>
        <w:t>The word count policy</w:t>
      </w:r>
      <w:r>
        <w:rPr>
          <w:rFonts w:ascii="Arial" w:eastAsia="Arial" w:hAnsi="Arial" w:cs="Arial"/>
          <w:color w:val="000000"/>
          <w:sz w:val="24"/>
          <w:szCs w:val="24"/>
        </w:rPr>
        <w:t xml:space="preserve"> can be found in chapter 7 of the Academic Quality Handbook under section 7.7 (this applies to presenting work above and under the specified word count).  </w:t>
      </w:r>
    </w:p>
    <w:p w14:paraId="5F8C5516" w14:textId="77777777" w:rsidR="00FC6DFA" w:rsidRDefault="009F1B79">
      <w:pPr>
        <w:jc w:val="both"/>
        <w:rPr>
          <w:rFonts w:ascii="Arial" w:eastAsia="Arial" w:hAnsi="Arial" w:cs="Arial"/>
          <w:color w:val="0000FF"/>
          <w:sz w:val="20"/>
          <w:szCs w:val="20"/>
        </w:rPr>
      </w:pPr>
      <w:r>
        <w:rPr>
          <w:rFonts w:ascii="Arial" w:eastAsia="Arial" w:hAnsi="Arial" w:cs="Arial"/>
          <w:color w:val="000000"/>
          <w:sz w:val="20"/>
          <w:szCs w:val="20"/>
        </w:rPr>
        <w:t>(</w:t>
      </w:r>
      <w:hyperlink r:id="rId8">
        <w:r>
          <w:rPr>
            <w:rFonts w:ascii="Arial" w:eastAsia="Arial" w:hAnsi="Arial" w:cs="Arial"/>
            <w:color w:val="0563C1"/>
            <w:sz w:val="20"/>
            <w:szCs w:val="20"/>
            <w:u w:val="single"/>
          </w:rPr>
          <w:t>https://www.uwtsd.ac.uk/media/uwtsd-website/content-assets/documents/academic-office/aqh-chapters/chapters---en/Chapter_07_Assessment_Taught_Programmes_Pages_72-79-UPDATED-05-11-2019.pdf</w:t>
        </w:r>
      </w:hyperlink>
      <w:r>
        <w:rPr>
          <w:rFonts w:ascii="Arial" w:eastAsia="Arial" w:hAnsi="Arial" w:cs="Arial"/>
          <w:color w:val="0000FF"/>
          <w:sz w:val="20"/>
          <w:szCs w:val="20"/>
          <w:u w:val="single"/>
        </w:rPr>
        <w:t xml:space="preserve">) </w:t>
      </w:r>
    </w:p>
    <w:p w14:paraId="25A907CF" w14:textId="77777777" w:rsidR="00FC6DFA" w:rsidRDefault="009F1B79">
      <w:pPr>
        <w:jc w:val="both"/>
        <w:rPr>
          <w:rFonts w:ascii="Arial" w:eastAsia="Arial" w:hAnsi="Arial" w:cs="Arial"/>
          <w:color w:val="000000"/>
          <w:sz w:val="24"/>
          <w:szCs w:val="24"/>
        </w:rPr>
      </w:pPr>
      <w:r>
        <w:rPr>
          <w:rFonts w:ascii="Arial" w:eastAsia="Arial" w:hAnsi="Arial" w:cs="Arial"/>
          <w:b/>
          <w:color w:val="000000"/>
          <w:sz w:val="24"/>
          <w:szCs w:val="24"/>
        </w:rPr>
        <w:t>Reflective practice</w:t>
      </w:r>
      <w:r>
        <w:rPr>
          <w:rFonts w:ascii="Arial" w:eastAsia="Arial" w:hAnsi="Arial" w:cs="Arial"/>
          <w:color w:val="000000"/>
          <w:sz w:val="24"/>
          <w:szCs w:val="24"/>
        </w:rPr>
        <w:t xml:space="preserve"> is a core aspect for your workbooks and although there is a variety of useful resources on Moodle, there is one book, that is specifically based on reflective practice in policing, here is a link to one chapter from Selina Copley’s Reflective Practice for Policing Students: </w:t>
      </w:r>
    </w:p>
    <w:p w14:paraId="609D495E" w14:textId="77777777" w:rsidR="00FC6DFA" w:rsidRDefault="009F1B79">
      <w:pPr>
        <w:jc w:val="both"/>
        <w:rPr>
          <w:rFonts w:ascii="Arial" w:eastAsia="Arial" w:hAnsi="Arial" w:cs="Arial"/>
          <w:color w:val="000000"/>
          <w:sz w:val="20"/>
          <w:szCs w:val="20"/>
        </w:rPr>
      </w:pPr>
      <w:hyperlink r:id="rId9">
        <w:r>
          <w:rPr>
            <w:rFonts w:ascii="Arial" w:eastAsia="Arial" w:hAnsi="Arial" w:cs="Arial"/>
            <w:color w:val="0563C1"/>
            <w:sz w:val="20"/>
            <w:szCs w:val="20"/>
            <w:u w:val="single"/>
          </w:rPr>
          <w:t>https://moodle.uwtsd.ac.uk/pluginfile.php/298870/mod_resource/content/1/Reflective%20Practice%20for%20Policing%20Students%20-%20Selina%20Copley%20Chapter5.pdf</w:t>
        </w:r>
      </w:hyperlink>
    </w:p>
    <w:p w14:paraId="0D148BB2" w14:textId="77777777" w:rsidR="00FC6DFA" w:rsidRDefault="009F1B79">
      <w:pPr>
        <w:jc w:val="both"/>
        <w:rPr>
          <w:rFonts w:ascii="Arial" w:eastAsia="Arial" w:hAnsi="Arial" w:cs="Arial"/>
          <w:color w:val="000000"/>
          <w:sz w:val="24"/>
          <w:szCs w:val="24"/>
        </w:rPr>
      </w:pPr>
      <w:r>
        <w:rPr>
          <w:rFonts w:ascii="Arial" w:eastAsia="Arial" w:hAnsi="Arial" w:cs="Arial"/>
          <w:b/>
          <w:color w:val="000000"/>
          <w:sz w:val="24"/>
          <w:szCs w:val="24"/>
        </w:rPr>
        <w:t>How is the workbook assessed?</w:t>
      </w:r>
    </w:p>
    <w:p w14:paraId="683FD865" w14:textId="77777777" w:rsidR="00FC6DFA" w:rsidRDefault="009F1B79">
      <w:pPr>
        <w:jc w:val="both"/>
        <w:rPr>
          <w:rFonts w:ascii="Arial" w:eastAsia="Arial" w:hAnsi="Arial" w:cs="Arial"/>
          <w:color w:val="000000"/>
          <w:sz w:val="24"/>
          <w:szCs w:val="24"/>
        </w:rPr>
      </w:pPr>
      <w:r>
        <w:rPr>
          <w:rFonts w:ascii="Arial" w:eastAsia="Arial" w:hAnsi="Arial" w:cs="Arial"/>
          <w:color w:val="000000"/>
          <w:sz w:val="24"/>
          <w:szCs w:val="24"/>
        </w:rPr>
        <w:t xml:space="preserve">Advice and support about the completion of this workbook is available to you. Please contact your tutor with any questions or queries you may have if you are unsure. </w:t>
      </w:r>
    </w:p>
    <w:p w14:paraId="745D8563" w14:textId="77777777" w:rsidR="00FC6DFA" w:rsidRDefault="009F1B79">
      <w:pPr>
        <w:jc w:val="both"/>
        <w:rPr>
          <w:rFonts w:ascii="Arial" w:eastAsia="Arial" w:hAnsi="Arial" w:cs="Arial"/>
          <w:color w:val="000000"/>
          <w:sz w:val="24"/>
          <w:szCs w:val="24"/>
        </w:rPr>
      </w:pPr>
      <w:r>
        <w:rPr>
          <w:rFonts w:ascii="Arial" w:eastAsia="Arial" w:hAnsi="Arial" w:cs="Arial"/>
          <w:color w:val="000000"/>
          <w:sz w:val="24"/>
          <w:szCs w:val="24"/>
        </w:rPr>
        <w:t xml:space="preserve">Once submitted your workbook will be assessed and marked independently. You will be provided with individual feedback once the work has been marked. </w:t>
      </w:r>
    </w:p>
    <w:p w14:paraId="42D319FB" w14:textId="77777777" w:rsidR="00FC6DFA" w:rsidRDefault="009F1B79">
      <w:pPr>
        <w:ind w:right="237"/>
        <w:jc w:val="both"/>
        <w:rPr>
          <w:rFonts w:ascii="Arial" w:eastAsia="Arial" w:hAnsi="Arial" w:cs="Arial"/>
          <w:color w:val="000000"/>
          <w:sz w:val="24"/>
          <w:szCs w:val="24"/>
        </w:rPr>
      </w:pPr>
      <w:r>
        <w:rPr>
          <w:rFonts w:ascii="Arial" w:eastAsia="Arial" w:hAnsi="Arial" w:cs="Arial"/>
          <w:b/>
          <w:color w:val="000000"/>
          <w:sz w:val="24"/>
          <w:szCs w:val="24"/>
        </w:rPr>
        <w:t>Confidentiality</w:t>
      </w:r>
    </w:p>
    <w:p w14:paraId="37988521" w14:textId="77777777" w:rsidR="00FC6DFA" w:rsidRDefault="009F1B79">
      <w:pPr>
        <w:ind w:right="237"/>
        <w:jc w:val="both"/>
        <w:rPr>
          <w:rFonts w:ascii="Arial" w:eastAsia="Arial" w:hAnsi="Arial" w:cs="Arial"/>
          <w:color w:val="000000"/>
          <w:sz w:val="24"/>
          <w:szCs w:val="24"/>
        </w:rPr>
      </w:pPr>
      <w:r>
        <w:rPr>
          <w:rFonts w:ascii="Arial" w:eastAsia="Arial" w:hAnsi="Arial" w:cs="Arial"/>
          <w:color w:val="000000"/>
          <w:sz w:val="24"/>
          <w:szCs w:val="24"/>
        </w:rPr>
        <w:t>It is important that no individual can be identified either directly or indirectly from the information in the workbook. You must therefore:</w:t>
      </w:r>
    </w:p>
    <w:p w14:paraId="71381FBF" w14:textId="77777777" w:rsidR="00FC6DFA" w:rsidRDefault="009F1B79">
      <w:pPr>
        <w:numPr>
          <w:ilvl w:val="0"/>
          <w:numId w:val="3"/>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Adhere to guidance in the Candidate Handbook about confidentiality.</w:t>
      </w:r>
    </w:p>
    <w:p w14:paraId="1126DDA6" w14:textId="77777777" w:rsidR="00FC6DFA" w:rsidRDefault="009F1B79">
      <w:pPr>
        <w:numPr>
          <w:ilvl w:val="0"/>
          <w:numId w:val="3"/>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Not identify individuals including witnesses, victims, or offenders by name.</w:t>
      </w:r>
    </w:p>
    <w:p w14:paraId="1B11D524" w14:textId="77777777" w:rsidR="00FC6DFA" w:rsidRDefault="009F1B79">
      <w:pPr>
        <w:numPr>
          <w:ilvl w:val="0"/>
          <w:numId w:val="2"/>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lastRenderedPageBreak/>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162A8386" w14:textId="77777777" w:rsidR="00FC6DFA" w:rsidRDefault="009F1B79">
      <w:pPr>
        <w:numPr>
          <w:ilvl w:val="0"/>
          <w:numId w:val="2"/>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 xml:space="preserve">Take personal responsibility for adhering to confidentiality rules. </w:t>
      </w:r>
    </w:p>
    <w:p w14:paraId="78045D0E" w14:textId="77777777" w:rsidR="00FC6DFA" w:rsidRDefault="009F1B79">
      <w:pPr>
        <w:numPr>
          <w:ilvl w:val="0"/>
          <w:numId w:val="2"/>
        </w:numPr>
        <w:pBdr>
          <w:top w:val="nil"/>
          <w:left w:val="nil"/>
          <w:bottom w:val="nil"/>
          <w:right w:val="nil"/>
          <w:between w:val="nil"/>
        </w:pBdr>
        <w:ind w:right="237"/>
        <w:jc w:val="both"/>
        <w:rPr>
          <w:rFonts w:ascii="Arial" w:eastAsia="Arial" w:hAnsi="Arial" w:cs="Arial"/>
          <w:color w:val="000000"/>
          <w:sz w:val="24"/>
          <w:szCs w:val="24"/>
        </w:rPr>
      </w:pPr>
      <w:r>
        <w:rPr>
          <w:rFonts w:ascii="Arial" w:eastAsia="Arial" w:hAnsi="Arial" w:cs="Arial"/>
          <w:color w:val="000000"/>
          <w:sz w:val="24"/>
          <w:szCs w:val="24"/>
        </w:rPr>
        <w:t>Not include any dates of any incidents or anything that specifically identifies an actual incident.</w:t>
      </w:r>
    </w:p>
    <w:p w14:paraId="5A72D6D3" w14:textId="77777777" w:rsidR="00FC6DFA" w:rsidRDefault="009F1B79">
      <w:pPr>
        <w:ind w:right="237"/>
        <w:jc w:val="both"/>
        <w:rPr>
          <w:rFonts w:ascii="Arial" w:eastAsia="Arial" w:hAnsi="Arial" w:cs="Arial"/>
          <w:color w:val="000000"/>
          <w:sz w:val="24"/>
          <w:szCs w:val="24"/>
        </w:rPr>
      </w:pPr>
      <w:r>
        <w:rPr>
          <w:rFonts w:ascii="Arial" w:eastAsia="Arial" w:hAnsi="Arial" w:cs="Arial"/>
          <w:b/>
          <w:color w:val="000000"/>
          <w:sz w:val="24"/>
          <w:szCs w:val="24"/>
        </w:rPr>
        <w:t>NOTE:</w:t>
      </w:r>
    </w:p>
    <w:p w14:paraId="02A8367F" w14:textId="77777777" w:rsidR="00FC6DFA" w:rsidRDefault="009F1B79">
      <w:pPr>
        <w:ind w:right="237"/>
        <w:jc w:val="both"/>
        <w:rPr>
          <w:rFonts w:ascii="Arial" w:eastAsia="Arial" w:hAnsi="Arial" w:cs="Arial"/>
          <w:color w:val="000000"/>
          <w:sz w:val="24"/>
          <w:szCs w:val="24"/>
        </w:rPr>
      </w:pPr>
      <w:r>
        <w:rPr>
          <w:rFonts w:ascii="Arial" w:eastAsia="Arial" w:hAnsi="Arial" w:cs="Arial"/>
          <w:color w:val="000000"/>
          <w:sz w:val="24"/>
          <w:szCs w:val="24"/>
        </w:rPr>
        <w:t xml:space="preserve">Your workbook will be submitted electronically via Turnitin on Moodle. Guidance on this is in the student handbook and within Moodle. </w:t>
      </w:r>
    </w:p>
    <w:p w14:paraId="0A3F5173" w14:textId="77777777" w:rsidR="00FC6DFA" w:rsidRDefault="009F1B79">
      <w:pPr>
        <w:ind w:right="237"/>
        <w:jc w:val="both"/>
        <w:rPr>
          <w:rFonts w:ascii="Arial" w:eastAsia="Arial" w:hAnsi="Arial" w:cs="Arial"/>
          <w:color w:val="000000"/>
          <w:sz w:val="24"/>
          <w:szCs w:val="24"/>
        </w:rPr>
      </w:pPr>
      <w:r>
        <w:rPr>
          <w:rFonts w:ascii="Arial" w:eastAsia="Arial" w:hAnsi="Arial" w:cs="Arial"/>
          <w:b/>
          <w:i/>
          <w:color w:val="000000"/>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0292453D" w14:textId="77777777" w:rsidR="00FC6DFA" w:rsidRDefault="00FC6DFA">
      <w:pPr>
        <w:spacing w:before="120" w:after="0" w:line="240" w:lineRule="auto"/>
        <w:rPr>
          <w:rFonts w:ascii="Arial" w:eastAsia="Arial" w:hAnsi="Arial" w:cs="Arial"/>
          <w:b/>
          <w:color w:val="000000"/>
        </w:rPr>
      </w:pPr>
    </w:p>
    <w:p w14:paraId="4076DAB3" w14:textId="77777777" w:rsidR="00FC6DFA" w:rsidRDefault="009F1B79">
      <w:pPr>
        <w:spacing w:before="120" w:after="0" w:line="240" w:lineRule="auto"/>
        <w:rPr>
          <w:rFonts w:ascii="Arial" w:eastAsia="Arial" w:hAnsi="Arial" w:cs="Arial"/>
          <w:b/>
          <w:color w:val="000000"/>
        </w:rPr>
      </w:pPr>
      <w:r>
        <w:rPr>
          <w:rFonts w:ascii="Arial" w:eastAsia="Arial" w:hAnsi="Arial" w:cs="Arial"/>
          <w:b/>
          <w:color w:val="000000"/>
        </w:rPr>
        <w:t>Module Aim(s):</w:t>
      </w:r>
    </w:p>
    <w:p w14:paraId="2AB0DEF2" w14:textId="77777777" w:rsidR="00FC6DFA" w:rsidRDefault="00FC6DFA">
      <w:pPr>
        <w:spacing w:before="120" w:after="0" w:line="240" w:lineRule="auto"/>
        <w:rPr>
          <w:rFonts w:ascii="Arial" w:eastAsia="Arial" w:hAnsi="Arial" w:cs="Arial"/>
          <w:b/>
          <w:color w:val="000000"/>
        </w:rPr>
      </w:pPr>
    </w:p>
    <w:p w14:paraId="5E65B331" w14:textId="77777777" w:rsidR="00FC6DFA" w:rsidRDefault="009F1B79">
      <w:pPr>
        <w:numPr>
          <w:ilvl w:val="0"/>
          <w:numId w:val="3"/>
        </w:numPr>
        <w:pBdr>
          <w:top w:val="nil"/>
          <w:left w:val="nil"/>
          <w:bottom w:val="nil"/>
          <w:right w:val="nil"/>
          <w:between w:val="nil"/>
        </w:pBdr>
        <w:rPr>
          <w:color w:val="000000"/>
        </w:rPr>
      </w:pPr>
      <w:r>
        <w:rPr>
          <w:rFonts w:ascii="Arial" w:eastAsia="Arial" w:hAnsi="Arial" w:cs="Arial"/>
          <w:color w:val="000000"/>
        </w:rPr>
        <w:t>To provide learners with an opportunity to gain credit for their workplace practice by reflecting on National Occupational Standards (NOS) and other competencies related to their professional role as an investigator.</w:t>
      </w:r>
    </w:p>
    <w:p w14:paraId="7E98515D" w14:textId="77777777" w:rsidR="00FC6DFA" w:rsidRDefault="00FC6DFA">
      <w:pPr>
        <w:spacing w:before="120" w:after="0" w:line="240" w:lineRule="auto"/>
        <w:rPr>
          <w:rFonts w:ascii="Arial" w:eastAsia="Arial" w:hAnsi="Arial" w:cs="Arial"/>
          <w:b/>
          <w:color w:val="000000"/>
        </w:rPr>
      </w:pPr>
    </w:p>
    <w:p w14:paraId="34765293" w14:textId="77777777" w:rsidR="00FC6DFA" w:rsidRDefault="00FC6DFA">
      <w:pPr>
        <w:spacing w:before="120" w:after="0" w:line="240" w:lineRule="auto"/>
        <w:ind w:left="720"/>
        <w:jc w:val="center"/>
        <w:rPr>
          <w:rFonts w:ascii="Arial" w:eastAsia="Arial" w:hAnsi="Arial" w:cs="Arial"/>
          <w:color w:val="000000"/>
        </w:rPr>
      </w:pPr>
    </w:p>
    <w:p w14:paraId="3A4A998F" w14:textId="77777777" w:rsidR="00FC6DFA" w:rsidRDefault="009F1B79">
      <w:pPr>
        <w:rPr>
          <w:rFonts w:ascii="Arial" w:eastAsia="Arial" w:hAnsi="Arial" w:cs="Arial"/>
          <w:b/>
          <w:sz w:val="24"/>
          <w:szCs w:val="24"/>
        </w:rPr>
      </w:pPr>
      <w:r>
        <w:rPr>
          <w:rFonts w:ascii="Arial" w:eastAsia="Arial" w:hAnsi="Arial" w:cs="Arial"/>
          <w:b/>
          <w:sz w:val="24"/>
          <w:szCs w:val="24"/>
        </w:rPr>
        <w:t>Content of Workbook:</w:t>
      </w:r>
    </w:p>
    <w:p w14:paraId="5AF1D9B7" w14:textId="77777777" w:rsidR="00FC6DFA" w:rsidRDefault="00FC6DFA">
      <w:pPr>
        <w:rPr>
          <w:rFonts w:ascii="Arial" w:eastAsia="Arial" w:hAnsi="Arial" w:cs="Arial"/>
          <w:b/>
          <w:sz w:val="28"/>
          <w:szCs w:val="28"/>
        </w:rPr>
      </w:pPr>
    </w:p>
    <w:tbl>
      <w:tblPr>
        <w:tblStyle w:val="a0"/>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005"/>
        <w:gridCol w:w="3005"/>
        <w:gridCol w:w="3005"/>
      </w:tblGrid>
      <w:tr w:rsidR="00FC6DFA" w14:paraId="0E1C577D" w14:textId="77777777">
        <w:tc>
          <w:tcPr>
            <w:tcW w:w="3005" w:type="dxa"/>
            <w:shd w:val="clear" w:color="auto" w:fill="5B9BD5"/>
          </w:tcPr>
          <w:p w14:paraId="0B3A285C" w14:textId="77777777" w:rsidR="00FC6DFA" w:rsidRDefault="009F1B79">
            <w:pPr>
              <w:rPr>
                <w:rFonts w:ascii="Arial" w:eastAsia="Arial" w:hAnsi="Arial" w:cs="Arial"/>
                <w:b/>
                <w:sz w:val="28"/>
                <w:szCs w:val="28"/>
              </w:rPr>
            </w:pPr>
            <w:r>
              <w:rPr>
                <w:rFonts w:ascii="Arial" w:eastAsia="Arial" w:hAnsi="Arial" w:cs="Arial"/>
                <w:b/>
                <w:sz w:val="28"/>
                <w:szCs w:val="28"/>
              </w:rPr>
              <w:t>Task</w:t>
            </w:r>
          </w:p>
        </w:tc>
        <w:tc>
          <w:tcPr>
            <w:tcW w:w="3005" w:type="dxa"/>
            <w:shd w:val="clear" w:color="auto" w:fill="5B9BD5"/>
          </w:tcPr>
          <w:p w14:paraId="512B13F5" w14:textId="77777777" w:rsidR="00FC6DFA" w:rsidRDefault="009F1B79">
            <w:pPr>
              <w:rPr>
                <w:rFonts w:ascii="Arial" w:eastAsia="Arial" w:hAnsi="Arial" w:cs="Arial"/>
                <w:b/>
                <w:sz w:val="24"/>
                <w:szCs w:val="24"/>
              </w:rPr>
            </w:pPr>
            <w:r>
              <w:rPr>
                <w:rFonts w:ascii="Arial" w:eastAsia="Arial" w:hAnsi="Arial" w:cs="Arial"/>
                <w:b/>
                <w:sz w:val="24"/>
                <w:szCs w:val="24"/>
              </w:rPr>
              <w:t>Relevant Investigative Area</w:t>
            </w:r>
          </w:p>
        </w:tc>
        <w:tc>
          <w:tcPr>
            <w:tcW w:w="3005" w:type="dxa"/>
            <w:shd w:val="clear" w:color="auto" w:fill="5B9BD5"/>
          </w:tcPr>
          <w:p w14:paraId="7CA9833B" w14:textId="77777777" w:rsidR="00FC6DFA" w:rsidRDefault="009F1B79">
            <w:pPr>
              <w:jc w:val="center"/>
              <w:rPr>
                <w:rFonts w:ascii="Arial" w:eastAsia="Arial" w:hAnsi="Arial" w:cs="Arial"/>
                <w:b/>
                <w:sz w:val="24"/>
                <w:szCs w:val="24"/>
              </w:rPr>
            </w:pPr>
            <w:r>
              <w:rPr>
                <w:rFonts w:ascii="Arial" w:eastAsia="Arial" w:hAnsi="Arial" w:cs="Arial"/>
                <w:b/>
                <w:sz w:val="24"/>
                <w:szCs w:val="24"/>
              </w:rPr>
              <w:t>Word Count</w:t>
            </w:r>
          </w:p>
        </w:tc>
      </w:tr>
      <w:tr w:rsidR="00FC6DFA" w14:paraId="0A68A1E7" w14:textId="77777777">
        <w:tc>
          <w:tcPr>
            <w:tcW w:w="3005" w:type="dxa"/>
          </w:tcPr>
          <w:p w14:paraId="7054FCFF" w14:textId="77777777" w:rsidR="00FC6DFA" w:rsidRDefault="009F1B79">
            <w:pPr>
              <w:rPr>
                <w:rFonts w:ascii="Arial" w:eastAsia="Arial" w:hAnsi="Arial" w:cs="Arial"/>
                <w:sz w:val="24"/>
                <w:szCs w:val="24"/>
              </w:rPr>
            </w:pPr>
            <w:r>
              <w:rPr>
                <w:rFonts w:ascii="Arial" w:eastAsia="Arial" w:hAnsi="Arial" w:cs="Arial"/>
                <w:sz w:val="24"/>
                <w:szCs w:val="24"/>
              </w:rPr>
              <w:t>Task 1</w:t>
            </w:r>
          </w:p>
        </w:tc>
        <w:tc>
          <w:tcPr>
            <w:tcW w:w="3005" w:type="dxa"/>
          </w:tcPr>
          <w:p w14:paraId="077AB162" w14:textId="77777777" w:rsidR="00FC6DFA" w:rsidRDefault="009F1B79">
            <w:pPr>
              <w:rPr>
                <w:rFonts w:ascii="Arial" w:eastAsia="Arial" w:hAnsi="Arial" w:cs="Arial"/>
                <w:b/>
              </w:rPr>
            </w:pPr>
            <w:r>
              <w:rPr>
                <w:rFonts w:ascii="Arial" w:eastAsia="Arial" w:hAnsi="Arial" w:cs="Arial"/>
                <w:b/>
              </w:rPr>
              <w:t xml:space="preserve">Information, intelligence &amp; evidence gathering </w:t>
            </w:r>
          </w:p>
        </w:tc>
        <w:tc>
          <w:tcPr>
            <w:tcW w:w="3005" w:type="dxa"/>
          </w:tcPr>
          <w:p w14:paraId="08F3C210" w14:textId="77777777" w:rsidR="00FC6DFA" w:rsidRDefault="009F1B79">
            <w:pPr>
              <w:jc w:val="center"/>
              <w:rPr>
                <w:rFonts w:ascii="Arial" w:eastAsia="Arial" w:hAnsi="Arial" w:cs="Arial"/>
              </w:rPr>
            </w:pPr>
            <w:r>
              <w:rPr>
                <w:rFonts w:ascii="Arial" w:eastAsia="Arial" w:hAnsi="Arial" w:cs="Arial"/>
              </w:rPr>
              <w:t>2000</w:t>
            </w:r>
          </w:p>
        </w:tc>
      </w:tr>
      <w:tr w:rsidR="00FC6DFA" w14:paraId="3DBB6111" w14:textId="77777777">
        <w:tc>
          <w:tcPr>
            <w:tcW w:w="3005" w:type="dxa"/>
          </w:tcPr>
          <w:p w14:paraId="6B17D655" w14:textId="77777777" w:rsidR="00FC6DFA" w:rsidRDefault="009F1B79">
            <w:pPr>
              <w:rPr>
                <w:rFonts w:ascii="Arial" w:eastAsia="Arial" w:hAnsi="Arial" w:cs="Arial"/>
              </w:rPr>
            </w:pPr>
            <w:r>
              <w:rPr>
                <w:rFonts w:ascii="Arial" w:eastAsia="Arial" w:hAnsi="Arial" w:cs="Arial"/>
              </w:rPr>
              <w:t>Task 2</w:t>
            </w:r>
          </w:p>
        </w:tc>
        <w:tc>
          <w:tcPr>
            <w:tcW w:w="3005" w:type="dxa"/>
          </w:tcPr>
          <w:p w14:paraId="0C867CA8" w14:textId="77777777" w:rsidR="00FC6DFA" w:rsidRDefault="009F1B79">
            <w:pPr>
              <w:rPr>
                <w:rFonts w:ascii="Arial" w:eastAsia="Arial" w:hAnsi="Arial" w:cs="Arial"/>
                <w:b/>
              </w:rPr>
            </w:pPr>
            <w:r>
              <w:rPr>
                <w:rFonts w:ascii="Arial" w:eastAsia="Arial" w:hAnsi="Arial" w:cs="Arial"/>
                <w:b/>
              </w:rPr>
              <w:t>Safeguarding and Risk assessment</w:t>
            </w:r>
          </w:p>
        </w:tc>
        <w:tc>
          <w:tcPr>
            <w:tcW w:w="3005" w:type="dxa"/>
          </w:tcPr>
          <w:p w14:paraId="1E690396" w14:textId="77777777" w:rsidR="00FC6DFA" w:rsidRDefault="009F1B79">
            <w:pPr>
              <w:jc w:val="center"/>
              <w:rPr>
                <w:rFonts w:ascii="Arial" w:eastAsia="Arial" w:hAnsi="Arial" w:cs="Arial"/>
              </w:rPr>
            </w:pPr>
            <w:r>
              <w:rPr>
                <w:rFonts w:ascii="Arial" w:eastAsia="Arial" w:hAnsi="Arial" w:cs="Arial"/>
              </w:rPr>
              <w:t>2000</w:t>
            </w:r>
          </w:p>
        </w:tc>
      </w:tr>
      <w:tr w:rsidR="00FC6DFA" w14:paraId="6F92E08A" w14:textId="77777777">
        <w:tc>
          <w:tcPr>
            <w:tcW w:w="3005" w:type="dxa"/>
          </w:tcPr>
          <w:p w14:paraId="58879F44" w14:textId="77777777" w:rsidR="00FC6DFA" w:rsidRDefault="009F1B79">
            <w:pPr>
              <w:rPr>
                <w:rFonts w:ascii="Arial" w:eastAsia="Arial" w:hAnsi="Arial" w:cs="Arial"/>
                <w:sz w:val="24"/>
                <w:szCs w:val="24"/>
              </w:rPr>
            </w:pPr>
            <w:r>
              <w:rPr>
                <w:rFonts w:ascii="Arial" w:eastAsia="Arial" w:hAnsi="Arial" w:cs="Arial"/>
                <w:sz w:val="24"/>
                <w:szCs w:val="24"/>
              </w:rPr>
              <w:t>Task 3</w:t>
            </w:r>
          </w:p>
        </w:tc>
        <w:tc>
          <w:tcPr>
            <w:tcW w:w="3005" w:type="dxa"/>
          </w:tcPr>
          <w:p w14:paraId="65F5E897" w14:textId="77777777" w:rsidR="00FC6DFA" w:rsidRDefault="009F1B79">
            <w:pPr>
              <w:rPr>
                <w:rFonts w:ascii="Arial" w:eastAsia="Arial" w:hAnsi="Arial" w:cs="Arial"/>
                <w:b/>
              </w:rPr>
            </w:pPr>
            <w:r>
              <w:rPr>
                <w:rFonts w:ascii="Arial" w:eastAsia="Arial" w:hAnsi="Arial" w:cs="Arial"/>
                <w:b/>
              </w:rPr>
              <w:t>Interview and custody processes</w:t>
            </w:r>
          </w:p>
        </w:tc>
        <w:tc>
          <w:tcPr>
            <w:tcW w:w="3005" w:type="dxa"/>
          </w:tcPr>
          <w:p w14:paraId="25E8D07C" w14:textId="77777777" w:rsidR="00FC6DFA" w:rsidRDefault="009F1B79">
            <w:pPr>
              <w:jc w:val="center"/>
              <w:rPr>
                <w:rFonts w:ascii="Arial" w:eastAsia="Arial" w:hAnsi="Arial" w:cs="Arial"/>
              </w:rPr>
            </w:pPr>
            <w:r>
              <w:rPr>
                <w:rFonts w:ascii="Arial" w:eastAsia="Arial" w:hAnsi="Arial" w:cs="Arial"/>
              </w:rPr>
              <w:t>2000</w:t>
            </w:r>
          </w:p>
        </w:tc>
      </w:tr>
      <w:tr w:rsidR="00FC6DFA" w14:paraId="63984C57" w14:textId="77777777">
        <w:tc>
          <w:tcPr>
            <w:tcW w:w="3005" w:type="dxa"/>
          </w:tcPr>
          <w:p w14:paraId="70BCF083" w14:textId="77777777" w:rsidR="00FC6DFA" w:rsidRDefault="009F1B79">
            <w:pPr>
              <w:rPr>
                <w:rFonts w:ascii="Arial" w:eastAsia="Arial" w:hAnsi="Arial" w:cs="Arial"/>
                <w:sz w:val="24"/>
                <w:szCs w:val="24"/>
              </w:rPr>
            </w:pPr>
            <w:r>
              <w:rPr>
                <w:rFonts w:ascii="Arial" w:eastAsia="Arial" w:hAnsi="Arial" w:cs="Arial"/>
                <w:sz w:val="24"/>
                <w:szCs w:val="24"/>
              </w:rPr>
              <w:t>Task 4</w:t>
            </w:r>
          </w:p>
        </w:tc>
        <w:tc>
          <w:tcPr>
            <w:tcW w:w="3005" w:type="dxa"/>
          </w:tcPr>
          <w:p w14:paraId="1B63BE77" w14:textId="77777777" w:rsidR="00FC6DFA" w:rsidRDefault="009F1B79">
            <w:pPr>
              <w:rPr>
                <w:rFonts w:ascii="Arial" w:eastAsia="Arial" w:hAnsi="Arial" w:cs="Arial"/>
                <w:b/>
              </w:rPr>
            </w:pPr>
            <w:r>
              <w:rPr>
                <w:rFonts w:ascii="Arial" w:eastAsia="Arial" w:hAnsi="Arial" w:cs="Arial"/>
                <w:b/>
              </w:rPr>
              <w:t xml:space="preserve">Investigation documentation processes. </w:t>
            </w:r>
          </w:p>
        </w:tc>
        <w:tc>
          <w:tcPr>
            <w:tcW w:w="3005" w:type="dxa"/>
          </w:tcPr>
          <w:p w14:paraId="5C8E8BDC" w14:textId="77777777" w:rsidR="00FC6DFA" w:rsidRDefault="009F1B79">
            <w:pPr>
              <w:spacing w:after="160" w:line="259" w:lineRule="auto"/>
              <w:jc w:val="center"/>
              <w:rPr>
                <w:rFonts w:ascii="Arial" w:eastAsia="Arial" w:hAnsi="Arial" w:cs="Arial"/>
              </w:rPr>
            </w:pPr>
            <w:r>
              <w:rPr>
                <w:rFonts w:ascii="Arial" w:eastAsia="Arial" w:hAnsi="Arial" w:cs="Arial"/>
              </w:rPr>
              <w:t>2000</w:t>
            </w:r>
          </w:p>
        </w:tc>
      </w:tr>
      <w:tr w:rsidR="00FC6DFA" w14:paraId="24A6820E" w14:textId="77777777">
        <w:trPr>
          <w:trHeight w:val="1020"/>
        </w:trPr>
        <w:tc>
          <w:tcPr>
            <w:tcW w:w="3005" w:type="dxa"/>
          </w:tcPr>
          <w:p w14:paraId="64B58224" w14:textId="77777777" w:rsidR="00FC6DFA" w:rsidRDefault="009F1B79">
            <w:pPr>
              <w:rPr>
                <w:rFonts w:ascii="Arial" w:eastAsia="Arial" w:hAnsi="Arial" w:cs="Arial"/>
                <w:sz w:val="24"/>
                <w:szCs w:val="24"/>
              </w:rPr>
            </w:pPr>
            <w:r>
              <w:rPr>
                <w:rFonts w:ascii="Arial" w:eastAsia="Arial" w:hAnsi="Arial" w:cs="Arial"/>
                <w:sz w:val="24"/>
                <w:szCs w:val="24"/>
              </w:rPr>
              <w:t>Task 5</w:t>
            </w:r>
          </w:p>
          <w:p w14:paraId="224E856F" w14:textId="77777777" w:rsidR="00FC6DFA" w:rsidRDefault="00FC6DFA">
            <w:pPr>
              <w:rPr>
                <w:rFonts w:ascii="Arial" w:eastAsia="Arial" w:hAnsi="Arial" w:cs="Arial"/>
                <w:sz w:val="24"/>
                <w:szCs w:val="24"/>
              </w:rPr>
            </w:pPr>
          </w:p>
        </w:tc>
        <w:tc>
          <w:tcPr>
            <w:tcW w:w="3005" w:type="dxa"/>
          </w:tcPr>
          <w:p w14:paraId="3961AB72" w14:textId="77777777" w:rsidR="00FC6DFA" w:rsidRDefault="009F1B79">
            <w:pPr>
              <w:jc w:val="both"/>
              <w:rPr>
                <w:rFonts w:ascii="Arial" w:eastAsia="Arial" w:hAnsi="Arial" w:cs="Arial"/>
              </w:rPr>
            </w:pPr>
            <w:r>
              <w:rPr>
                <w:rFonts w:ascii="Arial" w:eastAsia="Arial" w:hAnsi="Arial" w:cs="Arial"/>
                <w:b/>
                <w:color w:val="000000"/>
              </w:rPr>
              <w:t>Personal study/learning plan</w:t>
            </w:r>
          </w:p>
        </w:tc>
        <w:tc>
          <w:tcPr>
            <w:tcW w:w="3005" w:type="dxa"/>
          </w:tcPr>
          <w:p w14:paraId="72FB1020" w14:textId="77777777" w:rsidR="00FC6DFA" w:rsidRDefault="009F1B79">
            <w:pPr>
              <w:jc w:val="center"/>
              <w:rPr>
                <w:rFonts w:ascii="Arial" w:eastAsia="Arial" w:hAnsi="Arial" w:cs="Arial"/>
              </w:rPr>
            </w:pPr>
            <w:r>
              <w:rPr>
                <w:rFonts w:ascii="Arial" w:eastAsia="Arial" w:hAnsi="Arial" w:cs="Arial"/>
              </w:rPr>
              <w:t>2000</w:t>
            </w:r>
          </w:p>
        </w:tc>
      </w:tr>
      <w:tr w:rsidR="00FC6DFA" w14:paraId="2158D7D3" w14:textId="77777777">
        <w:tc>
          <w:tcPr>
            <w:tcW w:w="3005" w:type="dxa"/>
          </w:tcPr>
          <w:p w14:paraId="22D81241" w14:textId="77777777" w:rsidR="00FC6DFA" w:rsidRDefault="00FC6DFA">
            <w:pPr>
              <w:rPr>
                <w:rFonts w:ascii="Arial" w:eastAsia="Arial" w:hAnsi="Arial" w:cs="Arial"/>
                <w:b/>
                <w:sz w:val="28"/>
                <w:szCs w:val="28"/>
              </w:rPr>
            </w:pPr>
          </w:p>
        </w:tc>
        <w:tc>
          <w:tcPr>
            <w:tcW w:w="3005" w:type="dxa"/>
          </w:tcPr>
          <w:p w14:paraId="5640FFCF" w14:textId="77777777" w:rsidR="00FC6DFA" w:rsidRDefault="009F1B79">
            <w:pPr>
              <w:rPr>
                <w:rFonts w:ascii="Arial" w:eastAsia="Arial" w:hAnsi="Arial" w:cs="Arial"/>
                <w:b/>
                <w:color w:val="000000"/>
                <w:sz w:val="24"/>
                <w:szCs w:val="24"/>
              </w:rPr>
            </w:pPr>
            <w:r>
              <w:rPr>
                <w:rFonts w:ascii="Arial" w:eastAsia="Arial" w:hAnsi="Arial" w:cs="Arial"/>
                <w:b/>
                <w:color w:val="000000"/>
                <w:sz w:val="24"/>
                <w:szCs w:val="24"/>
              </w:rPr>
              <w:t>Reference list</w:t>
            </w:r>
          </w:p>
          <w:p w14:paraId="16A28AE2" w14:textId="77777777" w:rsidR="00FC6DFA" w:rsidRDefault="00FC6DFA">
            <w:pPr>
              <w:jc w:val="center"/>
              <w:rPr>
                <w:rFonts w:ascii="Arial" w:eastAsia="Arial" w:hAnsi="Arial" w:cs="Arial"/>
                <w:b/>
                <w:color w:val="000000"/>
                <w:sz w:val="24"/>
                <w:szCs w:val="24"/>
              </w:rPr>
            </w:pPr>
          </w:p>
        </w:tc>
        <w:tc>
          <w:tcPr>
            <w:tcW w:w="3005" w:type="dxa"/>
          </w:tcPr>
          <w:p w14:paraId="74B6BC0B" w14:textId="77777777" w:rsidR="00FC6DFA" w:rsidRDefault="00FC6DFA">
            <w:pPr>
              <w:rPr>
                <w:rFonts w:ascii="Arial" w:eastAsia="Arial" w:hAnsi="Arial" w:cs="Arial"/>
                <w:b/>
                <w:sz w:val="24"/>
                <w:szCs w:val="24"/>
              </w:rPr>
            </w:pPr>
          </w:p>
        </w:tc>
      </w:tr>
    </w:tbl>
    <w:p w14:paraId="685C8DCB" w14:textId="77777777" w:rsidR="00FC6DFA" w:rsidRDefault="00FC6DFA"/>
    <w:p w14:paraId="2035E3D7" w14:textId="77777777" w:rsidR="00CD5F95" w:rsidRDefault="00CD5F95">
      <w:pPr>
        <w:rPr>
          <w:rFonts w:ascii="Arial" w:eastAsia="Arial" w:hAnsi="Arial" w:cs="Arial"/>
          <w:b/>
          <w:sz w:val="24"/>
          <w:szCs w:val="24"/>
        </w:rPr>
      </w:pPr>
    </w:p>
    <w:p w14:paraId="67428CDE" w14:textId="77777777" w:rsidR="00FC6DFA" w:rsidRDefault="009F1B79">
      <w:pPr>
        <w:rPr>
          <w:rFonts w:ascii="Arial" w:eastAsia="Arial" w:hAnsi="Arial" w:cs="Arial"/>
          <w:b/>
          <w:i/>
          <w:color w:val="000000"/>
          <w:sz w:val="24"/>
          <w:szCs w:val="24"/>
        </w:rPr>
      </w:pPr>
      <w:r>
        <w:rPr>
          <w:rFonts w:ascii="Arial" w:eastAsia="Arial" w:hAnsi="Arial" w:cs="Arial"/>
          <w:b/>
          <w:i/>
          <w:sz w:val="24"/>
          <w:szCs w:val="24"/>
        </w:rPr>
        <w:lastRenderedPageBreak/>
        <w:t xml:space="preserve">Task </w:t>
      </w:r>
      <w:r>
        <w:rPr>
          <w:rFonts w:ascii="Arial" w:eastAsia="Arial" w:hAnsi="Arial" w:cs="Arial"/>
          <w:b/>
          <w:i/>
          <w:color w:val="000000"/>
          <w:sz w:val="24"/>
          <w:szCs w:val="24"/>
        </w:rPr>
        <w:t>1: Information, Intelligence &amp; Evidence Gathering</w:t>
      </w:r>
    </w:p>
    <w:tbl>
      <w:tblPr>
        <w:tblStyle w:val="a1"/>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FC6DFA" w14:paraId="6123E3C6" w14:textId="77777777">
        <w:tc>
          <w:tcPr>
            <w:tcW w:w="9015" w:type="dxa"/>
          </w:tcPr>
          <w:p w14:paraId="7F230EDD" w14:textId="77777777" w:rsidR="00FC6DFA" w:rsidRDefault="00FC6DFA">
            <w:pPr>
              <w:rPr>
                <w:rFonts w:ascii="Arial" w:eastAsia="Arial" w:hAnsi="Arial" w:cs="Arial"/>
                <w:color w:val="000000"/>
                <w:sz w:val="24"/>
                <w:szCs w:val="24"/>
              </w:rPr>
            </w:pPr>
          </w:p>
          <w:p w14:paraId="7EFE3BE7" w14:textId="77777777" w:rsidR="00FC6DFA" w:rsidRDefault="009F1B79">
            <w:pPr>
              <w:rPr>
                <w:rFonts w:ascii="Arial" w:eastAsia="Arial" w:hAnsi="Arial" w:cs="Arial"/>
                <w:color w:val="000000"/>
                <w:sz w:val="24"/>
                <w:szCs w:val="24"/>
              </w:rPr>
            </w:pPr>
            <w:bookmarkStart w:id="0" w:name="_Hlk221096283"/>
            <w:r>
              <w:rPr>
                <w:rFonts w:ascii="Arial" w:eastAsia="Arial" w:hAnsi="Arial" w:cs="Arial"/>
                <w:color w:val="000000"/>
                <w:sz w:val="24"/>
                <w:szCs w:val="24"/>
              </w:rPr>
              <w:t xml:space="preserve">a. Choose one of the below areas and </w:t>
            </w:r>
            <w:r>
              <w:rPr>
                <w:rFonts w:ascii="Arial" w:eastAsia="Arial" w:hAnsi="Arial" w:cs="Arial"/>
                <w:b/>
                <w:color w:val="000000"/>
                <w:sz w:val="24"/>
                <w:szCs w:val="24"/>
              </w:rPr>
              <w:t>outline</w:t>
            </w:r>
            <w:r>
              <w:rPr>
                <w:rFonts w:ascii="Arial" w:eastAsia="Arial" w:hAnsi="Arial" w:cs="Arial"/>
                <w:color w:val="000000"/>
                <w:sz w:val="24"/>
                <w:szCs w:val="24"/>
              </w:rPr>
              <w:t xml:space="preserve"> its relevance to your current role and investigative practice</w:t>
            </w:r>
          </w:p>
          <w:p w14:paraId="7A4D046D" w14:textId="77777777" w:rsidR="00FC6DFA" w:rsidRDefault="009F1B79">
            <w:pPr>
              <w:numPr>
                <w:ilvl w:val="0"/>
                <w:numId w:val="6"/>
              </w:numPr>
              <w:pBdr>
                <w:top w:val="nil"/>
                <w:left w:val="nil"/>
                <w:bottom w:val="nil"/>
                <w:right w:val="nil"/>
                <w:between w:val="nil"/>
              </w:pBdr>
              <w:spacing w:line="259" w:lineRule="auto"/>
              <w:rPr>
                <w:rFonts w:ascii="Arial" w:eastAsia="Arial" w:hAnsi="Arial" w:cs="Arial"/>
                <w:b/>
                <w:color w:val="000000"/>
                <w:sz w:val="24"/>
                <w:szCs w:val="24"/>
              </w:rPr>
            </w:pPr>
            <w:r>
              <w:rPr>
                <w:rFonts w:ascii="Arial" w:eastAsia="Arial" w:hAnsi="Arial" w:cs="Arial"/>
                <w:b/>
                <w:color w:val="000000"/>
                <w:sz w:val="24"/>
                <w:szCs w:val="24"/>
              </w:rPr>
              <w:t xml:space="preserve">Information </w:t>
            </w:r>
          </w:p>
          <w:p w14:paraId="77AFBF02" w14:textId="77777777" w:rsidR="00FC6DFA" w:rsidRDefault="009F1B79">
            <w:pPr>
              <w:numPr>
                <w:ilvl w:val="0"/>
                <w:numId w:val="6"/>
              </w:numPr>
              <w:pBdr>
                <w:top w:val="nil"/>
                <w:left w:val="nil"/>
                <w:bottom w:val="nil"/>
                <w:right w:val="nil"/>
                <w:between w:val="nil"/>
              </w:pBdr>
              <w:spacing w:line="259" w:lineRule="auto"/>
              <w:rPr>
                <w:rFonts w:ascii="Arial" w:eastAsia="Arial" w:hAnsi="Arial" w:cs="Arial"/>
                <w:b/>
                <w:color w:val="000000"/>
                <w:sz w:val="24"/>
                <w:szCs w:val="24"/>
              </w:rPr>
            </w:pPr>
            <w:r>
              <w:rPr>
                <w:rFonts w:ascii="Arial" w:eastAsia="Arial" w:hAnsi="Arial" w:cs="Arial"/>
                <w:b/>
                <w:color w:val="000000"/>
                <w:sz w:val="24"/>
                <w:szCs w:val="24"/>
              </w:rPr>
              <w:t>Intelligence</w:t>
            </w:r>
          </w:p>
          <w:p w14:paraId="2C3FA1D8" w14:textId="77777777" w:rsidR="00FC6DFA" w:rsidRDefault="009F1B79">
            <w:pPr>
              <w:numPr>
                <w:ilvl w:val="0"/>
                <w:numId w:val="6"/>
              </w:numPr>
              <w:pBdr>
                <w:top w:val="nil"/>
                <w:left w:val="nil"/>
                <w:bottom w:val="nil"/>
                <w:right w:val="nil"/>
                <w:between w:val="nil"/>
              </w:pBdr>
              <w:spacing w:after="160" w:line="259" w:lineRule="auto"/>
              <w:rPr>
                <w:rFonts w:ascii="Arial" w:eastAsia="Arial" w:hAnsi="Arial" w:cs="Arial"/>
                <w:b/>
                <w:color w:val="000000"/>
                <w:sz w:val="24"/>
                <w:szCs w:val="24"/>
              </w:rPr>
            </w:pPr>
            <w:r>
              <w:rPr>
                <w:rFonts w:ascii="Arial" w:eastAsia="Arial" w:hAnsi="Arial" w:cs="Arial"/>
                <w:b/>
                <w:color w:val="000000"/>
                <w:sz w:val="24"/>
                <w:szCs w:val="24"/>
              </w:rPr>
              <w:t>Evidence gathering</w:t>
            </w:r>
          </w:p>
          <w:bookmarkEnd w:id="0"/>
          <w:p w14:paraId="2030A786" w14:textId="77777777" w:rsidR="00FC6DFA" w:rsidRDefault="00FC6DFA">
            <w:pPr>
              <w:rPr>
                <w:rFonts w:ascii="Arial" w:eastAsia="Arial" w:hAnsi="Arial" w:cs="Arial"/>
                <w:color w:val="000000"/>
                <w:sz w:val="24"/>
                <w:szCs w:val="24"/>
              </w:rPr>
            </w:pPr>
          </w:p>
          <w:p w14:paraId="0597812C" w14:textId="77777777" w:rsidR="00FC6DFA" w:rsidRDefault="009F1B79">
            <w:pPr>
              <w:rPr>
                <w:rFonts w:ascii="Arial" w:eastAsia="Arial" w:hAnsi="Arial" w:cs="Arial"/>
                <w:color w:val="000000"/>
                <w:sz w:val="24"/>
                <w:szCs w:val="24"/>
              </w:rPr>
            </w:pPr>
            <w:bookmarkStart w:id="1" w:name="_Hlk221096326"/>
            <w:r>
              <w:rPr>
                <w:rFonts w:ascii="Arial" w:eastAsia="Arial" w:hAnsi="Arial" w:cs="Arial"/>
                <w:color w:val="000000"/>
                <w:sz w:val="24"/>
                <w:szCs w:val="24"/>
              </w:rPr>
              <w:t xml:space="preserve">b. </w:t>
            </w:r>
            <w:r>
              <w:rPr>
                <w:rFonts w:ascii="Arial" w:eastAsia="Arial" w:hAnsi="Arial" w:cs="Arial"/>
                <w:b/>
                <w:color w:val="000000"/>
                <w:sz w:val="24"/>
                <w:szCs w:val="24"/>
              </w:rPr>
              <w:t>Critically discuss</w:t>
            </w:r>
            <w:r>
              <w:rPr>
                <w:rFonts w:ascii="Arial" w:eastAsia="Arial" w:hAnsi="Arial" w:cs="Arial"/>
                <w:color w:val="000000"/>
                <w:sz w:val="24"/>
                <w:szCs w:val="24"/>
              </w:rPr>
              <w:t xml:space="preserve"> the challenges and obstacles that the chosen area presents to you as an investigator and how it impacts upon investigative practice.</w:t>
            </w:r>
          </w:p>
          <w:p w14:paraId="20431F05" w14:textId="77777777" w:rsidR="00FC6DFA" w:rsidRDefault="00FC6DFA">
            <w:pPr>
              <w:rPr>
                <w:rFonts w:ascii="Arial" w:eastAsia="Arial" w:hAnsi="Arial" w:cs="Arial"/>
              </w:rPr>
            </w:pPr>
          </w:p>
          <w:p w14:paraId="4A09D8D5" w14:textId="77777777" w:rsidR="00FC6DFA" w:rsidRDefault="009F1B79">
            <w:pPr>
              <w:rPr>
                <w:rFonts w:ascii="Arial" w:eastAsia="Arial" w:hAnsi="Arial" w:cs="Arial"/>
                <w:sz w:val="24"/>
                <w:szCs w:val="24"/>
              </w:rPr>
            </w:pPr>
            <w:r>
              <w:rPr>
                <w:rFonts w:ascii="Arial" w:eastAsia="Arial" w:hAnsi="Arial" w:cs="Arial"/>
                <w:sz w:val="24"/>
                <w:szCs w:val="24"/>
              </w:rPr>
              <w:t>(You may draw upon examples from your own investigative experience to support your discussion).</w:t>
            </w:r>
          </w:p>
          <w:bookmarkEnd w:id="1"/>
          <w:p w14:paraId="76D0514C" w14:textId="77777777" w:rsidR="00FC6DFA" w:rsidRDefault="00FC6DFA">
            <w:pPr>
              <w:rPr>
                <w:rFonts w:ascii="Arial" w:eastAsia="Arial" w:hAnsi="Arial" w:cs="Arial"/>
                <w:sz w:val="24"/>
                <w:szCs w:val="24"/>
              </w:rPr>
            </w:pPr>
          </w:p>
          <w:p w14:paraId="30CBBC5C" w14:textId="77777777" w:rsidR="00FC6DFA" w:rsidRDefault="009F1B79">
            <w:pPr>
              <w:ind w:right="237"/>
              <w:jc w:val="both"/>
            </w:pPr>
            <w:r>
              <w:rPr>
                <w:rFonts w:ascii="Arial" w:eastAsia="Arial" w:hAnsi="Arial" w:cs="Arial"/>
                <w:b/>
                <w:color w:val="000000"/>
                <w:sz w:val="24"/>
                <w:szCs w:val="24"/>
              </w:rPr>
              <w:t>2000 words</w:t>
            </w:r>
            <w:r>
              <w:rPr>
                <w:rFonts w:ascii="Arial" w:eastAsia="Arial" w:hAnsi="Arial" w:cs="Arial"/>
                <w:color w:val="000000"/>
                <w:sz w:val="24"/>
                <w:szCs w:val="24"/>
              </w:rPr>
              <w:t xml:space="preserve"> </w:t>
            </w:r>
            <w:r>
              <w:rPr>
                <w:rFonts w:ascii="Arial" w:eastAsia="Arial" w:hAnsi="Arial" w:cs="Arial"/>
                <w:i/>
                <w:color w:val="000000"/>
                <w:sz w:val="24"/>
                <w:szCs w:val="24"/>
              </w:rPr>
              <w:t>(+/- 10%: include your actual word count at the end of each section)</w:t>
            </w:r>
          </w:p>
          <w:p w14:paraId="1305D0B1" w14:textId="77777777" w:rsidR="00FC6DFA" w:rsidRDefault="00FC6DFA">
            <w:pPr>
              <w:ind w:right="237"/>
              <w:jc w:val="both"/>
              <w:rPr>
                <w:rFonts w:ascii="Arial" w:eastAsia="Arial" w:hAnsi="Arial" w:cs="Arial"/>
                <w:i/>
                <w:color w:val="000000"/>
                <w:sz w:val="24"/>
                <w:szCs w:val="24"/>
              </w:rPr>
            </w:pPr>
          </w:p>
        </w:tc>
      </w:tr>
    </w:tbl>
    <w:p w14:paraId="38E61C17" w14:textId="77777777" w:rsidR="00FC6DFA" w:rsidRDefault="00FC6DFA">
      <w:pPr>
        <w:ind w:left="3600" w:right="107"/>
        <w:rPr>
          <w:rFonts w:ascii="Arial" w:eastAsia="Arial" w:hAnsi="Arial" w:cs="Arial"/>
          <w:b/>
          <w:color w:val="000000"/>
          <w:sz w:val="24"/>
          <w:szCs w:val="24"/>
        </w:rPr>
      </w:pPr>
    </w:p>
    <w:p w14:paraId="6A7114E7" w14:textId="77777777" w:rsidR="00465E69" w:rsidRPr="00465E69" w:rsidRDefault="00465E69" w:rsidP="00465E69">
      <w:pPr>
        <w:ind w:right="107"/>
        <w:rPr>
          <w:rFonts w:asciiTheme="minorHAnsi" w:eastAsia="Arial" w:hAnsiTheme="minorHAnsi" w:cstheme="minorHAnsi"/>
          <w:b/>
          <w:color w:val="000000"/>
          <w:u w:val="single"/>
        </w:rPr>
      </w:pPr>
      <w:r w:rsidRPr="00465E69">
        <w:rPr>
          <w:rFonts w:asciiTheme="minorHAnsi" w:eastAsia="Arial" w:hAnsiTheme="minorHAnsi" w:cstheme="minorHAnsi"/>
          <w:b/>
          <w:color w:val="000000"/>
          <w:u w:val="single"/>
        </w:rPr>
        <w:t>Task 1.a</w:t>
      </w:r>
    </w:p>
    <w:p w14:paraId="02316C8F" w14:textId="21458E2B"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xml:space="preserve">Evidence gathering is a key aspect of any criminal investigation. It is the systematic process of locating, securing and recording material that is relevant to an alleged offence. Stelfox (2019) summarises that criminal investigation is fundamentally an information processing task, where the quality of the evidence gathered directly dictates the quality of the investigators decision making. Within the UK criminal justice system, the parameters of this process are strictly governed by the Police and Criminal Evidence Act (PACE) 1984. As an investigator, evidence gathering is not just a procedural task but the mechanism through which the truth is established. Newburn (2012) notes that the introduction of PACE 1984 was instrumental in shifting policing from an intuition based 'craft' to a professional and legally regulated discipline. Consequentially, modern evidence gathering requires a rigorous, objective approach rather than relying on the instinct of an investigator. </w:t>
      </w:r>
    </w:p>
    <w:p w14:paraId="3D1E4A9E"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w:t>
      </w:r>
    </w:p>
    <w:p w14:paraId="4E2170BB"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xml:space="preserve">In my current role as a PIP level 2 Police Staff Investigator (PSI) and Tier 3 specialist interviewer / Tier 5 specialist interview advisor within the Criminal Investigations Department (CID), evidence gathering is the core function of my daily practice. Unlike volume crime, complex investigations (such as serious violence or sexual offences) demand a more structured evidence gathering strategy. My role requires the ability to consider forensic material, digital data (such as mobile phone downloads), intelligence reports and also witness accounts. </w:t>
      </w:r>
    </w:p>
    <w:p w14:paraId="73EEA4E6"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xml:space="preserve">The relevance of evidence gathering is most fundamental during the stage of building a case file of evidence for the Crown Prosecution Service (CPS). </w:t>
      </w:r>
    </w:p>
    <w:p w14:paraId="25390C22"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xml:space="preserve">Under the Criminal Procedure and Investigations Act (CPIA) 1996, investigators have a legal obligation to record and retain material, and to pursue all reasonable lines of enquiry whether they point towards or away from the suspect. Every piece of material gathered must be assessed for its admissibility under the criteria of the CPS. It is also important to note that if evidence is gathered unlawfully then it risks being excluded under section 78 PACE which could potentially lead to the </w:t>
      </w:r>
      <w:r w:rsidRPr="00465E69">
        <w:rPr>
          <w:rFonts w:asciiTheme="minorHAnsi" w:eastAsia="Arial" w:hAnsiTheme="minorHAnsi" w:cstheme="minorHAnsi"/>
          <w:bCs/>
          <w:color w:val="000000"/>
        </w:rPr>
        <w:lastRenderedPageBreak/>
        <w:t xml:space="preserve">collapse of a trial. Therefore, the meticulous, legally compliant gathering of evidence is a key factor of competence in my investigative role. </w:t>
      </w:r>
    </w:p>
    <w:p w14:paraId="18934281"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w:t>
      </w:r>
    </w:p>
    <w:p w14:paraId="646B13A5"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xml:space="preserve">While physical and digital forensics are increasingly prominent, the suspect interview remains one of the most critical methods of gathering evidence. Historically, police interviews were viewed primarily as a means to extract a confession however modern practice has fundamentally redefined this process. The College of Policing's Authorised Professional Practice (APP) explicitly defines investigative interviewing as a search for the truth and a method of information and evidence gathering, rather than a confession seeking exercise. </w:t>
      </w:r>
    </w:p>
    <w:p w14:paraId="7ADD9766"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w:t>
      </w:r>
    </w:p>
    <w:p w14:paraId="22062AEE"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xml:space="preserve">Operating in my capacity as a tier 3 interviewer, my role involves using the PEACE framework to structure this specific form of evidence gathering. The suspect interview acts as the means in which all other gathered evidence is tested. It is the designated environment where the investigator is able to present the gathered physical and digital evidence to the suspect, allowing them to provide an account. The interview itself can then generate new evidence either in the form of an admission, verifiable alibis or provable lies, which can subsequently be used as evidence in itself. </w:t>
      </w:r>
    </w:p>
    <w:p w14:paraId="61A99E23"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w:t>
      </w:r>
    </w:p>
    <w:p w14:paraId="43248EF7"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xml:space="preserve">In addition to what I have already discussed, evidence gathering in my role extends beyond the physical collection of items and is also a cognitive process. Following the principles outlined by Blackstone's Police Operating Handbook (2018), an investigator must maintain an open mind and constantly evaluate incoming material. As a specialist interviewer, the evidence gathering process requires actively listening to the suspects agenda, identifying inconsistencies often in real time, and strategically revealing previously gathered evidence to test the veracity of their account. </w:t>
      </w:r>
    </w:p>
    <w:p w14:paraId="6C8D62EF"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w:t>
      </w:r>
    </w:p>
    <w:p w14:paraId="0719566D"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xml:space="preserve">In summary, evidence gathering is the centre of my investigative role. It dictates the trajectory of my complex caseloads, defines the legal parameters of my interactions with suspects and ultimately determines the likelihood of a successful prosecution. It is a dynamic and highly regulated process that requires a continuous balance between the pursuit of facts and evidence whilst also adhering to the legislative frameworks. </w:t>
      </w:r>
    </w:p>
    <w:p w14:paraId="6ED06D2D" w14:textId="77777777" w:rsidR="00FC6DFA" w:rsidRDefault="00FC6DFA" w:rsidP="00465E69">
      <w:pPr>
        <w:ind w:right="107"/>
        <w:rPr>
          <w:rFonts w:ascii="Arial" w:eastAsia="Arial" w:hAnsi="Arial" w:cs="Arial"/>
          <w:b/>
          <w:color w:val="000000"/>
          <w:sz w:val="24"/>
          <w:szCs w:val="24"/>
        </w:rPr>
      </w:pPr>
    </w:p>
    <w:p w14:paraId="36DA9203" w14:textId="4346D611" w:rsidR="00465E69" w:rsidRDefault="00465E69" w:rsidP="00465E69">
      <w:pPr>
        <w:ind w:right="107"/>
        <w:rPr>
          <w:rFonts w:asciiTheme="minorHAnsi" w:eastAsia="Arial" w:hAnsiTheme="minorHAnsi" w:cstheme="minorHAnsi"/>
          <w:b/>
          <w:color w:val="000000"/>
          <w:u w:val="single"/>
        </w:rPr>
      </w:pPr>
      <w:r w:rsidRPr="00465E69">
        <w:rPr>
          <w:rFonts w:asciiTheme="minorHAnsi" w:eastAsia="Arial" w:hAnsiTheme="minorHAnsi" w:cstheme="minorHAnsi"/>
          <w:b/>
          <w:color w:val="000000"/>
          <w:u w:val="single"/>
        </w:rPr>
        <w:t>Task 1.</w:t>
      </w:r>
      <w:r>
        <w:rPr>
          <w:rFonts w:asciiTheme="minorHAnsi" w:eastAsia="Arial" w:hAnsiTheme="minorHAnsi" w:cstheme="minorHAnsi"/>
          <w:b/>
          <w:color w:val="000000"/>
          <w:u w:val="single"/>
        </w:rPr>
        <w:t>b</w:t>
      </w:r>
    </w:p>
    <w:p w14:paraId="0284F232" w14:textId="77777777" w:rsidR="00465E69" w:rsidRDefault="00465E69" w:rsidP="00465E69">
      <w:pPr>
        <w:ind w:right="107"/>
        <w:rPr>
          <w:rFonts w:asciiTheme="minorHAnsi" w:eastAsia="Arial" w:hAnsiTheme="minorHAnsi" w:cstheme="minorHAnsi"/>
          <w:bCs/>
          <w:color w:val="000000"/>
        </w:rPr>
      </w:pPr>
    </w:p>
    <w:p w14:paraId="0B3EE6E9"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xml:space="preserve">Whilst the legislative framework of PACE 1984 and the theoretical models of the College of Policing provide a structured approach to evidence gathering, the operational reality for investigators is often made more difficult by systemic, administrative and psychological obstacles. Modern criminal investigation is no longer just about finding a "smoking gun", it is about navigating an increasingly complex landscape of digital data, rigid disclosure rules and also the vulnerabilities that come with human memory. These challenges significantly impact investigative practice, often dictating the pace, direction and ultimately the success of a complex enquiry. </w:t>
      </w:r>
    </w:p>
    <w:p w14:paraId="072D1EC9"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w:t>
      </w:r>
    </w:p>
    <w:p w14:paraId="6902C9F4"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u w:val="single"/>
        </w:rPr>
        <w:lastRenderedPageBreak/>
        <w:t>The increase in digital data and "data asphyxiation:</w:t>
      </w:r>
    </w:p>
    <w:p w14:paraId="2B0A73AD"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xml:space="preserve">Potentially the most apparent and growing challenge to evidence gathering is the exponential growth of digital material. In my practice within CID, it is rare to encounter a serious offence no matter what category of offence that it falls within, that does not feature a digital footprint. Smartphones, CCTV, social media and telematics are standard evidential requirements. </w:t>
      </w:r>
    </w:p>
    <w:p w14:paraId="4B048C1D"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xml:space="preserve">However, this abundance of evidence has created a systemic bottleneck type situation. HMICFRS (2021), in their report named The Digital Divide, highlighted that police forces are overwhelmed by the sheer volume of digital data which is leading to severe backlogs in digital forensic examinations. As an investigator, this presents a massive obstacle. Seizing a suspects mobile phone is relatively simple,. Extracting, reviewing and evaluation often thousands of pages of data that is may contain however is a completely different proposition. I frequently experience "data asphyxiation", where the operational need to progress an investigation and secure a prompt charging decision is completely stalled by the weeks or often now months that I am required to wait for a digital device to be downloaded. Consequently, investigative momentum is lost, suspects may be released under investigation (RUI) for extended periods and victims may also suffer prolonged anxiety whilst awaiting justice. The challenge is no longer finding the evidence but possessing both the time and technical resources to do so. To illustrate this systemic bottleneck, I recently investigated a high risk domestic violence case where the suspect was successfully charged and remanded into custody. Given the severity of the abuse, securing a remand was a critical safeguarding measure for the victim. However, as the trial date approached, the Crown Prosecution Service (CPS) urgently requested the digital examination of the mobile phone that had been seized from the suspect, to corroborate the victim's account of coercive control and also threatening messages. Though the device had already been submitted to the High Tech Crime Unit (HTCU), I was informed that the unit's backlog meant that the download would take 12 to 15 weeks, placing the evidential return past the scheduled trial date. This created an operational dilemma; proceed to trial without potentially crucial corroborating evidence which could risk an acquittal and therefor further risk to the victim, or request an adjournment of the trial which would thereby prolong the victim's anxiety and also risk breaching the custody time limits. Ultimately this resulted in an escalation to management in various departments, requiring payment of digital examiners to extradite. This demonstrates how the increase in digital data directly obstructs the timely delivery of justice, transforming a technical delay into a critical investigative and prosecutorial risk. </w:t>
      </w:r>
    </w:p>
    <w:p w14:paraId="08800D54"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w:t>
      </w:r>
    </w:p>
    <w:p w14:paraId="1EC2EBC8" w14:textId="1C54C61D"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w:t>
      </w:r>
      <w:r w:rsidRPr="00465E69">
        <w:rPr>
          <w:rFonts w:asciiTheme="minorHAnsi" w:eastAsia="Arial" w:hAnsiTheme="minorHAnsi" w:cstheme="minorHAnsi"/>
          <w:bCs/>
          <w:color w:val="000000"/>
          <w:u w:val="single"/>
        </w:rPr>
        <w:t>The administrative burden of disclosure (CPIA):</w:t>
      </w:r>
    </w:p>
    <w:p w14:paraId="36DC20A3"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xml:space="preserve">Closely linked to the large amount of digital data is the administrative burden of disclosure under the Criminal Procedure and Investigations Act (CPIA) 1996. The CPIA dictates that investigators must record, retain and reveal to the prosecutor any material that might undermine the prosecution case or assist the defence. Whilst legally and ethically vital to prevent miscarriages of justice, the practical application of the CPIA presents a monumental obstacle to daily investigative practice. </w:t>
      </w:r>
    </w:p>
    <w:p w14:paraId="35DCE3E8"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xml:space="preserve">HMICFRS (2018) notes that the demands of disclosure are significant cause of stress for investigators, often perceived as a disproportionate administrative burden rather than a core investigative function. In complex cases, every unused piece of CCTV, every irrelevant text message and every negative line of enquiry must be scheduled on a MG6 series form. When dealing with digital downloads, this requirement becomes highly oppressive. The impact on practice is severe; </w:t>
      </w:r>
      <w:r w:rsidRPr="00465E69">
        <w:rPr>
          <w:rFonts w:asciiTheme="minorHAnsi" w:eastAsia="Arial" w:hAnsiTheme="minorHAnsi" w:cstheme="minorHAnsi"/>
          <w:bCs/>
          <w:color w:val="000000"/>
        </w:rPr>
        <w:lastRenderedPageBreak/>
        <w:t xml:space="preserve">investigators are frequently forced to dedicate disproportionate amounts of time to administrative scheduling rather than proactive, physical evidence gathering or victim care. This dynamic can inadvertently breed a risk averse culture where investigators might hesitate to gather material simply to avoid the subsequent disclosure paperwork which is of course a direct contradiction of the CPIA's own mandate to pursue all reasonable lines of enquiry. </w:t>
      </w:r>
    </w:p>
    <w:p w14:paraId="48BFED75" w14:textId="7B2A8D93"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w:t>
      </w:r>
    </w:p>
    <w:p w14:paraId="06058670"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u w:val="single"/>
        </w:rPr>
        <w:t>Cognitive biases and tunnel vision:</w:t>
      </w:r>
    </w:p>
    <w:p w14:paraId="1D031D81"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xml:space="preserve">In addition to systemic issues, evidence gathering presents significant psychological challenges. Criminal investigations are high pressure environments and due to this, investigators are susceptible to the same cognitive biases as others would be. Rossmo (2009) identifies "tunnel vision" and "confirmation bias" as primary causes of criminal investigative failures. </w:t>
      </w:r>
    </w:p>
    <w:p w14:paraId="1B8F94CA"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xml:space="preserve">Confirmation bias occurs when an investigator develops a premature theory about a suspect's guilt and due to this only gathers, or gives undue weight to, evidence that supports their theory while unconsciously ignoring or dismissing evidence contrary to that. </w:t>
      </w:r>
    </w:p>
    <w:p w14:paraId="6E4BC253"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xml:space="preserve">In my role as a PIP level 2 investigator, this risk is ever present and this is particularly the case in emotive or high profile cases where there is internal or public pressure for a quick resolution. If a suspect has a significant criminal history or if early intelligence points strongly in one direction, the psychological temptation is to construct the hypothesis of the case around them. Overcoming this obstacle requires contact self-awareness and strict adherence to the PEACE model's 'evaluation' phase, actively playing "devil's advocate" with my own gathered evidence. The failure to mitigate this bias doesn't just lead to poor practice but also potential wrongful arrests whilst the actual offender could remain at large with devastating miscarriages of justice. </w:t>
      </w:r>
    </w:p>
    <w:p w14:paraId="7FF273B3" w14:textId="73CCBCA9"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w:t>
      </w:r>
    </w:p>
    <w:p w14:paraId="134D8AA6" w14:textId="77777777" w:rsidR="00465E69" w:rsidRPr="00686406" w:rsidRDefault="00465E69" w:rsidP="00465E69">
      <w:pPr>
        <w:ind w:right="107"/>
        <w:rPr>
          <w:rFonts w:asciiTheme="minorHAnsi" w:eastAsia="Arial" w:hAnsiTheme="minorHAnsi" w:cstheme="minorHAnsi"/>
          <w:bCs/>
          <w:color w:val="000000"/>
          <w:u w:val="single"/>
        </w:rPr>
      </w:pPr>
      <w:r w:rsidRPr="00686406">
        <w:rPr>
          <w:rFonts w:asciiTheme="minorHAnsi" w:eastAsia="Arial" w:hAnsiTheme="minorHAnsi" w:cstheme="minorHAnsi"/>
          <w:bCs/>
          <w:color w:val="000000"/>
          <w:u w:val="single"/>
        </w:rPr>
        <w:t>The fragility of human memory:</w:t>
      </w:r>
    </w:p>
    <w:p w14:paraId="20CCB615"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xml:space="preserve">Finaly, a persistent challenge in evidence gathering is the reliance on human memory. Though I have spoken about the increasing use of digital data, human memory still of course plays a key part within an investigative process and evidence gathering, remaining the cornerstone of most prosecutions. Milne and Bull (1999) however, established that human memory is not a video recording that can be perfectly rewound and replayed. It is a reconstructive, fragile process that is highly susceptible to contamination, stress and time. </w:t>
      </w:r>
    </w:p>
    <w:p w14:paraId="68720ACF"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xml:space="preserve">Working with traumatised victims, particularly in sexual offences causes or those that include serious physical or psychological harm, presents a distinct obstacle. Trauma can cause fragmented memory recall, leading to inconsistencies in a victim's account. To a defence barrister, these inconsistencies are presented as inconsistencies or even lies. As an investigator, I understand them as a standard response to trauma. The challenge lies in gathering this evidence both ethically and robustly. If I ask leading questions or pressure a witness, I risk contaminating their memory and therefor rendering the evidence inadmissible. This impacts investigative practice by requiring specialised skills such Achieving Best Evidence (ABE) interviewing techniques, to carefully navigate the trauma, build rapport and facilitate free recall without corrupting the evidence itself. </w:t>
      </w:r>
    </w:p>
    <w:p w14:paraId="7A159677"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w:t>
      </w:r>
    </w:p>
    <w:p w14:paraId="293A4952"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t> </w:t>
      </w:r>
    </w:p>
    <w:p w14:paraId="3C1B8C75" w14:textId="77777777" w:rsidR="00465E69" w:rsidRPr="00465E69" w:rsidRDefault="00465E69" w:rsidP="00465E69">
      <w:pPr>
        <w:ind w:right="107"/>
        <w:rPr>
          <w:rFonts w:asciiTheme="minorHAnsi" w:eastAsia="Arial" w:hAnsiTheme="minorHAnsi" w:cstheme="minorHAnsi"/>
          <w:bCs/>
          <w:color w:val="000000"/>
        </w:rPr>
      </w:pPr>
      <w:r w:rsidRPr="00465E69">
        <w:rPr>
          <w:rFonts w:asciiTheme="minorHAnsi" w:eastAsia="Arial" w:hAnsiTheme="minorHAnsi" w:cstheme="minorHAnsi"/>
          <w:bCs/>
          <w:color w:val="000000"/>
        </w:rPr>
        <w:lastRenderedPageBreak/>
        <w:t xml:space="preserve">Inconclusion, whilst evidence gathering is the fundamental purpose of my role as a PIP level 2 investigator and tier 3 interviewer, it is an exceptionally challenging discipline. Investigators must now operate in a way which considers both the legal rigidity and technological overload. The systemic obstacles of digital data volume and also CPIA scheduling could cause problems in proactive investigations due to the added administration. Simultaneously, the psychological pitfalls of cogitative bias and the fragile nature of witness memory require constant vigilance and advanced interviewing skills. Managing these challenges throughout an investigation is a test of investigative competence. </w:t>
      </w:r>
    </w:p>
    <w:p w14:paraId="213763F6" w14:textId="77777777" w:rsidR="00465E69" w:rsidRDefault="00465E69" w:rsidP="00465E69">
      <w:pPr>
        <w:ind w:right="107"/>
        <w:rPr>
          <w:rFonts w:asciiTheme="minorHAnsi" w:eastAsia="Arial" w:hAnsiTheme="minorHAnsi" w:cstheme="minorHAnsi"/>
          <w:bCs/>
          <w:color w:val="000000"/>
        </w:rPr>
      </w:pPr>
    </w:p>
    <w:p w14:paraId="4E10EC6B" w14:textId="41B2C7FC" w:rsidR="00465E69" w:rsidRDefault="00465E69" w:rsidP="00465E69">
      <w:pPr>
        <w:ind w:right="107"/>
        <w:rPr>
          <w:rFonts w:asciiTheme="minorHAnsi" w:eastAsia="Arial" w:hAnsiTheme="minorHAnsi" w:cstheme="minorHAnsi"/>
          <w:b/>
          <w:color w:val="000000"/>
        </w:rPr>
      </w:pPr>
      <w:r>
        <w:rPr>
          <w:rFonts w:asciiTheme="minorHAnsi" w:eastAsia="Arial" w:hAnsiTheme="minorHAnsi" w:cstheme="minorHAnsi"/>
          <w:b/>
          <w:color w:val="000000"/>
        </w:rPr>
        <w:t>Task 1 word count: 1935</w:t>
      </w:r>
    </w:p>
    <w:p w14:paraId="0BA5A92D" w14:textId="77777777" w:rsidR="00465E69" w:rsidRDefault="00465E69" w:rsidP="00465E69">
      <w:pPr>
        <w:ind w:right="107"/>
        <w:rPr>
          <w:rFonts w:asciiTheme="minorHAnsi" w:eastAsia="Arial" w:hAnsiTheme="minorHAnsi" w:cstheme="minorHAnsi"/>
          <w:b/>
          <w:color w:val="000000"/>
        </w:rPr>
      </w:pPr>
    </w:p>
    <w:p w14:paraId="5BA5DEAA" w14:textId="77777777" w:rsidR="00465E69" w:rsidRDefault="00465E69" w:rsidP="00465E69">
      <w:pPr>
        <w:ind w:right="107"/>
        <w:rPr>
          <w:rFonts w:asciiTheme="minorHAnsi" w:eastAsia="Arial" w:hAnsiTheme="minorHAnsi" w:cstheme="minorHAnsi"/>
          <w:b/>
          <w:color w:val="000000"/>
        </w:rPr>
      </w:pPr>
    </w:p>
    <w:p w14:paraId="36DED919" w14:textId="77777777" w:rsidR="00465E69" w:rsidRPr="00465E69" w:rsidRDefault="00465E69" w:rsidP="00465E69">
      <w:pPr>
        <w:ind w:right="107"/>
        <w:rPr>
          <w:rFonts w:asciiTheme="minorHAnsi" w:eastAsia="Arial" w:hAnsiTheme="minorHAnsi" w:cstheme="minorHAnsi"/>
          <w:b/>
          <w:color w:val="000000"/>
        </w:rPr>
      </w:pPr>
    </w:p>
    <w:p w14:paraId="18A6987D" w14:textId="77777777" w:rsidR="00CD5F95" w:rsidRPr="00465E69" w:rsidRDefault="00CD5F95">
      <w:pPr>
        <w:rPr>
          <w:rFonts w:asciiTheme="minorHAnsi" w:eastAsia="Arial" w:hAnsiTheme="minorHAnsi" w:cstheme="minorHAnsi"/>
          <w:bCs/>
          <w:iCs/>
        </w:rPr>
      </w:pPr>
    </w:p>
    <w:p w14:paraId="62DBCE26" w14:textId="77777777" w:rsidR="00CD5F95" w:rsidRDefault="00CD5F95">
      <w:pPr>
        <w:rPr>
          <w:rFonts w:ascii="Arial" w:eastAsia="Arial" w:hAnsi="Arial" w:cs="Arial"/>
          <w:b/>
          <w:i/>
          <w:sz w:val="24"/>
          <w:szCs w:val="24"/>
        </w:rPr>
      </w:pPr>
    </w:p>
    <w:p w14:paraId="4D5C1881" w14:textId="77777777" w:rsidR="00CD5F95" w:rsidRDefault="00CD5F95">
      <w:pPr>
        <w:rPr>
          <w:rFonts w:ascii="Arial" w:eastAsia="Arial" w:hAnsi="Arial" w:cs="Arial"/>
          <w:b/>
          <w:i/>
          <w:sz w:val="24"/>
          <w:szCs w:val="24"/>
        </w:rPr>
      </w:pPr>
    </w:p>
    <w:p w14:paraId="5FDB9740" w14:textId="77777777" w:rsidR="00CD5F95" w:rsidRDefault="00CD5F95">
      <w:pPr>
        <w:rPr>
          <w:rFonts w:ascii="Arial" w:eastAsia="Arial" w:hAnsi="Arial" w:cs="Arial"/>
          <w:b/>
          <w:i/>
          <w:sz w:val="24"/>
          <w:szCs w:val="24"/>
        </w:rPr>
      </w:pPr>
    </w:p>
    <w:p w14:paraId="54AABFF4" w14:textId="77777777" w:rsidR="00CD5F95" w:rsidRDefault="00CD5F95">
      <w:pPr>
        <w:rPr>
          <w:rFonts w:ascii="Arial" w:eastAsia="Arial" w:hAnsi="Arial" w:cs="Arial"/>
          <w:b/>
          <w:i/>
          <w:sz w:val="24"/>
          <w:szCs w:val="24"/>
        </w:rPr>
      </w:pPr>
    </w:p>
    <w:p w14:paraId="5DE16255" w14:textId="77777777" w:rsidR="00CD5F95" w:rsidRDefault="00CD5F95">
      <w:pPr>
        <w:rPr>
          <w:rFonts w:ascii="Arial" w:eastAsia="Arial" w:hAnsi="Arial" w:cs="Arial"/>
          <w:b/>
          <w:i/>
          <w:sz w:val="24"/>
          <w:szCs w:val="24"/>
        </w:rPr>
      </w:pPr>
    </w:p>
    <w:p w14:paraId="7E041B17" w14:textId="77777777" w:rsidR="00CD5F95" w:rsidRDefault="00CD5F95">
      <w:pPr>
        <w:rPr>
          <w:rFonts w:ascii="Arial" w:eastAsia="Arial" w:hAnsi="Arial" w:cs="Arial"/>
          <w:b/>
          <w:i/>
          <w:sz w:val="24"/>
          <w:szCs w:val="24"/>
        </w:rPr>
      </w:pPr>
    </w:p>
    <w:p w14:paraId="00DF094D" w14:textId="77777777" w:rsidR="00CD5F95" w:rsidRDefault="00CD5F95">
      <w:pPr>
        <w:rPr>
          <w:rFonts w:ascii="Arial" w:eastAsia="Arial" w:hAnsi="Arial" w:cs="Arial"/>
          <w:b/>
          <w:i/>
          <w:sz w:val="24"/>
          <w:szCs w:val="24"/>
        </w:rPr>
      </w:pPr>
    </w:p>
    <w:p w14:paraId="1C138393" w14:textId="77777777" w:rsidR="00CD5F95" w:rsidRDefault="00CD5F95">
      <w:pPr>
        <w:rPr>
          <w:rFonts w:ascii="Arial" w:eastAsia="Arial" w:hAnsi="Arial" w:cs="Arial"/>
          <w:b/>
          <w:i/>
          <w:sz w:val="24"/>
          <w:szCs w:val="24"/>
        </w:rPr>
      </w:pPr>
    </w:p>
    <w:p w14:paraId="4ED14214" w14:textId="77777777" w:rsidR="00CD5F95" w:rsidRDefault="00CD5F95">
      <w:pPr>
        <w:rPr>
          <w:rFonts w:ascii="Arial" w:eastAsia="Arial" w:hAnsi="Arial" w:cs="Arial"/>
          <w:b/>
          <w:i/>
          <w:sz w:val="24"/>
          <w:szCs w:val="24"/>
        </w:rPr>
      </w:pPr>
    </w:p>
    <w:p w14:paraId="676D1BD3" w14:textId="77777777" w:rsidR="00CD5F95" w:rsidRDefault="00CD5F95">
      <w:pPr>
        <w:rPr>
          <w:rFonts w:ascii="Arial" w:eastAsia="Arial" w:hAnsi="Arial" w:cs="Arial"/>
          <w:b/>
          <w:i/>
          <w:sz w:val="24"/>
          <w:szCs w:val="24"/>
        </w:rPr>
      </w:pPr>
    </w:p>
    <w:p w14:paraId="7B8AF49D" w14:textId="77777777" w:rsidR="00CD5F95" w:rsidRDefault="00CD5F95">
      <w:pPr>
        <w:rPr>
          <w:rFonts w:ascii="Arial" w:eastAsia="Arial" w:hAnsi="Arial" w:cs="Arial"/>
          <w:b/>
          <w:i/>
          <w:sz w:val="24"/>
          <w:szCs w:val="24"/>
        </w:rPr>
      </w:pPr>
    </w:p>
    <w:p w14:paraId="049FE08D" w14:textId="77777777" w:rsidR="00CD5F95" w:rsidRDefault="00CD5F95">
      <w:pPr>
        <w:rPr>
          <w:rFonts w:ascii="Arial" w:eastAsia="Arial" w:hAnsi="Arial" w:cs="Arial"/>
          <w:b/>
          <w:i/>
          <w:sz w:val="24"/>
          <w:szCs w:val="24"/>
        </w:rPr>
      </w:pPr>
    </w:p>
    <w:p w14:paraId="44E1F36F" w14:textId="77777777" w:rsidR="00CD5F95" w:rsidRDefault="00CD5F95">
      <w:pPr>
        <w:rPr>
          <w:rFonts w:ascii="Arial" w:eastAsia="Arial" w:hAnsi="Arial" w:cs="Arial"/>
          <w:b/>
          <w:i/>
          <w:sz w:val="24"/>
          <w:szCs w:val="24"/>
        </w:rPr>
      </w:pPr>
    </w:p>
    <w:p w14:paraId="07731A45" w14:textId="77777777" w:rsidR="00CD5F95" w:rsidRDefault="00CD5F95">
      <w:pPr>
        <w:rPr>
          <w:rFonts w:ascii="Arial" w:eastAsia="Arial" w:hAnsi="Arial" w:cs="Arial"/>
          <w:b/>
          <w:i/>
          <w:sz w:val="24"/>
          <w:szCs w:val="24"/>
        </w:rPr>
      </w:pPr>
    </w:p>
    <w:p w14:paraId="1900817D" w14:textId="77777777" w:rsidR="00CD5F95" w:rsidRDefault="00CD5F95">
      <w:pPr>
        <w:rPr>
          <w:rFonts w:ascii="Arial" w:eastAsia="Arial" w:hAnsi="Arial" w:cs="Arial"/>
          <w:b/>
          <w:i/>
          <w:sz w:val="24"/>
          <w:szCs w:val="24"/>
        </w:rPr>
      </w:pPr>
    </w:p>
    <w:p w14:paraId="6050AC78" w14:textId="77777777" w:rsidR="00CD5F95" w:rsidRDefault="00CD5F95">
      <w:pPr>
        <w:rPr>
          <w:rFonts w:ascii="Arial" w:eastAsia="Arial" w:hAnsi="Arial" w:cs="Arial"/>
          <w:b/>
          <w:i/>
          <w:sz w:val="24"/>
          <w:szCs w:val="24"/>
        </w:rPr>
      </w:pPr>
    </w:p>
    <w:p w14:paraId="0FCE0C9F" w14:textId="77777777" w:rsidR="00CD5F95" w:rsidRDefault="00CD5F95">
      <w:pPr>
        <w:rPr>
          <w:rFonts w:ascii="Arial" w:eastAsia="Arial" w:hAnsi="Arial" w:cs="Arial"/>
          <w:b/>
          <w:i/>
          <w:sz w:val="24"/>
          <w:szCs w:val="24"/>
        </w:rPr>
      </w:pPr>
    </w:p>
    <w:p w14:paraId="20F60E51" w14:textId="77777777" w:rsidR="00E04FDF" w:rsidRDefault="00E04FDF">
      <w:pPr>
        <w:rPr>
          <w:rFonts w:ascii="Arial" w:eastAsia="Arial" w:hAnsi="Arial" w:cs="Arial"/>
          <w:b/>
          <w:i/>
          <w:sz w:val="24"/>
          <w:szCs w:val="24"/>
        </w:rPr>
      </w:pPr>
      <w:bookmarkStart w:id="2" w:name="_Hlk221096465"/>
    </w:p>
    <w:p w14:paraId="21D02571" w14:textId="77777777" w:rsidR="00E04FDF" w:rsidRDefault="00E04FDF">
      <w:pPr>
        <w:rPr>
          <w:rFonts w:ascii="Arial" w:eastAsia="Arial" w:hAnsi="Arial" w:cs="Arial"/>
          <w:b/>
          <w:i/>
          <w:sz w:val="24"/>
          <w:szCs w:val="24"/>
        </w:rPr>
      </w:pPr>
    </w:p>
    <w:p w14:paraId="4CF95AD9" w14:textId="1A900302" w:rsidR="00FC6DFA" w:rsidRDefault="009F1B79">
      <w:pPr>
        <w:rPr>
          <w:rFonts w:ascii="Arial" w:eastAsia="Arial" w:hAnsi="Arial" w:cs="Arial"/>
          <w:b/>
          <w:i/>
          <w:sz w:val="24"/>
          <w:szCs w:val="24"/>
        </w:rPr>
      </w:pPr>
      <w:r>
        <w:rPr>
          <w:rFonts w:ascii="Arial" w:eastAsia="Arial" w:hAnsi="Arial" w:cs="Arial"/>
          <w:b/>
          <w:i/>
          <w:sz w:val="24"/>
          <w:szCs w:val="24"/>
        </w:rPr>
        <w:lastRenderedPageBreak/>
        <w:t>Task 2: Safeguarding and Risk Assessment</w:t>
      </w:r>
    </w:p>
    <w:bookmarkEnd w:id="2"/>
    <w:p w14:paraId="151F0848" w14:textId="77777777" w:rsidR="00FC6DFA" w:rsidRDefault="00FC6DFA"/>
    <w:tbl>
      <w:tblPr>
        <w:tblStyle w:val="a2"/>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FC6DFA" w14:paraId="63CCD73D" w14:textId="77777777">
        <w:tc>
          <w:tcPr>
            <w:tcW w:w="9015" w:type="dxa"/>
          </w:tcPr>
          <w:p w14:paraId="628D76A4" w14:textId="77777777" w:rsidR="00FC6DFA" w:rsidRDefault="009F1B79">
            <w:pPr>
              <w:spacing w:line="360" w:lineRule="auto"/>
              <w:rPr>
                <w:rFonts w:ascii="Arial" w:eastAsia="Arial" w:hAnsi="Arial" w:cs="Arial"/>
                <w:b/>
                <w:color w:val="000000"/>
                <w:sz w:val="24"/>
                <w:szCs w:val="24"/>
              </w:rPr>
            </w:pPr>
            <w:bookmarkStart w:id="3" w:name="_Hlk221096542"/>
            <w:r>
              <w:rPr>
                <w:rFonts w:ascii="Arial" w:eastAsia="Arial" w:hAnsi="Arial" w:cs="Arial"/>
                <w:sz w:val="24"/>
                <w:szCs w:val="24"/>
              </w:rPr>
              <w:t>Choose an investigation from your practice in which you played a significant part where vulnerable people were exploited (either as victims, witnesses or both) and provide brief details of the incident.</w:t>
            </w:r>
          </w:p>
          <w:bookmarkEnd w:id="3"/>
          <w:p w14:paraId="680D4C2A" w14:textId="77777777" w:rsidR="00FC6DFA" w:rsidRDefault="00FC6DFA">
            <w:pPr>
              <w:spacing w:line="360" w:lineRule="auto"/>
              <w:rPr>
                <w:rFonts w:ascii="Arial" w:eastAsia="Arial" w:hAnsi="Arial" w:cs="Arial"/>
                <w:sz w:val="24"/>
                <w:szCs w:val="24"/>
              </w:rPr>
            </w:pPr>
          </w:p>
          <w:p w14:paraId="612FD83F" w14:textId="77777777" w:rsidR="00FC6DFA" w:rsidRDefault="009F1B79">
            <w:pPr>
              <w:numPr>
                <w:ilvl w:val="0"/>
                <w:numId w:val="5"/>
              </w:numPr>
              <w:pBdr>
                <w:top w:val="nil"/>
                <w:left w:val="nil"/>
                <w:bottom w:val="nil"/>
                <w:right w:val="nil"/>
                <w:between w:val="nil"/>
              </w:pBdr>
              <w:spacing w:line="360" w:lineRule="auto"/>
              <w:rPr>
                <w:rFonts w:ascii="Arial" w:eastAsia="Arial" w:hAnsi="Arial" w:cs="Arial"/>
                <w:color w:val="000000"/>
                <w:sz w:val="24"/>
                <w:szCs w:val="24"/>
              </w:rPr>
            </w:pPr>
            <w:bookmarkStart w:id="4" w:name="_Hlk221097139"/>
            <w:r>
              <w:rPr>
                <w:rFonts w:ascii="Arial" w:eastAsia="Arial" w:hAnsi="Arial" w:cs="Arial"/>
                <w:b/>
                <w:color w:val="000000"/>
                <w:sz w:val="24"/>
                <w:szCs w:val="24"/>
              </w:rPr>
              <w:t>Describe</w:t>
            </w:r>
            <w:r>
              <w:rPr>
                <w:rFonts w:ascii="Arial" w:eastAsia="Arial" w:hAnsi="Arial" w:cs="Arial"/>
                <w:color w:val="000000"/>
                <w:sz w:val="24"/>
                <w:szCs w:val="24"/>
              </w:rPr>
              <w:t xml:space="preserve"> the crime types involved and </w:t>
            </w:r>
            <w:r>
              <w:rPr>
                <w:rFonts w:ascii="Arial" w:eastAsia="Arial" w:hAnsi="Arial" w:cs="Arial"/>
                <w:b/>
                <w:color w:val="000000"/>
                <w:sz w:val="24"/>
                <w:szCs w:val="24"/>
              </w:rPr>
              <w:t>discuss</w:t>
            </w:r>
            <w:r>
              <w:rPr>
                <w:rFonts w:ascii="Arial" w:eastAsia="Arial" w:hAnsi="Arial" w:cs="Arial"/>
                <w:color w:val="000000"/>
                <w:sz w:val="24"/>
                <w:szCs w:val="24"/>
              </w:rPr>
              <w:t xml:space="preserve"> the difficulties and obstacles that you faced in identifying and investigating these crimes. </w:t>
            </w:r>
          </w:p>
          <w:p w14:paraId="0387E5CC" w14:textId="77777777" w:rsidR="00FC6DFA" w:rsidRDefault="009F1B79">
            <w:pPr>
              <w:numPr>
                <w:ilvl w:val="0"/>
                <w:numId w:val="5"/>
              </w:numPr>
              <w:pBdr>
                <w:top w:val="nil"/>
                <w:left w:val="nil"/>
                <w:bottom w:val="nil"/>
                <w:right w:val="nil"/>
                <w:between w:val="nil"/>
              </w:pBdr>
              <w:spacing w:after="160" w:line="259" w:lineRule="auto"/>
              <w:rPr>
                <w:rFonts w:ascii="Arial" w:eastAsia="Arial" w:hAnsi="Arial" w:cs="Arial"/>
                <w:color w:val="000000"/>
                <w:sz w:val="24"/>
                <w:szCs w:val="24"/>
              </w:rPr>
            </w:pPr>
            <w:bookmarkStart w:id="5" w:name="_Hlk221097651"/>
            <w:bookmarkEnd w:id="4"/>
            <w:r>
              <w:rPr>
                <w:rFonts w:ascii="Arial" w:eastAsia="Arial" w:hAnsi="Arial" w:cs="Arial"/>
                <w:b/>
                <w:color w:val="000000"/>
                <w:sz w:val="24"/>
                <w:szCs w:val="24"/>
              </w:rPr>
              <w:t xml:space="preserve">Critically evaluate </w:t>
            </w:r>
            <w:r>
              <w:rPr>
                <w:rFonts w:ascii="Arial" w:eastAsia="Arial" w:hAnsi="Arial" w:cs="Arial"/>
                <w:color w:val="000000"/>
                <w:sz w:val="24"/>
                <w:szCs w:val="24"/>
              </w:rPr>
              <w:t>the effectiveness of the investigative methods and legal processes that can be used to overcome these obstacles in order to successfully support vulnerable victims and witnesses.</w:t>
            </w:r>
          </w:p>
          <w:bookmarkEnd w:id="5"/>
          <w:p w14:paraId="0F876EB9" w14:textId="77777777" w:rsidR="00FC6DFA" w:rsidRDefault="00FC6DFA">
            <w:pPr>
              <w:rPr>
                <w:rFonts w:ascii="Arial" w:eastAsia="Arial" w:hAnsi="Arial" w:cs="Arial"/>
                <w:color w:val="000000"/>
                <w:sz w:val="24"/>
                <w:szCs w:val="24"/>
              </w:rPr>
            </w:pPr>
          </w:p>
          <w:p w14:paraId="59AF57BE" w14:textId="77777777" w:rsidR="00FC6DFA" w:rsidRDefault="009F1B79">
            <w:pPr>
              <w:ind w:right="237"/>
              <w:jc w:val="both"/>
              <w:rPr>
                <w:rFonts w:ascii="Arial" w:eastAsia="Arial" w:hAnsi="Arial" w:cs="Arial"/>
                <w:sz w:val="24"/>
                <w:szCs w:val="24"/>
              </w:rPr>
            </w:pPr>
            <w:r>
              <w:rPr>
                <w:rFonts w:ascii="Arial" w:eastAsia="Arial" w:hAnsi="Arial" w:cs="Arial"/>
                <w:b/>
                <w:color w:val="000000"/>
                <w:sz w:val="24"/>
                <w:szCs w:val="24"/>
              </w:rPr>
              <w:t>2000 words</w:t>
            </w:r>
            <w:r>
              <w:rPr>
                <w:rFonts w:ascii="Arial" w:eastAsia="Arial" w:hAnsi="Arial" w:cs="Arial"/>
                <w:color w:val="000000"/>
                <w:sz w:val="24"/>
                <w:szCs w:val="24"/>
              </w:rPr>
              <w:t xml:space="preserve"> </w:t>
            </w:r>
            <w:r>
              <w:rPr>
                <w:rFonts w:ascii="Arial" w:eastAsia="Arial" w:hAnsi="Arial" w:cs="Arial"/>
                <w:i/>
                <w:color w:val="000000"/>
                <w:sz w:val="24"/>
                <w:szCs w:val="24"/>
              </w:rPr>
              <w:t>(+/- 10%: include your actual word count at the end of each section)</w:t>
            </w:r>
          </w:p>
          <w:p w14:paraId="36C5F821" w14:textId="77777777" w:rsidR="00FC6DFA" w:rsidRDefault="00FC6DFA">
            <w:pPr>
              <w:ind w:right="237"/>
              <w:jc w:val="both"/>
              <w:rPr>
                <w:rFonts w:ascii="Arial" w:eastAsia="Arial" w:hAnsi="Arial" w:cs="Arial"/>
                <w:i/>
                <w:color w:val="000000"/>
                <w:sz w:val="24"/>
                <w:szCs w:val="24"/>
              </w:rPr>
            </w:pPr>
          </w:p>
        </w:tc>
      </w:tr>
    </w:tbl>
    <w:p w14:paraId="446A236A" w14:textId="77777777" w:rsidR="00FC6DFA" w:rsidRDefault="00FC6DFA">
      <w:pPr>
        <w:ind w:left="3600" w:right="107"/>
        <w:jc w:val="both"/>
        <w:rPr>
          <w:rFonts w:ascii="Arial" w:eastAsia="Arial" w:hAnsi="Arial" w:cs="Arial"/>
          <w:b/>
          <w:color w:val="000000"/>
          <w:sz w:val="24"/>
          <w:szCs w:val="24"/>
        </w:rPr>
      </w:pPr>
    </w:p>
    <w:p w14:paraId="10ECDAAA" w14:textId="51A7C95F" w:rsidR="00E04FDF" w:rsidRDefault="00E04FDF" w:rsidP="00E04FDF">
      <w:pPr>
        <w:ind w:right="107"/>
        <w:rPr>
          <w:rFonts w:asciiTheme="minorHAnsi" w:eastAsia="Arial" w:hAnsiTheme="minorHAnsi" w:cstheme="minorHAnsi"/>
          <w:b/>
          <w:color w:val="000000"/>
          <w:u w:val="single"/>
        </w:rPr>
      </w:pPr>
      <w:r w:rsidRPr="00465E69">
        <w:rPr>
          <w:rFonts w:asciiTheme="minorHAnsi" w:eastAsia="Arial" w:hAnsiTheme="minorHAnsi" w:cstheme="minorHAnsi"/>
          <w:b/>
          <w:color w:val="000000"/>
          <w:u w:val="single"/>
        </w:rPr>
        <w:t xml:space="preserve">Task </w:t>
      </w:r>
      <w:r>
        <w:rPr>
          <w:rFonts w:asciiTheme="minorHAnsi" w:eastAsia="Arial" w:hAnsiTheme="minorHAnsi" w:cstheme="minorHAnsi"/>
          <w:b/>
          <w:color w:val="000000"/>
          <w:u w:val="single"/>
        </w:rPr>
        <w:t>2.a</w:t>
      </w:r>
    </w:p>
    <w:p w14:paraId="60D2C1F2" w14:textId="77777777" w:rsidR="00E04FDF" w:rsidRDefault="00E04FDF" w:rsidP="00E04FDF">
      <w:pPr>
        <w:ind w:right="107"/>
        <w:rPr>
          <w:rFonts w:asciiTheme="minorHAnsi" w:eastAsia="Arial" w:hAnsiTheme="minorHAnsi" w:cstheme="minorHAnsi"/>
          <w:b/>
          <w:color w:val="000000"/>
          <w:u w:val="single"/>
        </w:rPr>
      </w:pPr>
    </w:p>
    <w:p w14:paraId="64344954"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Investigating the exploitation of vulnerable individuals presents profound psychological and logistical challenges to police. To illustrate this, I will critically reflect on a recent investigation in which I played a primary role as the Officer in Case (OIC), suspect interviewer and victim ABE interviewer. This investigation related to the severe coercive control and sexual exploitation of an isolated, vulnerable female child. The investigation began in an unconventional way following an anonymous intelligence report to the Home Office with the suspect then being intercepted and detained by Border Force upon his arrival at a UK airport. A search of his seized digital devices revealed evidence of horrific sexual offences that were committed against the victim which triggered a complex safeguarding and criminal investigation. </w:t>
      </w:r>
    </w:p>
    <w:p w14:paraId="44EE0F5B"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w:t>
      </w:r>
    </w:p>
    <w:p w14:paraId="7BCFE8DA"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The primary offences under investigation in this case were controlling or coercive behaviour under section 76 of the Serious Crime Act 2015, alongside the severe sexual offences and the possession of indecent images of children (IIOC) discovered on the devices. </w:t>
      </w:r>
    </w:p>
    <w:p w14:paraId="7224E861"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The victim's vulnerability in this case was extreme however maybe not immediately obvious in a more traditional sense. The college of Policing's Authorised Professional Practice (APP) identifies that vulnerability is often situational and driven by external coercion. In this instance, the victim was vulnerable not just because of her age but because of total social isolation, which has been intentionally and meticulously orchestrated by the suspect over a prolonged period. Identifying the full circumstances of the crimes committed was initially difficult, primarily because the abuse was largely psychological and hidden within the confines of a private "relationship". </w:t>
      </w:r>
    </w:p>
    <w:p w14:paraId="0CF3D4BE"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w:t>
      </w:r>
    </w:p>
    <w:p w14:paraId="0135281D"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lastRenderedPageBreak/>
        <w:t xml:space="preserve">The most significant and immediate obstacle to my investigation was the victim's own perception of her reality. When she initially engaged with me, she denied being a victim. She actually expressed deep affection for the suspect and told me of her intention to marry him. It was clear to see that she firmly believed his narrative that his controlling behaviour was his way of caring for her, making her believe that everybody else was against her and their relationship including her friends and her parents. </w:t>
      </w:r>
    </w:p>
    <w:p w14:paraId="6F507EA7"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w:t>
      </w:r>
    </w:p>
    <w:p w14:paraId="7E17CD9E"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This psychological barrier is widely recognised in academic literature. Stark (2007) argues that perpetrators essentially take their victims "hostage" in their personal lives. Stark explains that coercive control is designed to strip away a victim's autonomy, normalising the abuse to the extent that the victim aligns themselves with the perpetrators view for the sake of their psychological survival. As an investigator, this presents a huge hurdle as standard investigative methods such as taking an initial witness statement are largely ineffective when the victim is actively defending their exploiter and distrust the police's intentions when trying to intervene. </w:t>
      </w:r>
    </w:p>
    <w:p w14:paraId="72382300"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w:t>
      </w:r>
    </w:p>
    <w:p w14:paraId="6EA3B9E6"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A secondary but intertwines obstacle in this investigation was the suspect's method of enforcing the isolation. Barlow et al. (2020) note that investigating coercive control is notoriously difficult because the abuse often consists of the micro-management of everyday behaviours rather than overt or easily reportable incidents such as physical violence. </w:t>
      </w:r>
    </w:p>
    <w:p w14:paraId="1A1F92FC"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In this investigation, the suspect maintained a regime of total digital control. It was later established that he required the victim to be on video call or phone call with him constantly, including whilst she slept, with evidence of many calls around 18 hours a time in length with the victim later explaining how she would also have to stay on call whilst in college lessons and at her part time job, causing her to get in to trouble. </w:t>
      </w:r>
    </w:p>
    <w:p w14:paraId="48568CB6"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Even if the victim in this case did wish to break free of the suspect and seek help, this would have created a severe obstacle for her as she had virtually no unmonitored time to seek help or communicate with anybody. </w:t>
      </w:r>
    </w:p>
    <w:p w14:paraId="3B6100AD"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Once he was in custody the victim still did not wish to engage with officers due to her lack of trust in them and the investigation was initially only able to continue due to the suspects own arrogance; having filmed himself committing the sexual offences over the video calls and brought the evidence with him over the border on USB sticks. </w:t>
      </w:r>
    </w:p>
    <w:p w14:paraId="1363CF88"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w:t>
      </w:r>
    </w:p>
    <w:p w14:paraId="771D5059"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The final difficulty was in overcoming the victim's trauma induced resistance to effectively investigate the Section 76 coercive control offence. Proving coercive control typically requires the victim to articulate the continuous impact that the suspect's behaviour would have on their daily life. Without her cooperation, building a file for the Crown Prosecution Service (CPS) would be exceptionally difficult. </w:t>
      </w:r>
    </w:p>
    <w:p w14:paraId="3AA04C29"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Overcoming this required abandoning a "normal" investigative approach and instead I took my time with a prolonged, trauma informed strategy of rapport building. To break the suspect's psychological hold, I had to utilise a strategic disclosure of evidence to her. I carefully informed her that she was actually just one of several girls that he had been targeting and subsequently revealed </w:t>
      </w:r>
      <w:r w:rsidRPr="00E04FDF">
        <w:rPr>
          <w:rFonts w:asciiTheme="minorHAnsi" w:eastAsia="Arial" w:hAnsiTheme="minorHAnsi" w:cstheme="minorHAnsi"/>
          <w:bCs/>
          <w:color w:val="000000"/>
        </w:rPr>
        <w:lastRenderedPageBreak/>
        <w:t xml:space="preserve">that he had brought IIOC in to the country, exposing his true predatory nature and intent. This was a shock to her but necessary to shatter the illusion of the loving relationship he had constructed. </w:t>
      </w:r>
    </w:p>
    <w:p w14:paraId="3296950A"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Navigating this realisation was extremely sensitive however, by breaking the level of coercion held over her, the victim was able to recognise the psychological harm inflicted upon her. This breakthrough overcame the primary investigative obstacle as it allowed me to gain her trust, secure her phone (which provided the digital evidence including the 18 hour long daily calls) and, critically, encouraged her to finally engage with social services for safeguarding support, an intervention she had previously refused. </w:t>
      </w:r>
    </w:p>
    <w:p w14:paraId="55E079CC"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w:t>
      </w:r>
    </w:p>
    <w:p w14:paraId="1FAD66CC"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In summary, investigating this form of exploitation required navigating a case where the primary obstacle was the victim's own psychologically manipulated reality. The challenges of investigating coercive control are less about finding physical crime scenes but more about dismantling total digital surveillance, overcoming the normalisation of extreme abuse and also ethically managing the victim's trauma to secure their engagement with the criminal justice process. </w:t>
      </w:r>
    </w:p>
    <w:p w14:paraId="634A5623" w14:textId="5C1160E8"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w:t>
      </w:r>
    </w:p>
    <w:p w14:paraId="35D7682A"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w:t>
      </w:r>
    </w:p>
    <w:p w14:paraId="6DE6AB63" w14:textId="1BEFAE00" w:rsidR="00E04FDF" w:rsidRDefault="00E04FDF" w:rsidP="00E04FDF">
      <w:pPr>
        <w:ind w:right="107"/>
        <w:rPr>
          <w:rFonts w:asciiTheme="minorHAnsi" w:eastAsia="Arial" w:hAnsiTheme="minorHAnsi" w:cstheme="minorHAnsi"/>
          <w:b/>
          <w:color w:val="000000"/>
          <w:u w:val="single"/>
        </w:rPr>
      </w:pPr>
      <w:r w:rsidRPr="00E04FDF">
        <w:rPr>
          <w:rFonts w:asciiTheme="minorHAnsi" w:eastAsia="Arial" w:hAnsiTheme="minorHAnsi" w:cstheme="minorHAnsi"/>
          <w:bCs/>
          <w:color w:val="000000"/>
        </w:rPr>
        <w:t> </w:t>
      </w:r>
      <w:r w:rsidRPr="00465E69">
        <w:rPr>
          <w:rFonts w:asciiTheme="minorHAnsi" w:eastAsia="Arial" w:hAnsiTheme="minorHAnsi" w:cstheme="minorHAnsi"/>
          <w:b/>
          <w:color w:val="000000"/>
          <w:u w:val="single"/>
        </w:rPr>
        <w:t xml:space="preserve">Task </w:t>
      </w:r>
      <w:r>
        <w:rPr>
          <w:rFonts w:asciiTheme="minorHAnsi" w:eastAsia="Arial" w:hAnsiTheme="minorHAnsi" w:cstheme="minorHAnsi"/>
          <w:b/>
          <w:color w:val="000000"/>
          <w:u w:val="single"/>
        </w:rPr>
        <w:t>2.b</w:t>
      </w:r>
    </w:p>
    <w:p w14:paraId="0000406A" w14:textId="0A29AE80" w:rsidR="00E04FDF" w:rsidRPr="00E04FDF" w:rsidRDefault="00E04FDF" w:rsidP="00E04FDF">
      <w:pPr>
        <w:ind w:right="107"/>
        <w:rPr>
          <w:rFonts w:asciiTheme="minorHAnsi" w:eastAsia="Arial" w:hAnsiTheme="minorHAnsi" w:cstheme="minorHAnsi"/>
          <w:bCs/>
          <w:color w:val="000000"/>
        </w:rPr>
      </w:pPr>
    </w:p>
    <w:p w14:paraId="24B3D5FC"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Once the psychological barriers of the victim were breached and the full spectrum of the exploitation was identified, the investigative focus shifted to securing a conviction whilst preventing any secondary trauma to the victim. </w:t>
      </w:r>
    </w:p>
    <w:p w14:paraId="2224F639"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In cases of severe coercive control and sexual exploitation, traditional justice processes, which rely heavily on the victim standing in an open court to face their abuser, are often counterproductive and risk causing the victim to withdraw their support. Consequently, successfully supporting this victim required the strategic application of Achieving Best Evidence (ABE) protocols, evidence-led prosecution methods and also robust multi-agency safeguarding partnerships. </w:t>
      </w:r>
    </w:p>
    <w:p w14:paraId="7F06A984"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w:t>
      </w:r>
    </w:p>
    <w:p w14:paraId="3DA231BA" w14:textId="77777777" w:rsidR="00E04FDF" w:rsidRPr="00686406" w:rsidRDefault="00E04FDF" w:rsidP="00E04FDF">
      <w:pPr>
        <w:ind w:right="107"/>
        <w:rPr>
          <w:rFonts w:asciiTheme="minorHAnsi" w:eastAsia="Arial" w:hAnsiTheme="minorHAnsi" w:cstheme="minorHAnsi"/>
          <w:bCs/>
          <w:color w:val="000000"/>
          <w:u w:val="single"/>
        </w:rPr>
      </w:pPr>
      <w:r w:rsidRPr="00686406">
        <w:rPr>
          <w:rFonts w:asciiTheme="minorHAnsi" w:eastAsia="Arial" w:hAnsiTheme="minorHAnsi" w:cstheme="minorHAnsi"/>
          <w:bCs/>
          <w:color w:val="000000"/>
          <w:u w:val="single"/>
        </w:rPr>
        <w:t>Method 1: Achieving Best Evidence (ABE) and Special Measures</w:t>
      </w:r>
    </w:p>
    <w:p w14:paraId="125A8151"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The primary investigative method used to capture the victim's account was an ABE video recorded interview. Governed by the Ministry of Justice (2022) guidelines, an ABE interview is designed to facilitate the free recall of a vulnerable witness in a non-confrontational environment. </w:t>
      </w:r>
    </w:p>
    <w:p w14:paraId="351FC49D"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In this investigation, the ABE was highly effective as rather than putting the victim in a position where she was repeatedly reliving her trauma to draft a written statement (MG11), the video recording captured the raw, emotional reality of her coercive isolation. It provided a permanent, uncontaminated record of her evidence. </w:t>
      </w:r>
    </w:p>
    <w:p w14:paraId="1EC679C1"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Using this method to capture the victim's evidence also leans in to the legal processes within the Youth Justice and Criminal Evidence Act (YJCEA) 1999. Because the victim was categorised as vulnerable, she was eligible for 'special measures' under sections 16 and 17 of the Act. This meant that, had the case gone to trial, her ABE interview could be used as her evidence in chief during the </w:t>
      </w:r>
      <w:r w:rsidRPr="00E04FDF">
        <w:rPr>
          <w:rFonts w:asciiTheme="minorHAnsi" w:eastAsia="Arial" w:hAnsiTheme="minorHAnsi" w:cstheme="minorHAnsi"/>
          <w:bCs/>
          <w:color w:val="000000"/>
        </w:rPr>
        <w:lastRenderedPageBreak/>
        <w:t xml:space="preserve">trial, and she could undergo cross-examination via a live video link from a room away from the court room, allowing her to avoid all visual contact with the suspect. </w:t>
      </w:r>
    </w:p>
    <w:p w14:paraId="1F371455" w14:textId="41AA9705"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Though theoretically robust, the effectiveness of special measures in practice is an issue. Although the YJCEA can shield the victim from the physical presence of the abuser, the way in which the UK court system works means that the victim must still face aggressive cross examination by the defence counsel in an attempt to discredit them. Also, the immense delays currently within the court system mean that victims of exploitation are left in a state of prolonged psychological limbo for often years whilst awaiting trial. Whilst special measures are essential for obtaining immediate support, they cannot entirely mitigate the structural trauma ingrained in the criminal justice process. </w:t>
      </w:r>
    </w:p>
    <w:p w14:paraId="1F13BA93"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w:t>
      </w:r>
    </w:p>
    <w:p w14:paraId="52E96DFF" w14:textId="77777777" w:rsidR="00E04FDF" w:rsidRPr="00686406" w:rsidRDefault="00E04FDF" w:rsidP="00E04FDF">
      <w:pPr>
        <w:ind w:right="107"/>
        <w:rPr>
          <w:rFonts w:asciiTheme="minorHAnsi" w:eastAsia="Arial" w:hAnsiTheme="minorHAnsi" w:cstheme="minorHAnsi"/>
          <w:bCs/>
          <w:color w:val="000000"/>
          <w:u w:val="single"/>
        </w:rPr>
      </w:pPr>
      <w:r w:rsidRPr="00686406">
        <w:rPr>
          <w:rFonts w:asciiTheme="minorHAnsi" w:eastAsia="Arial" w:hAnsiTheme="minorHAnsi" w:cstheme="minorHAnsi"/>
          <w:bCs/>
          <w:color w:val="000000"/>
          <w:u w:val="single"/>
        </w:rPr>
        <w:t>Method 2: Digital forensics and evidence led prosecutions</w:t>
      </w:r>
    </w:p>
    <w:p w14:paraId="602DAC3F"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To alleviate the immense pressure that is placed on the victim, the investigation strategy heavily prioritised an evidence led prosecution. The Crown Prosecution Service (CPS) (2020) domestic abuse guidelines mandate that investigators should strive to build cases that do not rely only on the victim's account. </w:t>
      </w:r>
    </w:p>
    <w:p w14:paraId="5335DA35"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In this case, the fact that the suspect's digital devices were seized and promptly downloaded to be examined was key. Because the suspect had enforced a lifestyle of continuous phone calls and video calls with the victim as a way to maintain his control over her, the digital footprint was cast. Once the victim's trust was secured and she consented to a download of her device, the call logs and messages from her phone became further supporting evidence. </w:t>
      </w:r>
    </w:p>
    <w:p w14:paraId="5400FD9E"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The effectiveness of this method is undeniable. Digital evidence is objective. It does not suffer from trauma induced memory fragmentation and nor can it be intimidated into withdrawing support prior to a trial. By building the core of the coercive control charge around digital telecommunications data, the burden of proof was shifted away from the victim's emotional state that was clearly fragile on to the forensic data obtained. </w:t>
      </w:r>
    </w:p>
    <w:p w14:paraId="564AE1F4" w14:textId="1E6E94BD"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As noted in previous reflections however, this method is significantly hindered by chronic backlogs within the High Tech Crime Unit. Another consideration is that examining a victim's phone requires strict proportionality to avoid excessive collateral intrusion in to her private life. This is an ethical balance that investigators must constantly manage so as not to replicate the intrusive control of the abuser. </w:t>
      </w:r>
    </w:p>
    <w:p w14:paraId="11CB1E7E"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w:t>
      </w:r>
    </w:p>
    <w:p w14:paraId="385D7AE0" w14:textId="77777777" w:rsidR="00E04FDF" w:rsidRPr="00686406" w:rsidRDefault="00E04FDF" w:rsidP="00E04FDF">
      <w:pPr>
        <w:ind w:right="107"/>
        <w:rPr>
          <w:rFonts w:asciiTheme="minorHAnsi" w:eastAsia="Arial" w:hAnsiTheme="minorHAnsi" w:cstheme="minorHAnsi"/>
          <w:bCs/>
          <w:color w:val="000000"/>
          <w:u w:val="single"/>
        </w:rPr>
      </w:pPr>
      <w:r w:rsidRPr="00686406">
        <w:rPr>
          <w:rFonts w:asciiTheme="minorHAnsi" w:eastAsia="Arial" w:hAnsiTheme="minorHAnsi" w:cstheme="minorHAnsi"/>
          <w:bCs/>
          <w:color w:val="000000"/>
          <w:u w:val="single"/>
        </w:rPr>
        <w:t>Method 3: Multi Agency Safeguarding and IDVA Support</w:t>
      </w:r>
    </w:p>
    <w:p w14:paraId="753FB891"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Finally, it is a critical reality of modern policing that investigators can't effectively support vulnerable victim's in isolation. The criminal justice process is aimed at obtaining justice for the victim however it is not the case that it is therapeutic for them. Due to this, the integration of multi-agency safeguarding was a vital process in overcoming the obstacle of the victim's psychological normalisation of abuse. </w:t>
      </w:r>
    </w:p>
    <w:p w14:paraId="289880AC"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In this investigation, the immediate referral to Social Services and the use of an Independent Domestic Violence Advisor (IDVA) were key. Howarth et al. (2009), in their evaluation of IDVA services, highlighted that victims supported by specialist advisors are significantly less likely to withdraw their support for a prosecution. In this case, while my role as the investigator was to </w:t>
      </w:r>
      <w:r w:rsidRPr="00E04FDF">
        <w:rPr>
          <w:rFonts w:asciiTheme="minorHAnsi" w:eastAsia="Arial" w:hAnsiTheme="minorHAnsi" w:cstheme="minorHAnsi"/>
          <w:bCs/>
          <w:color w:val="000000"/>
        </w:rPr>
        <w:lastRenderedPageBreak/>
        <w:t xml:space="preserve">objectively gather evidence of the sexual and coercive offences, the IDVA and Social Services provided support in the victim's emotional needs. They assisted her in recognising the abuse, working with her family and helped with the emotional fallout of what went, from the victim's perspective, a loving relationship to the realisation that she was a victim of abuse. </w:t>
      </w:r>
    </w:p>
    <w:p w14:paraId="7D8D12D5"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The multi-agency approach is arguable the most effective tool for the long term support of exploited victims. Without the intervention of Social Services helping the victim to recognise the psychological harm, alongside the disclosure of other victims, the investigative breakthrough of her speaking to police would not have occurred. An operation obstacle remains however in the frequent issue of passing information between the police and Social Services. Insufficient IT systems and varying thresholds for data sharing can occasionally slow down the rapid safeguarding responses that are required in high risk exploitation cases. </w:t>
      </w:r>
    </w:p>
    <w:p w14:paraId="2818791B"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w:t>
      </w:r>
    </w:p>
    <w:p w14:paraId="4DEAC0DF" w14:textId="77777777" w:rsidR="00E04FDF" w:rsidRPr="00E04FDF" w:rsidRDefault="00E04FDF" w:rsidP="00E04FDF">
      <w:pPr>
        <w:ind w:right="107"/>
        <w:rPr>
          <w:rFonts w:asciiTheme="minorHAnsi" w:eastAsia="Arial" w:hAnsiTheme="minorHAnsi" w:cstheme="minorHAnsi"/>
          <w:bCs/>
          <w:color w:val="000000"/>
        </w:rPr>
      </w:pPr>
      <w:r w:rsidRPr="00E04FDF">
        <w:rPr>
          <w:rFonts w:asciiTheme="minorHAnsi" w:eastAsia="Arial" w:hAnsiTheme="minorHAnsi" w:cstheme="minorHAnsi"/>
          <w:bCs/>
          <w:color w:val="000000"/>
        </w:rPr>
        <w:t xml:space="preserve">In conclusion, overcoming the severe obstacles that are presented by coercive control and sexual exploitation requires a holistic and multi-faceted approach. Identifying the crime is only the first hurdle. Successfully navigating the investigation requires the rigorous application of ABE interviewing and the use of special measures to protect the victims voice, the strategic use of digital forensics to build resilient, evidence-led prosecutions, and an achievable reliance on multi-agency partnerships to repair the victim's psychological harm. While each method possessed its own systemic flaws such as the court delays and digital backlogs, when deployed correctly they can form a highly effective framework for supporting the most vulnerable victims within the criminal justice system. </w:t>
      </w:r>
    </w:p>
    <w:p w14:paraId="646542DA" w14:textId="77777777" w:rsidR="00E04FDF" w:rsidRDefault="00E04FDF" w:rsidP="00E04FDF">
      <w:pPr>
        <w:ind w:right="107"/>
        <w:rPr>
          <w:rFonts w:asciiTheme="minorHAnsi" w:eastAsia="Arial" w:hAnsiTheme="minorHAnsi" w:cstheme="minorHAnsi"/>
          <w:b/>
          <w:color w:val="000000"/>
          <w:u w:val="single"/>
        </w:rPr>
      </w:pPr>
    </w:p>
    <w:p w14:paraId="062C98C9" w14:textId="1EA32F56" w:rsidR="00E04FDF" w:rsidRDefault="00E04FDF" w:rsidP="00E04FDF">
      <w:pPr>
        <w:ind w:right="107"/>
        <w:rPr>
          <w:rFonts w:asciiTheme="minorHAnsi" w:eastAsia="Arial" w:hAnsiTheme="minorHAnsi" w:cstheme="minorHAnsi"/>
          <w:b/>
          <w:color w:val="000000"/>
        </w:rPr>
      </w:pPr>
      <w:r>
        <w:rPr>
          <w:rFonts w:asciiTheme="minorHAnsi" w:eastAsia="Arial" w:hAnsiTheme="minorHAnsi" w:cstheme="minorHAnsi"/>
          <w:b/>
          <w:color w:val="000000"/>
        </w:rPr>
        <w:t>Task 2 word count: 2029</w:t>
      </w:r>
    </w:p>
    <w:p w14:paraId="36DD74B2" w14:textId="77777777" w:rsidR="00FC6DFA" w:rsidRPr="00E04FDF" w:rsidRDefault="00FC6DFA">
      <w:pPr>
        <w:ind w:right="107"/>
        <w:rPr>
          <w:rFonts w:asciiTheme="minorHAnsi" w:eastAsia="Arial" w:hAnsiTheme="minorHAnsi" w:cstheme="minorHAnsi"/>
          <w:bCs/>
          <w:iCs/>
          <w:color w:val="000000"/>
        </w:rPr>
      </w:pPr>
    </w:p>
    <w:p w14:paraId="68D2ACAD" w14:textId="77777777" w:rsidR="00FC6DFA" w:rsidRDefault="00FC6DFA">
      <w:pPr>
        <w:ind w:right="107"/>
        <w:rPr>
          <w:rFonts w:ascii="Arial" w:eastAsia="Arial" w:hAnsi="Arial" w:cs="Arial"/>
          <w:b/>
          <w:i/>
          <w:color w:val="000000"/>
          <w:sz w:val="24"/>
          <w:szCs w:val="24"/>
        </w:rPr>
      </w:pPr>
    </w:p>
    <w:p w14:paraId="753744C8" w14:textId="77777777" w:rsidR="00FC6DFA" w:rsidRDefault="00FC6DFA">
      <w:pPr>
        <w:ind w:right="107"/>
        <w:rPr>
          <w:rFonts w:ascii="Arial" w:eastAsia="Arial" w:hAnsi="Arial" w:cs="Arial"/>
          <w:b/>
          <w:i/>
          <w:color w:val="000000"/>
          <w:sz w:val="24"/>
          <w:szCs w:val="24"/>
        </w:rPr>
      </w:pPr>
    </w:p>
    <w:p w14:paraId="378295BF" w14:textId="77777777" w:rsidR="00CD5F95" w:rsidRDefault="00CD5F95">
      <w:pPr>
        <w:ind w:right="107"/>
        <w:rPr>
          <w:rFonts w:ascii="Arial" w:eastAsia="Arial" w:hAnsi="Arial" w:cs="Arial"/>
          <w:b/>
          <w:i/>
          <w:color w:val="000000"/>
          <w:sz w:val="24"/>
          <w:szCs w:val="24"/>
        </w:rPr>
      </w:pPr>
    </w:p>
    <w:p w14:paraId="4BD1ABDD" w14:textId="77777777" w:rsidR="00E04FDF" w:rsidRDefault="00E04FDF">
      <w:pPr>
        <w:ind w:right="107"/>
        <w:rPr>
          <w:rFonts w:ascii="Arial" w:eastAsia="Arial" w:hAnsi="Arial" w:cs="Arial"/>
          <w:b/>
          <w:i/>
          <w:color w:val="000000"/>
          <w:sz w:val="24"/>
          <w:szCs w:val="24"/>
        </w:rPr>
      </w:pPr>
    </w:p>
    <w:p w14:paraId="48C9FE92" w14:textId="77777777" w:rsidR="00CD5F95" w:rsidRDefault="00CD5F95">
      <w:pPr>
        <w:ind w:right="107"/>
        <w:rPr>
          <w:rFonts w:ascii="Arial" w:eastAsia="Arial" w:hAnsi="Arial" w:cs="Arial"/>
          <w:b/>
          <w:i/>
          <w:color w:val="000000"/>
          <w:sz w:val="24"/>
          <w:szCs w:val="24"/>
        </w:rPr>
      </w:pPr>
    </w:p>
    <w:p w14:paraId="6866BF52" w14:textId="77777777" w:rsidR="00CD5F95" w:rsidRDefault="00CD5F95">
      <w:pPr>
        <w:ind w:right="107"/>
        <w:rPr>
          <w:rFonts w:ascii="Arial" w:eastAsia="Arial" w:hAnsi="Arial" w:cs="Arial"/>
          <w:b/>
          <w:i/>
          <w:color w:val="000000"/>
          <w:sz w:val="24"/>
          <w:szCs w:val="24"/>
        </w:rPr>
      </w:pPr>
    </w:p>
    <w:p w14:paraId="06A877D0" w14:textId="77777777" w:rsidR="00CD5F95" w:rsidRDefault="00CD5F95">
      <w:pPr>
        <w:ind w:right="107"/>
        <w:rPr>
          <w:rFonts w:ascii="Arial" w:eastAsia="Arial" w:hAnsi="Arial" w:cs="Arial"/>
          <w:b/>
          <w:i/>
          <w:color w:val="000000"/>
          <w:sz w:val="24"/>
          <w:szCs w:val="24"/>
        </w:rPr>
      </w:pPr>
    </w:p>
    <w:p w14:paraId="62F06402" w14:textId="77777777" w:rsidR="00CD5F95" w:rsidRDefault="00CD5F95">
      <w:pPr>
        <w:ind w:right="107"/>
        <w:rPr>
          <w:rFonts w:ascii="Arial" w:eastAsia="Arial" w:hAnsi="Arial" w:cs="Arial"/>
          <w:b/>
          <w:i/>
          <w:color w:val="000000"/>
          <w:sz w:val="24"/>
          <w:szCs w:val="24"/>
        </w:rPr>
      </w:pPr>
    </w:p>
    <w:p w14:paraId="27145EDE" w14:textId="77777777" w:rsidR="00CD5F95" w:rsidRDefault="00CD5F95">
      <w:pPr>
        <w:ind w:right="107"/>
        <w:rPr>
          <w:rFonts w:ascii="Arial" w:eastAsia="Arial" w:hAnsi="Arial" w:cs="Arial"/>
          <w:b/>
          <w:i/>
          <w:color w:val="000000"/>
          <w:sz w:val="24"/>
          <w:szCs w:val="24"/>
        </w:rPr>
      </w:pPr>
    </w:p>
    <w:p w14:paraId="2A5FA79F" w14:textId="77777777" w:rsidR="00CD5F95" w:rsidRDefault="00CD5F95">
      <w:pPr>
        <w:ind w:right="107"/>
        <w:rPr>
          <w:rFonts w:ascii="Arial" w:eastAsia="Arial" w:hAnsi="Arial" w:cs="Arial"/>
          <w:b/>
          <w:i/>
          <w:color w:val="000000"/>
          <w:sz w:val="24"/>
          <w:szCs w:val="24"/>
        </w:rPr>
      </w:pPr>
    </w:p>
    <w:p w14:paraId="6589DD9D" w14:textId="77777777" w:rsidR="00CD5F95" w:rsidRDefault="00CD5F95">
      <w:pPr>
        <w:ind w:right="107"/>
        <w:rPr>
          <w:rFonts w:ascii="Arial" w:eastAsia="Arial" w:hAnsi="Arial" w:cs="Arial"/>
          <w:b/>
          <w:i/>
          <w:color w:val="000000"/>
          <w:sz w:val="24"/>
          <w:szCs w:val="24"/>
        </w:rPr>
      </w:pPr>
    </w:p>
    <w:p w14:paraId="47BB469C" w14:textId="77777777" w:rsidR="00CD5F95" w:rsidRDefault="00CD5F95">
      <w:pPr>
        <w:ind w:right="107"/>
        <w:rPr>
          <w:rFonts w:ascii="Arial" w:eastAsia="Arial" w:hAnsi="Arial" w:cs="Arial"/>
          <w:b/>
          <w:i/>
          <w:color w:val="000000"/>
          <w:sz w:val="24"/>
          <w:szCs w:val="24"/>
        </w:rPr>
      </w:pPr>
    </w:p>
    <w:p w14:paraId="24811394" w14:textId="77777777" w:rsidR="00CD5F95" w:rsidRDefault="00CD5F95">
      <w:pPr>
        <w:ind w:right="107"/>
        <w:rPr>
          <w:rFonts w:ascii="Arial" w:eastAsia="Arial" w:hAnsi="Arial" w:cs="Arial"/>
          <w:b/>
          <w:i/>
          <w:color w:val="000000"/>
          <w:sz w:val="24"/>
          <w:szCs w:val="24"/>
        </w:rPr>
      </w:pPr>
    </w:p>
    <w:p w14:paraId="6BEBA378" w14:textId="76909A6C" w:rsidR="00FC6DFA" w:rsidRDefault="009F1B79">
      <w:pPr>
        <w:ind w:right="107"/>
        <w:rPr>
          <w:rFonts w:ascii="Arial" w:eastAsia="Arial" w:hAnsi="Arial" w:cs="Arial"/>
          <w:b/>
          <w:i/>
          <w:color w:val="000000"/>
          <w:sz w:val="24"/>
          <w:szCs w:val="24"/>
        </w:rPr>
      </w:pPr>
      <w:bookmarkStart w:id="6" w:name="_Hlk221098117"/>
      <w:r>
        <w:rPr>
          <w:rFonts w:ascii="Arial" w:eastAsia="Arial" w:hAnsi="Arial" w:cs="Arial"/>
          <w:b/>
          <w:i/>
          <w:color w:val="000000"/>
          <w:sz w:val="24"/>
          <w:szCs w:val="24"/>
        </w:rPr>
        <w:lastRenderedPageBreak/>
        <w:t>Task 3: Interview and Custody Processes</w:t>
      </w:r>
    </w:p>
    <w:tbl>
      <w:tblPr>
        <w:tblStyle w:val="a3"/>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FC6DFA" w14:paraId="3605C4AA" w14:textId="77777777">
        <w:tc>
          <w:tcPr>
            <w:tcW w:w="9015" w:type="dxa"/>
          </w:tcPr>
          <w:p w14:paraId="49EB1247" w14:textId="77777777" w:rsidR="00FC6DFA" w:rsidRDefault="009F1B79">
            <w:pPr>
              <w:spacing w:line="259" w:lineRule="auto"/>
              <w:rPr>
                <w:rFonts w:ascii="Arial" w:eastAsia="Arial" w:hAnsi="Arial" w:cs="Arial"/>
                <w:b/>
                <w:color w:val="000000"/>
                <w:sz w:val="24"/>
                <w:szCs w:val="24"/>
              </w:rPr>
            </w:pPr>
            <w:bookmarkStart w:id="7" w:name="_Hlk221096485"/>
            <w:bookmarkStart w:id="8" w:name="_Hlk221098129"/>
            <w:bookmarkEnd w:id="6"/>
            <w:r>
              <w:rPr>
                <w:rFonts w:ascii="Arial" w:eastAsia="Arial" w:hAnsi="Arial" w:cs="Arial"/>
                <w:color w:val="000000"/>
                <w:sz w:val="24"/>
                <w:szCs w:val="24"/>
              </w:rPr>
              <w:t>Choose a serious and complex investigation in which you played a significant role with</w:t>
            </w:r>
            <w:r>
              <w:rPr>
                <w:rFonts w:ascii="Arial" w:eastAsia="Arial" w:hAnsi="Arial" w:cs="Arial"/>
                <w:b/>
                <w:color w:val="000000"/>
                <w:sz w:val="24"/>
                <w:szCs w:val="24"/>
              </w:rPr>
              <w:t xml:space="preserve"> witnesses, victims and suspects. </w:t>
            </w:r>
            <w:r>
              <w:rPr>
                <w:rFonts w:ascii="Arial" w:eastAsia="Arial" w:hAnsi="Arial" w:cs="Arial"/>
                <w:color w:val="000000"/>
                <w:sz w:val="24"/>
                <w:szCs w:val="24"/>
              </w:rPr>
              <w:t xml:space="preserve">Give a brief description of the investigation. </w:t>
            </w:r>
            <w:r>
              <w:rPr>
                <w:rFonts w:ascii="Arial" w:eastAsia="Arial" w:hAnsi="Arial" w:cs="Arial"/>
                <w:sz w:val="24"/>
                <w:szCs w:val="24"/>
              </w:rPr>
              <w:t xml:space="preserve"> </w:t>
            </w:r>
          </w:p>
          <w:bookmarkEnd w:id="7"/>
          <w:p w14:paraId="5A2905FB" w14:textId="77777777" w:rsidR="00FC6DFA" w:rsidRDefault="00FC6DFA">
            <w:pPr>
              <w:spacing w:line="259" w:lineRule="auto"/>
              <w:ind w:right="237"/>
              <w:jc w:val="both"/>
              <w:rPr>
                <w:rFonts w:ascii="Arial" w:eastAsia="Arial" w:hAnsi="Arial" w:cs="Arial"/>
                <w:sz w:val="24"/>
                <w:szCs w:val="24"/>
              </w:rPr>
            </w:pPr>
          </w:p>
          <w:p w14:paraId="72D7665E" w14:textId="77777777" w:rsidR="00FC6DFA" w:rsidRDefault="009F1B79">
            <w:pPr>
              <w:numPr>
                <w:ilvl w:val="0"/>
                <w:numId w:val="1"/>
              </w:numPr>
              <w:pBdr>
                <w:top w:val="nil"/>
                <w:left w:val="nil"/>
                <w:bottom w:val="nil"/>
                <w:right w:val="nil"/>
                <w:between w:val="nil"/>
              </w:pBdr>
              <w:spacing w:after="160" w:line="259" w:lineRule="auto"/>
              <w:rPr>
                <w:rFonts w:ascii="Arial" w:eastAsia="Arial" w:hAnsi="Arial" w:cs="Arial"/>
                <w:color w:val="000000"/>
                <w:sz w:val="24"/>
                <w:szCs w:val="24"/>
              </w:rPr>
            </w:pPr>
            <w:r>
              <w:rPr>
                <w:rFonts w:ascii="Arial" w:eastAsia="Arial" w:hAnsi="Arial" w:cs="Arial"/>
                <w:b/>
                <w:color w:val="000000"/>
                <w:sz w:val="24"/>
                <w:szCs w:val="24"/>
              </w:rPr>
              <w:t xml:space="preserve">Critically evaluate </w:t>
            </w:r>
            <w:r>
              <w:rPr>
                <w:rFonts w:ascii="Arial" w:eastAsia="Arial" w:hAnsi="Arial" w:cs="Arial"/>
                <w:color w:val="000000"/>
                <w:sz w:val="24"/>
                <w:szCs w:val="24"/>
              </w:rPr>
              <w:t>the interview process of the witnesses and suspects in the case highlighting how professionalism and maintaining standards impacts upon the process.</w:t>
            </w:r>
          </w:p>
          <w:bookmarkEnd w:id="8"/>
          <w:p w14:paraId="4C7F0B79" w14:textId="77777777" w:rsidR="00FC6DFA" w:rsidRDefault="00FC6DFA">
            <w:pPr>
              <w:rPr>
                <w:rFonts w:ascii="Arial" w:eastAsia="Arial" w:hAnsi="Arial" w:cs="Arial"/>
                <w:color w:val="000000"/>
                <w:sz w:val="24"/>
                <w:szCs w:val="24"/>
              </w:rPr>
            </w:pPr>
          </w:p>
          <w:p w14:paraId="40E80D61" w14:textId="77777777" w:rsidR="00FC6DFA" w:rsidRDefault="009F1B79">
            <w:pPr>
              <w:numPr>
                <w:ilvl w:val="0"/>
                <w:numId w:val="1"/>
              </w:numPr>
              <w:pBdr>
                <w:top w:val="nil"/>
                <w:left w:val="nil"/>
                <w:bottom w:val="nil"/>
                <w:right w:val="nil"/>
                <w:between w:val="nil"/>
              </w:pBdr>
              <w:spacing w:after="160" w:line="259" w:lineRule="auto"/>
              <w:rPr>
                <w:rFonts w:ascii="Arial" w:eastAsia="Arial" w:hAnsi="Arial" w:cs="Arial"/>
                <w:color w:val="000000"/>
                <w:sz w:val="24"/>
                <w:szCs w:val="24"/>
              </w:rPr>
            </w:pPr>
            <w:bookmarkStart w:id="9" w:name="_Hlk221098418"/>
            <w:r>
              <w:rPr>
                <w:rFonts w:ascii="Arial" w:eastAsia="Arial" w:hAnsi="Arial" w:cs="Arial"/>
                <w:b/>
                <w:color w:val="000000"/>
                <w:sz w:val="24"/>
                <w:szCs w:val="24"/>
              </w:rPr>
              <w:t xml:space="preserve">Critically reflect </w:t>
            </w:r>
            <w:r>
              <w:rPr>
                <w:rFonts w:ascii="Arial" w:eastAsia="Arial" w:hAnsi="Arial" w:cs="Arial"/>
                <w:color w:val="000000"/>
                <w:sz w:val="24"/>
                <w:szCs w:val="24"/>
              </w:rPr>
              <w:t>upon the planning that you undertook for the interviews and consider the benefits and challenges of doing so.</w:t>
            </w:r>
          </w:p>
          <w:bookmarkEnd w:id="9"/>
          <w:p w14:paraId="215615B6" w14:textId="77777777" w:rsidR="00FC6DFA" w:rsidRDefault="00FC6DFA">
            <w:pPr>
              <w:rPr>
                <w:rFonts w:ascii="Arial" w:eastAsia="Arial" w:hAnsi="Arial" w:cs="Arial"/>
                <w:b/>
                <w:color w:val="000000"/>
                <w:sz w:val="24"/>
                <w:szCs w:val="24"/>
              </w:rPr>
            </w:pPr>
          </w:p>
          <w:p w14:paraId="7E8BA7ED" w14:textId="77777777" w:rsidR="00FC6DFA" w:rsidRDefault="00FC6DFA">
            <w:pPr>
              <w:rPr>
                <w:rFonts w:ascii="Arial" w:eastAsia="Arial" w:hAnsi="Arial" w:cs="Arial"/>
                <w:color w:val="000000"/>
                <w:sz w:val="24"/>
                <w:szCs w:val="24"/>
              </w:rPr>
            </w:pPr>
          </w:p>
          <w:p w14:paraId="4EB633DF" w14:textId="77777777" w:rsidR="00FC6DFA" w:rsidRDefault="009F1B79">
            <w:pPr>
              <w:ind w:right="237"/>
              <w:jc w:val="both"/>
              <w:rPr>
                <w:rFonts w:ascii="Arial" w:eastAsia="Arial" w:hAnsi="Arial" w:cs="Arial"/>
                <w:sz w:val="24"/>
                <w:szCs w:val="24"/>
              </w:rPr>
            </w:pPr>
            <w:r>
              <w:rPr>
                <w:rFonts w:ascii="Arial" w:eastAsia="Arial" w:hAnsi="Arial" w:cs="Arial"/>
                <w:b/>
                <w:color w:val="000000"/>
                <w:sz w:val="24"/>
                <w:szCs w:val="24"/>
              </w:rPr>
              <w:t xml:space="preserve">2000 words </w:t>
            </w:r>
            <w:r>
              <w:rPr>
                <w:rFonts w:ascii="Arial" w:eastAsia="Arial" w:hAnsi="Arial" w:cs="Arial"/>
                <w:i/>
                <w:color w:val="000000"/>
                <w:sz w:val="24"/>
                <w:szCs w:val="24"/>
              </w:rPr>
              <w:t>(+/- 10%: include your actual word count at the end of each section)</w:t>
            </w:r>
          </w:p>
          <w:p w14:paraId="3EF0C6C2" w14:textId="77777777" w:rsidR="00FC6DFA" w:rsidRDefault="00FC6DFA">
            <w:pPr>
              <w:ind w:right="237"/>
              <w:jc w:val="both"/>
              <w:rPr>
                <w:rFonts w:ascii="Arial" w:eastAsia="Arial" w:hAnsi="Arial" w:cs="Arial"/>
                <w:i/>
                <w:color w:val="000000"/>
                <w:sz w:val="24"/>
                <w:szCs w:val="24"/>
              </w:rPr>
            </w:pPr>
          </w:p>
        </w:tc>
      </w:tr>
    </w:tbl>
    <w:p w14:paraId="16566C7A" w14:textId="77777777" w:rsidR="00FC6DFA" w:rsidRDefault="00FC6DFA">
      <w:pPr>
        <w:ind w:left="3600" w:right="107" w:firstLine="720"/>
        <w:jc w:val="both"/>
        <w:rPr>
          <w:rFonts w:ascii="Arial" w:eastAsia="Arial" w:hAnsi="Arial" w:cs="Arial"/>
          <w:b/>
          <w:color w:val="000000"/>
          <w:sz w:val="24"/>
          <w:szCs w:val="24"/>
        </w:rPr>
      </w:pPr>
    </w:p>
    <w:p w14:paraId="469AB7C8" w14:textId="4775D50D" w:rsidR="00CD5F95" w:rsidRDefault="008F426B">
      <w:pPr>
        <w:ind w:right="107"/>
        <w:jc w:val="both"/>
        <w:rPr>
          <w:rFonts w:asciiTheme="minorHAnsi" w:eastAsia="Arial" w:hAnsiTheme="minorHAnsi" w:cstheme="minorHAnsi"/>
          <w:b/>
          <w:color w:val="000000"/>
          <w:u w:val="single"/>
        </w:rPr>
      </w:pPr>
      <w:r w:rsidRPr="00465E69">
        <w:rPr>
          <w:rFonts w:asciiTheme="minorHAnsi" w:eastAsia="Arial" w:hAnsiTheme="minorHAnsi" w:cstheme="minorHAnsi"/>
          <w:b/>
          <w:color w:val="000000"/>
          <w:u w:val="single"/>
        </w:rPr>
        <w:t xml:space="preserve">Task </w:t>
      </w:r>
      <w:r>
        <w:rPr>
          <w:rFonts w:asciiTheme="minorHAnsi" w:eastAsia="Arial" w:hAnsiTheme="minorHAnsi" w:cstheme="minorHAnsi"/>
          <w:b/>
          <w:color w:val="000000"/>
          <w:u w:val="single"/>
        </w:rPr>
        <w:t>3.a</w:t>
      </w:r>
    </w:p>
    <w:p w14:paraId="26730048" w14:textId="77777777" w:rsidR="008F426B" w:rsidRDefault="008F426B">
      <w:pPr>
        <w:ind w:right="107"/>
        <w:jc w:val="both"/>
        <w:rPr>
          <w:rFonts w:asciiTheme="minorHAnsi" w:eastAsia="Arial" w:hAnsiTheme="minorHAnsi" w:cstheme="minorHAnsi"/>
          <w:b/>
          <w:color w:val="000000"/>
          <w:u w:val="single"/>
        </w:rPr>
      </w:pPr>
    </w:p>
    <w:p w14:paraId="53FB0297"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xml:space="preserve">This critical reflection focuses on a complex case relating to the report of historical sexual offences. I was the Officer in Case (OIC) for this investigation and acted as both the lead interviewer for both the suspect and victims. The case originated from a single disclosure from an adult victim regarding sexual assaults which had occurred approximately 25 years prior, when they were aged 14 and involved in a local theatre group. A central complexity was the grooming element of this investigation. At the time of the offences, the victim believed that the relationship was consensual, only recognising the exploitive nature of the abuse in their adulthood following counselling. The initial victim's Achieving Best Evidence (ABE) interview identified further potential victims. Following the suspect's initial arrest and subsequent charges, both media and local community attention prompted additional victims to come forward and talk about their abuse. </w:t>
      </w:r>
    </w:p>
    <w:p w14:paraId="5F9F4866"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xml:space="preserve">The suspect in this case, a highly respected and prominent figure within the local community, was interviewed on multiple occasions under PACE but denied all offences, though he admitted to knowing the victims. </w:t>
      </w:r>
    </w:p>
    <w:p w14:paraId="7CA96052"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w:t>
      </w:r>
    </w:p>
    <w:p w14:paraId="08E11FE1" w14:textId="77777777" w:rsidR="008F426B" w:rsidRPr="00686406" w:rsidRDefault="008F426B" w:rsidP="008F426B">
      <w:pPr>
        <w:ind w:right="107"/>
        <w:jc w:val="both"/>
        <w:rPr>
          <w:rFonts w:asciiTheme="minorHAnsi" w:eastAsia="Arial" w:hAnsiTheme="minorHAnsi" w:cstheme="minorHAnsi"/>
          <w:bCs/>
          <w:iCs/>
          <w:color w:val="000000"/>
          <w:u w:val="single"/>
        </w:rPr>
      </w:pPr>
      <w:r w:rsidRPr="00686406">
        <w:rPr>
          <w:rFonts w:asciiTheme="minorHAnsi" w:eastAsia="Arial" w:hAnsiTheme="minorHAnsi" w:cstheme="minorHAnsi"/>
          <w:bCs/>
          <w:iCs/>
          <w:color w:val="000000"/>
          <w:u w:val="single"/>
        </w:rPr>
        <w:t>Witness and victim interviews:</w:t>
      </w:r>
    </w:p>
    <w:p w14:paraId="3F90B868"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xml:space="preserve">The interview process for the victims required an exceptionally high standard of professionalism, balancing both the need to obtain evidence from them but also doing so with acute care for them. All willing victims were interviewed using ABE protocols in specialist interview suites, governed by the Ministry of Justice (2022) guidelines. </w:t>
      </w:r>
    </w:p>
    <w:p w14:paraId="2DFF3411"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xml:space="preserve">Critically evaluating this process, the primary obstacle was the historical nature of the offences compounded by the psychology of the grooming. As Milne and Bull (1999) explain, human memory is reconstructive. Asking a victim to accurately recall specific dates and locations of abuse from 25 years ago is not easy. The victims also had to reconcile their teenage perception of consent with their adult realisation of statutory rape and grooming. Maintaining professional standards here meant </w:t>
      </w:r>
      <w:r w:rsidRPr="008F426B">
        <w:rPr>
          <w:rFonts w:asciiTheme="minorHAnsi" w:eastAsia="Arial" w:hAnsiTheme="minorHAnsi" w:cstheme="minorHAnsi"/>
          <w:bCs/>
          <w:iCs/>
          <w:color w:val="000000"/>
        </w:rPr>
        <w:lastRenderedPageBreak/>
        <w:t xml:space="preserve">acting with strict objectivity. The investigative risk in such emotive interviews is accidentally leading the witness or contaminating their account through confirmation bias. My role required facilitating their free recall of historical trauma without actively shaping the account that they were providing, ensuring that the evidence remained robust enough to withstand scrutiny in the courtroom. </w:t>
      </w:r>
    </w:p>
    <w:p w14:paraId="327D3230"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xml:space="preserve">Professionalism also dictated the management of those individuals who were identified as victims but refused to engage with the investigation. The College of Policing (CoP) (2014) Code of Ethics emphasises the importance of respect and victim autonomy. Whilst their account would have strengthened the prosecution case, maintaining ethical standards meant accepting their refusal without applying undue pressure, recognising that forcing a reluctant victim into the criminal justice system would likely exacerbate their trauma, and instead signposting them to relevant support agencies to assist with ongoing trauma that their abuse caused them to suffer. </w:t>
      </w:r>
    </w:p>
    <w:p w14:paraId="07FB3641"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w:t>
      </w:r>
    </w:p>
    <w:p w14:paraId="4B5D14C9" w14:textId="77777777" w:rsidR="008F426B" w:rsidRPr="00686406" w:rsidRDefault="008F426B" w:rsidP="008F426B">
      <w:pPr>
        <w:ind w:right="107"/>
        <w:jc w:val="both"/>
        <w:rPr>
          <w:rFonts w:asciiTheme="minorHAnsi" w:eastAsia="Arial" w:hAnsiTheme="minorHAnsi" w:cstheme="minorHAnsi"/>
          <w:bCs/>
          <w:iCs/>
          <w:color w:val="000000"/>
          <w:u w:val="single"/>
        </w:rPr>
      </w:pPr>
      <w:r w:rsidRPr="00686406">
        <w:rPr>
          <w:rFonts w:asciiTheme="minorHAnsi" w:eastAsia="Arial" w:hAnsiTheme="minorHAnsi" w:cstheme="minorHAnsi"/>
          <w:bCs/>
          <w:iCs/>
          <w:color w:val="000000"/>
          <w:u w:val="single"/>
        </w:rPr>
        <w:t xml:space="preserve">Suspect interviews: </w:t>
      </w:r>
    </w:p>
    <w:p w14:paraId="4CF32D33"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xml:space="preserve">The suspect interview strategy presented a totally different set of challenges. This was primarily due to the suspect's social status, being a highly respected member of the community. In policing, investigating prominent figures carries the unconscious risk of 'deference bias', where investigators might inadvertently adopt a softer, less probing approach due to the suspect's perceived authority or reputation. </w:t>
      </w:r>
    </w:p>
    <w:p w14:paraId="2819D0A0"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xml:space="preserve">Maintaining professional standards in this context required strict adherence to the impartiality that is set out by the College of Policing (2014) Code of Ethics. The interview process had to be clearly objective, treating him no differently to any other suspect facing serious sexual offence allegations. </w:t>
      </w:r>
    </w:p>
    <w:p w14:paraId="01654E77"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xml:space="preserve">Operating under the PEACE framework, the 'Engage and Explain' phase was the most critical element of the suspect interviews. Rather than adopting an accusation based stance, which often results in a 'no comment' interview, I planned a strategy which was instead heavily focused on rapport building. Alison et al. (2013), in their article explaining why rapport gets results, concluded that rapport building and maintaining a more conversational, non-judgemental demeanour is significantly more effective at obtaining investigative information than aggressive tactics. </w:t>
      </w:r>
    </w:p>
    <w:p w14:paraId="267FD185"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xml:space="preserve">Critically evaluating this approach the rapport based strategy was highly effective. Despite the suspect's community standing and the severity of the allegations, the professional and non-confrontational environment resulted in the suspect speaking continuously across multiple interviews under caution as new victims came forward. While he continued to deny the sexual offences, the rapport encouraged him to provide detailed accounts of his interactions with the victims. He admitted to knowing all of them and placed himself in the theatre group environment during the relevant timeframes. From an investigative and evidential standpoint, locking a suspect into an account and securing accounts around the association and locations is valuable, even when he is denying the actual acts. </w:t>
      </w:r>
    </w:p>
    <w:p w14:paraId="1095AE31"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w:t>
      </w:r>
    </w:p>
    <w:p w14:paraId="594848BB"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xml:space="preserve">In summary, the interview process in this investigation relied entirely on maintaining strict professional standards; balancing empathetic, trauma informed ABE interviews for the victims and also an objective, rapport driven interview strategy for a high profile suspect denying the allegations. </w:t>
      </w:r>
    </w:p>
    <w:p w14:paraId="451B1599"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w:t>
      </w:r>
    </w:p>
    <w:p w14:paraId="3B1860B4"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w:t>
      </w:r>
    </w:p>
    <w:p w14:paraId="0BC9D576" w14:textId="257D233F" w:rsidR="008F426B" w:rsidRDefault="008F426B" w:rsidP="008F426B">
      <w:pPr>
        <w:ind w:right="107"/>
        <w:jc w:val="both"/>
        <w:rPr>
          <w:rFonts w:asciiTheme="minorHAnsi" w:eastAsia="Arial" w:hAnsiTheme="minorHAnsi" w:cstheme="minorHAnsi"/>
          <w:b/>
          <w:color w:val="000000"/>
          <w:u w:val="single"/>
        </w:rPr>
      </w:pPr>
      <w:r w:rsidRPr="00465E69">
        <w:rPr>
          <w:rFonts w:asciiTheme="minorHAnsi" w:eastAsia="Arial" w:hAnsiTheme="minorHAnsi" w:cstheme="minorHAnsi"/>
          <w:b/>
          <w:color w:val="000000"/>
          <w:u w:val="single"/>
        </w:rPr>
        <w:lastRenderedPageBreak/>
        <w:t xml:space="preserve">Task </w:t>
      </w:r>
      <w:r>
        <w:rPr>
          <w:rFonts w:asciiTheme="minorHAnsi" w:eastAsia="Arial" w:hAnsiTheme="minorHAnsi" w:cstheme="minorHAnsi"/>
          <w:b/>
          <w:color w:val="000000"/>
          <w:u w:val="single"/>
        </w:rPr>
        <w:t>3.b</w:t>
      </w:r>
    </w:p>
    <w:p w14:paraId="43E705A0" w14:textId="0D0E0F2D" w:rsidR="008F426B" w:rsidRPr="008F426B" w:rsidRDefault="008F426B" w:rsidP="008F426B">
      <w:pPr>
        <w:ind w:right="107"/>
        <w:jc w:val="both"/>
        <w:rPr>
          <w:rFonts w:asciiTheme="minorHAnsi" w:eastAsia="Arial" w:hAnsiTheme="minorHAnsi" w:cstheme="minorHAnsi"/>
          <w:bCs/>
          <w:iCs/>
          <w:color w:val="000000"/>
        </w:rPr>
      </w:pPr>
    </w:p>
    <w:p w14:paraId="10CFAAE3"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xml:space="preserve">The foundation of the PEACE model is 'Preparation and Planning'. As outlined in the College of Policing's Authorised Professional Practice (APP), the success or failure of an investigative interview is largely determined before the suspect or witness ever enters an interview room. In a complex, historical investigation involving a prominent suspect and a growing number of vulnerable victims, the planning face was not just a one-time event but a continuous, dynamic process of risk assessments, logistical coordination and also strategic foresight. </w:t>
      </w:r>
    </w:p>
    <w:p w14:paraId="09DB7F30"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w:t>
      </w:r>
    </w:p>
    <w:p w14:paraId="44AB1B2B" w14:textId="77777777" w:rsidR="008F426B" w:rsidRPr="00686406" w:rsidRDefault="008F426B" w:rsidP="008F426B">
      <w:pPr>
        <w:ind w:right="107"/>
        <w:jc w:val="both"/>
        <w:rPr>
          <w:rFonts w:asciiTheme="minorHAnsi" w:eastAsia="Arial" w:hAnsiTheme="minorHAnsi" w:cstheme="minorHAnsi"/>
          <w:bCs/>
          <w:iCs/>
          <w:color w:val="000000"/>
          <w:u w:val="single"/>
        </w:rPr>
      </w:pPr>
      <w:r w:rsidRPr="00686406">
        <w:rPr>
          <w:rFonts w:asciiTheme="minorHAnsi" w:eastAsia="Arial" w:hAnsiTheme="minorHAnsi" w:cstheme="minorHAnsi"/>
          <w:bCs/>
          <w:iCs/>
          <w:color w:val="000000"/>
          <w:u w:val="single"/>
        </w:rPr>
        <w:t>Planning the victim ABE interviews:</w:t>
      </w:r>
    </w:p>
    <w:p w14:paraId="733E2C71"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xml:space="preserve">The planning phase was not only in relation to the suspect. Rigorous preparation was also required for the victim interviews to ensure that their welfare and the integrity of their evidence. Setting up Achieving Best Evidence (ABE) suites for adult victims of historical child sexual abuse involves complex logistical and psychological planning. I had to coordinate with specialised support services to ensure appropriate safeguarding was available immediately following the interviews. Also, the planning required establishing a clear trauma-informed strategy before the interviews began. This meant researching the specific historical context of the theatre group from 25 years prior., to understand the environment that I would be asking the victim to describe in detail and also minimising the need to ask about basic background details in an attempt to minimise their trauma. The benefit of this thorough pre interview planning was that it established immediate trust. The victims recognised that the investigation was being taken seriously which helped to build the feeling of a safer environment for them to disclose highly distressing historical memories. </w:t>
      </w:r>
    </w:p>
    <w:p w14:paraId="333BD380"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w:t>
      </w:r>
    </w:p>
    <w:p w14:paraId="192DB76F" w14:textId="77777777" w:rsidR="008F426B" w:rsidRPr="00686406" w:rsidRDefault="008F426B" w:rsidP="008F426B">
      <w:pPr>
        <w:ind w:right="107"/>
        <w:jc w:val="both"/>
        <w:rPr>
          <w:rFonts w:asciiTheme="minorHAnsi" w:eastAsia="Arial" w:hAnsiTheme="minorHAnsi" w:cstheme="minorHAnsi"/>
          <w:bCs/>
          <w:iCs/>
          <w:color w:val="000000"/>
          <w:u w:val="single"/>
        </w:rPr>
      </w:pPr>
      <w:r w:rsidRPr="00686406">
        <w:rPr>
          <w:rFonts w:asciiTheme="minorHAnsi" w:eastAsia="Arial" w:hAnsiTheme="minorHAnsi" w:cstheme="minorHAnsi"/>
          <w:bCs/>
          <w:iCs/>
          <w:color w:val="000000"/>
          <w:u w:val="single"/>
        </w:rPr>
        <w:t>Community tension and risk assessment:</w:t>
      </w:r>
    </w:p>
    <w:p w14:paraId="09E2E050"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xml:space="preserve">A primary consideration during the suspect planning phase was his status as a highly respected figure within the local community. My planning had to go beyond the considerations in the interview room to consider a broader community impact and safeguarding. Arresting an individual well known in the area for historical sexual offences against children inherently generates a level of media interest and community tension. The challenge here was mitigating the risk to the initial victims. If the suspect's arrest was no managed discretely, or if details leaked prematurely, the victims risked being identified and subjected to community backlash or disbelief from those loyal to the suspect. Equally, there was a considerable risk to the suspect himself should the local community be enraged by his position held within the community on realisation of the offences committed. </w:t>
      </w:r>
    </w:p>
    <w:p w14:paraId="5FC41F5F"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xml:space="preserve">Due to these risks, the planning phase required drafting a comprehensive community tension assessment and working with media departments to ensure a tight communications strategy. The benefit of this rigorous planning was the preservation of the investigations integrity. It created a secure environment that ultimately gave further victims the confidence to come forward once the initial charges were secured, knowing that the police were handling the matter with professional discretion. </w:t>
      </w:r>
    </w:p>
    <w:p w14:paraId="01F47634"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w:t>
      </w:r>
    </w:p>
    <w:p w14:paraId="28FC4359" w14:textId="77777777" w:rsidR="008F426B" w:rsidRDefault="008F426B" w:rsidP="008F426B">
      <w:pPr>
        <w:ind w:right="107"/>
        <w:jc w:val="both"/>
        <w:rPr>
          <w:rFonts w:asciiTheme="minorHAnsi" w:eastAsia="Arial" w:hAnsiTheme="minorHAnsi" w:cstheme="minorHAnsi"/>
          <w:bCs/>
          <w:iCs/>
          <w:color w:val="000000"/>
        </w:rPr>
      </w:pPr>
    </w:p>
    <w:p w14:paraId="1A675194" w14:textId="6F68F7ED" w:rsidR="008F426B" w:rsidRPr="00686406" w:rsidRDefault="008F426B" w:rsidP="008F426B">
      <w:pPr>
        <w:ind w:right="107"/>
        <w:jc w:val="both"/>
        <w:rPr>
          <w:rFonts w:asciiTheme="minorHAnsi" w:eastAsia="Arial" w:hAnsiTheme="minorHAnsi" w:cstheme="minorHAnsi"/>
          <w:bCs/>
          <w:iCs/>
          <w:color w:val="000000"/>
          <w:u w:val="single"/>
        </w:rPr>
      </w:pPr>
      <w:r w:rsidRPr="00686406">
        <w:rPr>
          <w:rFonts w:asciiTheme="minorHAnsi" w:eastAsia="Arial" w:hAnsiTheme="minorHAnsi" w:cstheme="minorHAnsi"/>
          <w:bCs/>
          <w:iCs/>
          <w:color w:val="000000"/>
          <w:u w:val="single"/>
        </w:rPr>
        <w:lastRenderedPageBreak/>
        <w:t>The pre interview disclosure strategy:</w:t>
      </w:r>
    </w:p>
    <w:p w14:paraId="08B16673"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xml:space="preserve">A critical component of the suspect interview planning was the disclosure strategy. Prior to a PACE interview, investigators must provide pre interview disclosure to the suspect's legal representative. There is often an investigative temptation in complex cases to use phased disclosure whereby key pieces of evidence are deliberately held back from the solicitor to prevent the suspect from fabricating an account, allowing the ability to later reveal the evidence in interview and therefor rigorously testing their account or catching them in a lie. </w:t>
      </w:r>
    </w:p>
    <w:p w14:paraId="18B3FF6E"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xml:space="preserve">Critically reflecting on my approach in this case, I actively chose not to use this form of tactical phased disclosure. Instead, I provided the solicitor with comprehensive information regarding the allegations, sufficient for them to properly advice their client. The benefit of this transparent approach was twofold. Firstly, it aligned with my strategy of building rapport and having a non-confrontational interview. By not attempting to 'ambush' the solicitor, I prevented the legal representative from becoming immediately defensive or obstructive, which often leads them to advise a 'no comment' interview. Second, it ensured strict compliance with the Home Office (2023) PACE Code C, specifically paragraph 11.1A, which states that sufficient information must be provided to the solicitor. </w:t>
      </w:r>
    </w:p>
    <w:p w14:paraId="4C5AD489"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xml:space="preserve">By providing fair and legal disclosure, I ensured that the interview was legally robust and minimised the risk of the defence later arguing that the police acted in an oppressive manner. </w:t>
      </w:r>
    </w:p>
    <w:p w14:paraId="539860BD"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w:t>
      </w:r>
    </w:p>
    <w:p w14:paraId="17C40BC1" w14:textId="77777777" w:rsidR="008F426B" w:rsidRPr="00686406" w:rsidRDefault="008F426B" w:rsidP="008F426B">
      <w:pPr>
        <w:ind w:right="107"/>
        <w:jc w:val="both"/>
        <w:rPr>
          <w:rFonts w:asciiTheme="minorHAnsi" w:eastAsia="Arial" w:hAnsiTheme="minorHAnsi" w:cstheme="minorHAnsi"/>
          <w:bCs/>
          <w:iCs/>
          <w:color w:val="000000"/>
          <w:u w:val="single"/>
        </w:rPr>
      </w:pPr>
      <w:r w:rsidRPr="00686406">
        <w:rPr>
          <w:rFonts w:asciiTheme="minorHAnsi" w:eastAsia="Arial" w:hAnsiTheme="minorHAnsi" w:cstheme="minorHAnsi"/>
          <w:bCs/>
          <w:iCs/>
          <w:color w:val="000000"/>
          <w:u w:val="single"/>
        </w:rPr>
        <w:t>Logistical planning of the interview matrix:</w:t>
      </w:r>
    </w:p>
    <w:p w14:paraId="57039D77"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xml:space="preserve">A further element of the planning phase for this investigation was the physical mapping of evidence. Because the investigation spanned a historical 25 years and involved multiple victims who can forward at different stages, relying on a standard linear interview plan was no sufficient. To manage this I developed a multi layered interview matrix. This matrix helped me to cross reference each victim's ABE account against specific dates, locations, the grooming methods described and also the suspect's previous interview responses. The challenge here was the sheer volume of information and also the necessity to avoid cross-contamination of victim's accounts during questioning. The benefit however of this logistical planning was great. It allowed me to systematically navigate the suspect's narrative, effortlessly identifying contradictions or shifts in his account as the investigation expanded, all without losing my own operational focus or disrupting the conversational rapport that I had already established. </w:t>
      </w:r>
    </w:p>
    <w:p w14:paraId="40BCBA78"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w:t>
      </w:r>
    </w:p>
    <w:p w14:paraId="234A5813" w14:textId="77777777" w:rsidR="008F426B" w:rsidRPr="00686406" w:rsidRDefault="008F426B" w:rsidP="008F426B">
      <w:pPr>
        <w:ind w:right="107"/>
        <w:jc w:val="both"/>
        <w:rPr>
          <w:rFonts w:asciiTheme="minorHAnsi" w:eastAsia="Arial" w:hAnsiTheme="minorHAnsi" w:cstheme="minorHAnsi"/>
          <w:bCs/>
          <w:iCs/>
          <w:color w:val="000000"/>
          <w:u w:val="single"/>
        </w:rPr>
      </w:pPr>
      <w:r w:rsidRPr="00686406">
        <w:rPr>
          <w:rFonts w:asciiTheme="minorHAnsi" w:eastAsia="Arial" w:hAnsiTheme="minorHAnsi" w:cstheme="minorHAnsi"/>
          <w:bCs/>
          <w:iCs/>
          <w:color w:val="000000"/>
          <w:u w:val="single"/>
        </w:rPr>
        <w:t>The organic phased disclosure and cognitive load:</w:t>
      </w:r>
    </w:p>
    <w:p w14:paraId="76219981"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xml:space="preserve">Though I didn't plan an artificial phased disclosure, the dynamic nature of the investigation created a powerful 'organic' phased disclosure effect. Because the suspect was released and subsequently re-arrested on multiple occasions as new victims came forward, the planning phase had to be continuously restarted. This presented a massive logistical challenge. Each new arrest required a fresh interview plan, an updated matrix mapping the suspect's previous statements against the new allegations, and a renewed risk assessment regarding his mental welfare in custody and ongoing risks within the community. </w:t>
      </w:r>
    </w:p>
    <w:p w14:paraId="020AEA72"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xml:space="preserve">However, the investigative benefits of this organic evolution was significant. Gudjonsson (2003) highlights that the psychological pressure and "cognitive load" on a suspect increase exponentially </w:t>
      </w:r>
      <w:r w:rsidRPr="008F426B">
        <w:rPr>
          <w:rFonts w:asciiTheme="minorHAnsi" w:eastAsia="Arial" w:hAnsiTheme="minorHAnsi" w:cstheme="minorHAnsi"/>
          <w:bCs/>
          <w:iCs/>
          <w:color w:val="000000"/>
        </w:rPr>
        <w:lastRenderedPageBreak/>
        <w:t xml:space="preserve">with repeated interviews and the presentation of mounting, independent evidence. Even though my demeanour remained professional and rapport focused, the suspect was continually forced to confront the reality that his situation was deteriorating. In the first interview he could perhaps rationalise denying a single historical allegation but as he was repeatedly brought back to the custody unit to face a growing number of independent victims, the pressure naturally compounded. This organic pressure forces him in to a position where he had to admit knowing each of the victims and placing himself at the locations of the abuse, heavily corroborating the victim's accounts even whilst denying the sexual acts. </w:t>
      </w:r>
    </w:p>
    <w:p w14:paraId="77D0BF33"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 </w:t>
      </w:r>
    </w:p>
    <w:p w14:paraId="1E43F2AE" w14:textId="77777777" w:rsidR="008F426B" w:rsidRPr="00686406" w:rsidRDefault="008F426B" w:rsidP="008F426B">
      <w:pPr>
        <w:ind w:right="107"/>
        <w:jc w:val="both"/>
        <w:rPr>
          <w:rFonts w:asciiTheme="minorHAnsi" w:eastAsia="Arial" w:hAnsiTheme="minorHAnsi" w:cstheme="minorHAnsi"/>
          <w:bCs/>
          <w:iCs/>
          <w:color w:val="000000"/>
          <w:u w:val="single"/>
        </w:rPr>
      </w:pPr>
      <w:r w:rsidRPr="00686406">
        <w:rPr>
          <w:rFonts w:asciiTheme="minorHAnsi" w:eastAsia="Arial" w:hAnsiTheme="minorHAnsi" w:cstheme="minorHAnsi"/>
          <w:bCs/>
          <w:iCs/>
          <w:color w:val="000000"/>
          <w:u w:val="single"/>
        </w:rPr>
        <w:t>Conclusion:</w:t>
      </w:r>
    </w:p>
    <w:p w14:paraId="2FC1BE06" w14:textId="77777777" w:rsidR="008F426B" w:rsidRPr="008F426B" w:rsidRDefault="008F426B" w:rsidP="008F426B">
      <w:pPr>
        <w:ind w:right="107"/>
        <w:jc w:val="both"/>
        <w:rPr>
          <w:rFonts w:asciiTheme="minorHAnsi" w:eastAsia="Arial" w:hAnsiTheme="minorHAnsi" w:cstheme="minorHAnsi"/>
          <w:bCs/>
          <w:iCs/>
          <w:color w:val="000000"/>
        </w:rPr>
      </w:pPr>
      <w:r w:rsidRPr="008F426B">
        <w:rPr>
          <w:rFonts w:asciiTheme="minorHAnsi" w:eastAsia="Arial" w:hAnsiTheme="minorHAnsi" w:cstheme="minorHAnsi"/>
          <w:bCs/>
          <w:iCs/>
          <w:color w:val="000000"/>
        </w:rPr>
        <w:t>Critically reflecting on this investigation, the planning phase was arguably the most challenging but ultimately the most rewarding aspect of this case. It required a delicate balancing act or preparing trauma informed victim strategies, balancing community fallout, drafting legally transparent disclosure strategies that didn't cause issues with legal representatives, managing complex data and also logistically handing the immense cognitive load placed on a suspect that was denying allegations during multiple arrests and interviews. The ultimate benefit of this detailed but dynamic planning was an investigation the remained ethically sound, victim focused and evidentially robust from the initial disclosure through to the suspect's final interview.</w:t>
      </w:r>
    </w:p>
    <w:p w14:paraId="06E27D64" w14:textId="77777777" w:rsidR="008F426B" w:rsidRPr="008F426B" w:rsidRDefault="008F426B">
      <w:pPr>
        <w:ind w:right="107"/>
        <w:jc w:val="both"/>
        <w:rPr>
          <w:rFonts w:asciiTheme="minorHAnsi" w:eastAsia="Arial" w:hAnsiTheme="minorHAnsi" w:cstheme="minorHAnsi"/>
          <w:bCs/>
          <w:iCs/>
          <w:color w:val="000000"/>
        </w:rPr>
      </w:pPr>
    </w:p>
    <w:p w14:paraId="0491A848" w14:textId="77777777" w:rsidR="00CD5F95" w:rsidRDefault="00CD5F95">
      <w:pPr>
        <w:ind w:right="107"/>
        <w:jc w:val="both"/>
        <w:rPr>
          <w:rFonts w:ascii="Arial" w:eastAsia="Arial" w:hAnsi="Arial" w:cs="Arial"/>
          <w:b/>
          <w:i/>
          <w:color w:val="000000"/>
          <w:sz w:val="24"/>
          <w:szCs w:val="24"/>
        </w:rPr>
      </w:pPr>
    </w:p>
    <w:p w14:paraId="46739897" w14:textId="7438997E" w:rsidR="00CD5F95" w:rsidRDefault="008F426B" w:rsidP="008F426B">
      <w:pPr>
        <w:ind w:right="107"/>
        <w:rPr>
          <w:rFonts w:asciiTheme="minorHAnsi" w:eastAsia="Arial" w:hAnsiTheme="minorHAnsi" w:cstheme="minorHAnsi"/>
          <w:b/>
          <w:color w:val="000000"/>
        </w:rPr>
      </w:pPr>
      <w:r>
        <w:rPr>
          <w:rFonts w:asciiTheme="minorHAnsi" w:eastAsia="Arial" w:hAnsiTheme="minorHAnsi" w:cstheme="minorHAnsi"/>
          <w:b/>
          <w:color w:val="000000"/>
        </w:rPr>
        <w:t xml:space="preserve">Task </w:t>
      </w:r>
      <w:r w:rsidR="00BF2982">
        <w:rPr>
          <w:rFonts w:asciiTheme="minorHAnsi" w:eastAsia="Arial" w:hAnsiTheme="minorHAnsi" w:cstheme="minorHAnsi"/>
          <w:b/>
          <w:color w:val="000000"/>
        </w:rPr>
        <w:t>3</w:t>
      </w:r>
      <w:r>
        <w:rPr>
          <w:rFonts w:asciiTheme="minorHAnsi" w:eastAsia="Arial" w:hAnsiTheme="minorHAnsi" w:cstheme="minorHAnsi"/>
          <w:b/>
          <w:color w:val="000000"/>
        </w:rPr>
        <w:t xml:space="preserve"> word count: 1990</w:t>
      </w:r>
    </w:p>
    <w:p w14:paraId="32E7C22D" w14:textId="77777777" w:rsidR="008F426B" w:rsidRDefault="008F426B" w:rsidP="008F426B">
      <w:pPr>
        <w:ind w:right="107"/>
        <w:rPr>
          <w:rFonts w:ascii="Arial" w:eastAsia="Arial" w:hAnsi="Arial" w:cs="Arial"/>
          <w:b/>
          <w:i/>
          <w:color w:val="000000"/>
          <w:sz w:val="24"/>
          <w:szCs w:val="24"/>
        </w:rPr>
      </w:pPr>
    </w:p>
    <w:p w14:paraId="4CCD7511" w14:textId="77777777" w:rsidR="00CD5F95" w:rsidRDefault="00CD5F95">
      <w:pPr>
        <w:ind w:right="107"/>
        <w:jc w:val="both"/>
        <w:rPr>
          <w:rFonts w:ascii="Arial" w:eastAsia="Arial" w:hAnsi="Arial" w:cs="Arial"/>
          <w:b/>
          <w:i/>
          <w:color w:val="000000"/>
          <w:sz w:val="24"/>
          <w:szCs w:val="24"/>
        </w:rPr>
      </w:pPr>
    </w:p>
    <w:p w14:paraId="0061774B" w14:textId="77777777" w:rsidR="00CD5F95" w:rsidRDefault="00CD5F95">
      <w:pPr>
        <w:ind w:right="107"/>
        <w:jc w:val="both"/>
        <w:rPr>
          <w:rFonts w:ascii="Arial" w:eastAsia="Arial" w:hAnsi="Arial" w:cs="Arial"/>
          <w:b/>
          <w:i/>
          <w:color w:val="000000"/>
          <w:sz w:val="24"/>
          <w:szCs w:val="24"/>
        </w:rPr>
      </w:pPr>
    </w:p>
    <w:p w14:paraId="0A9A185B" w14:textId="77777777" w:rsidR="00CD5F95" w:rsidRDefault="00CD5F95">
      <w:pPr>
        <w:ind w:right="107"/>
        <w:jc w:val="both"/>
        <w:rPr>
          <w:rFonts w:ascii="Arial" w:eastAsia="Arial" w:hAnsi="Arial" w:cs="Arial"/>
          <w:b/>
          <w:i/>
          <w:color w:val="000000"/>
          <w:sz w:val="24"/>
          <w:szCs w:val="24"/>
        </w:rPr>
      </w:pPr>
    </w:p>
    <w:p w14:paraId="5CFD1A7D" w14:textId="77777777" w:rsidR="00CD5F95" w:rsidRDefault="00CD5F95">
      <w:pPr>
        <w:ind w:right="107"/>
        <w:jc w:val="both"/>
        <w:rPr>
          <w:rFonts w:ascii="Arial" w:eastAsia="Arial" w:hAnsi="Arial" w:cs="Arial"/>
          <w:b/>
          <w:i/>
          <w:color w:val="000000"/>
          <w:sz w:val="24"/>
          <w:szCs w:val="24"/>
        </w:rPr>
      </w:pPr>
    </w:p>
    <w:p w14:paraId="6DF74D1F" w14:textId="77777777" w:rsidR="00CD5F95" w:rsidRDefault="00CD5F95">
      <w:pPr>
        <w:ind w:right="107"/>
        <w:jc w:val="both"/>
        <w:rPr>
          <w:rFonts w:ascii="Arial" w:eastAsia="Arial" w:hAnsi="Arial" w:cs="Arial"/>
          <w:b/>
          <w:i/>
          <w:color w:val="000000"/>
          <w:sz w:val="24"/>
          <w:szCs w:val="24"/>
        </w:rPr>
      </w:pPr>
    </w:p>
    <w:p w14:paraId="6BB11C7E" w14:textId="77777777" w:rsidR="00CD5F95" w:rsidRDefault="00CD5F95">
      <w:pPr>
        <w:ind w:right="107"/>
        <w:jc w:val="both"/>
        <w:rPr>
          <w:rFonts w:ascii="Arial" w:eastAsia="Arial" w:hAnsi="Arial" w:cs="Arial"/>
          <w:b/>
          <w:i/>
          <w:color w:val="000000"/>
          <w:sz w:val="24"/>
          <w:szCs w:val="24"/>
        </w:rPr>
      </w:pPr>
    </w:p>
    <w:p w14:paraId="65411DA2" w14:textId="77777777" w:rsidR="00CD5F95" w:rsidRDefault="00CD5F95">
      <w:pPr>
        <w:ind w:right="107"/>
        <w:jc w:val="both"/>
        <w:rPr>
          <w:rFonts w:ascii="Arial" w:eastAsia="Arial" w:hAnsi="Arial" w:cs="Arial"/>
          <w:b/>
          <w:i/>
          <w:color w:val="000000"/>
          <w:sz w:val="24"/>
          <w:szCs w:val="24"/>
        </w:rPr>
      </w:pPr>
    </w:p>
    <w:p w14:paraId="300C5B8D" w14:textId="77777777" w:rsidR="00CD5F95" w:rsidRDefault="00CD5F95">
      <w:pPr>
        <w:ind w:right="107"/>
        <w:jc w:val="both"/>
        <w:rPr>
          <w:rFonts w:ascii="Arial" w:eastAsia="Arial" w:hAnsi="Arial" w:cs="Arial"/>
          <w:b/>
          <w:i/>
          <w:color w:val="000000"/>
          <w:sz w:val="24"/>
          <w:szCs w:val="24"/>
        </w:rPr>
      </w:pPr>
    </w:p>
    <w:p w14:paraId="3E6F464A" w14:textId="77777777" w:rsidR="00CD5F95" w:rsidRDefault="00CD5F95">
      <w:pPr>
        <w:ind w:right="107"/>
        <w:jc w:val="both"/>
        <w:rPr>
          <w:rFonts w:ascii="Arial" w:eastAsia="Arial" w:hAnsi="Arial" w:cs="Arial"/>
          <w:b/>
          <w:i/>
          <w:color w:val="000000"/>
          <w:sz w:val="24"/>
          <w:szCs w:val="24"/>
        </w:rPr>
      </w:pPr>
    </w:p>
    <w:p w14:paraId="645BE9D6" w14:textId="77777777" w:rsidR="00CD5F95" w:rsidRDefault="00CD5F95">
      <w:pPr>
        <w:ind w:right="107"/>
        <w:jc w:val="both"/>
        <w:rPr>
          <w:rFonts w:ascii="Arial" w:eastAsia="Arial" w:hAnsi="Arial" w:cs="Arial"/>
          <w:b/>
          <w:i/>
          <w:color w:val="000000"/>
          <w:sz w:val="24"/>
          <w:szCs w:val="24"/>
        </w:rPr>
      </w:pPr>
    </w:p>
    <w:p w14:paraId="27AA2615" w14:textId="77777777" w:rsidR="00CD5F95" w:rsidRDefault="00CD5F95">
      <w:pPr>
        <w:ind w:right="107"/>
        <w:jc w:val="both"/>
        <w:rPr>
          <w:rFonts w:ascii="Arial" w:eastAsia="Arial" w:hAnsi="Arial" w:cs="Arial"/>
          <w:b/>
          <w:i/>
          <w:color w:val="000000"/>
          <w:sz w:val="24"/>
          <w:szCs w:val="24"/>
        </w:rPr>
      </w:pPr>
    </w:p>
    <w:p w14:paraId="68B11154" w14:textId="77777777" w:rsidR="00CD5F95" w:rsidRDefault="00CD5F95">
      <w:pPr>
        <w:ind w:right="107"/>
        <w:jc w:val="both"/>
        <w:rPr>
          <w:rFonts w:ascii="Arial" w:eastAsia="Arial" w:hAnsi="Arial" w:cs="Arial"/>
          <w:b/>
          <w:i/>
          <w:color w:val="000000"/>
          <w:sz w:val="24"/>
          <w:szCs w:val="24"/>
        </w:rPr>
      </w:pPr>
    </w:p>
    <w:p w14:paraId="59E9AB6C" w14:textId="77777777" w:rsidR="00CD5F95" w:rsidRDefault="00CD5F95">
      <w:pPr>
        <w:ind w:right="107"/>
        <w:jc w:val="both"/>
        <w:rPr>
          <w:rFonts w:ascii="Arial" w:eastAsia="Arial" w:hAnsi="Arial" w:cs="Arial"/>
          <w:b/>
          <w:i/>
          <w:color w:val="000000"/>
          <w:sz w:val="24"/>
          <w:szCs w:val="24"/>
        </w:rPr>
      </w:pPr>
    </w:p>
    <w:p w14:paraId="75D3251F" w14:textId="77777777" w:rsidR="00CD5F95" w:rsidRDefault="00CD5F95">
      <w:pPr>
        <w:ind w:right="107"/>
        <w:jc w:val="both"/>
        <w:rPr>
          <w:rFonts w:ascii="Arial" w:eastAsia="Arial" w:hAnsi="Arial" w:cs="Arial"/>
          <w:b/>
          <w:i/>
          <w:color w:val="000000"/>
          <w:sz w:val="24"/>
          <w:szCs w:val="24"/>
        </w:rPr>
      </w:pPr>
    </w:p>
    <w:p w14:paraId="0C8C3913" w14:textId="74622FDD" w:rsidR="00FC6DFA" w:rsidRDefault="009F1B79">
      <w:pPr>
        <w:ind w:right="107"/>
        <w:jc w:val="both"/>
        <w:rPr>
          <w:rFonts w:ascii="Arial" w:eastAsia="Arial" w:hAnsi="Arial" w:cs="Arial"/>
          <w:b/>
          <w:i/>
          <w:color w:val="000000"/>
          <w:sz w:val="24"/>
          <w:szCs w:val="24"/>
        </w:rPr>
      </w:pPr>
      <w:bookmarkStart w:id="10" w:name="_Hlk221098555"/>
      <w:r>
        <w:rPr>
          <w:rFonts w:ascii="Arial" w:eastAsia="Arial" w:hAnsi="Arial" w:cs="Arial"/>
          <w:b/>
          <w:i/>
          <w:color w:val="000000"/>
          <w:sz w:val="24"/>
          <w:szCs w:val="24"/>
        </w:rPr>
        <w:lastRenderedPageBreak/>
        <w:t>Task 4: Investigation documentation processes</w:t>
      </w:r>
    </w:p>
    <w:bookmarkEnd w:id="10"/>
    <w:p w14:paraId="7A763C94" w14:textId="77777777" w:rsidR="00FC6DFA" w:rsidRDefault="009F1B79">
      <w:pPr>
        <w:rPr>
          <w:rFonts w:ascii="Arial" w:eastAsia="Arial" w:hAnsi="Arial" w:cs="Arial"/>
          <w:color w:val="000000"/>
          <w:sz w:val="24"/>
          <w:szCs w:val="24"/>
        </w:rPr>
      </w:pPr>
      <w:r>
        <w:rPr>
          <w:rFonts w:ascii="Arial" w:eastAsia="Arial" w:hAnsi="Arial" w:cs="Arial"/>
          <w:color w:val="000000"/>
          <w:sz w:val="24"/>
          <w:szCs w:val="24"/>
        </w:rPr>
        <w:t xml:space="preserve"> </w:t>
      </w:r>
    </w:p>
    <w:tbl>
      <w:tblPr>
        <w:tblStyle w:val="a4"/>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FC6DFA" w14:paraId="63AEB9D3" w14:textId="77777777">
        <w:tc>
          <w:tcPr>
            <w:tcW w:w="9015" w:type="dxa"/>
          </w:tcPr>
          <w:p w14:paraId="24FF0030" w14:textId="77777777" w:rsidR="00FC6DFA" w:rsidRDefault="00FC6DFA">
            <w:pPr>
              <w:rPr>
                <w:rFonts w:ascii="Arial" w:eastAsia="Arial" w:hAnsi="Arial" w:cs="Arial"/>
                <w:b/>
                <w:color w:val="000000"/>
                <w:sz w:val="24"/>
                <w:szCs w:val="24"/>
              </w:rPr>
            </w:pPr>
          </w:p>
          <w:p w14:paraId="65B7062E" w14:textId="77777777" w:rsidR="00FC6DFA" w:rsidRDefault="009F1B79">
            <w:pPr>
              <w:rPr>
                <w:rFonts w:ascii="Arial" w:eastAsia="Arial" w:hAnsi="Arial" w:cs="Arial"/>
                <w:color w:val="000000"/>
                <w:sz w:val="24"/>
                <w:szCs w:val="24"/>
              </w:rPr>
            </w:pPr>
            <w:bookmarkStart w:id="11" w:name="_Hlk221098571"/>
            <w:r>
              <w:rPr>
                <w:rFonts w:ascii="Arial" w:eastAsia="Arial" w:hAnsi="Arial" w:cs="Arial"/>
                <w:b/>
                <w:color w:val="000000"/>
                <w:sz w:val="24"/>
                <w:szCs w:val="24"/>
              </w:rPr>
              <w:t>Outline</w:t>
            </w:r>
            <w:r>
              <w:rPr>
                <w:rFonts w:ascii="Arial" w:eastAsia="Arial" w:hAnsi="Arial" w:cs="Arial"/>
                <w:color w:val="000000"/>
                <w:sz w:val="24"/>
                <w:szCs w:val="24"/>
              </w:rPr>
              <w:t xml:space="preserve"> the statutory duties of disclosure within criminal investigations that investigators must adhere to.</w:t>
            </w:r>
          </w:p>
          <w:bookmarkEnd w:id="11"/>
          <w:p w14:paraId="3974FD42" w14:textId="77777777" w:rsidR="00FC6DFA" w:rsidRDefault="00FC6DFA">
            <w:pPr>
              <w:rPr>
                <w:rFonts w:ascii="Arial" w:eastAsia="Arial" w:hAnsi="Arial" w:cs="Arial"/>
                <w:color w:val="000000"/>
                <w:sz w:val="24"/>
                <w:szCs w:val="24"/>
              </w:rPr>
            </w:pPr>
          </w:p>
          <w:p w14:paraId="5824B20E" w14:textId="77777777" w:rsidR="00FC6DFA" w:rsidRDefault="009F1B79">
            <w:pPr>
              <w:rPr>
                <w:rFonts w:ascii="Arial" w:eastAsia="Arial" w:hAnsi="Arial" w:cs="Arial"/>
                <w:color w:val="000000"/>
                <w:sz w:val="24"/>
                <w:szCs w:val="24"/>
              </w:rPr>
            </w:pPr>
            <w:bookmarkStart w:id="12" w:name="_Hlk221098751"/>
            <w:r>
              <w:rPr>
                <w:rFonts w:ascii="Arial" w:eastAsia="Arial" w:hAnsi="Arial" w:cs="Arial"/>
                <w:b/>
                <w:color w:val="000000"/>
                <w:sz w:val="24"/>
                <w:szCs w:val="24"/>
              </w:rPr>
              <w:t>Critically explore</w:t>
            </w:r>
            <w:r>
              <w:rPr>
                <w:rFonts w:ascii="Arial" w:eastAsia="Arial" w:hAnsi="Arial" w:cs="Arial"/>
                <w:color w:val="000000"/>
                <w:sz w:val="24"/>
                <w:szCs w:val="24"/>
              </w:rPr>
              <w:t xml:space="preserve"> the challenges that disclosure presents to investigators, offering potential solutions where appropriate.</w:t>
            </w:r>
          </w:p>
          <w:bookmarkEnd w:id="12"/>
          <w:p w14:paraId="12CF9E34" w14:textId="77777777" w:rsidR="00FC6DFA" w:rsidRDefault="00FC6DFA">
            <w:pPr>
              <w:rPr>
                <w:rFonts w:ascii="Arial" w:eastAsia="Arial" w:hAnsi="Arial" w:cs="Arial"/>
                <w:color w:val="000000"/>
                <w:sz w:val="24"/>
                <w:szCs w:val="24"/>
              </w:rPr>
            </w:pPr>
          </w:p>
          <w:p w14:paraId="41F4DF92" w14:textId="77777777" w:rsidR="00FC6DFA" w:rsidRDefault="009F1B79">
            <w:pPr>
              <w:rPr>
                <w:rFonts w:ascii="Arial" w:eastAsia="Arial" w:hAnsi="Arial" w:cs="Arial"/>
                <w:color w:val="000000"/>
                <w:sz w:val="24"/>
                <w:szCs w:val="24"/>
              </w:rPr>
            </w:pPr>
            <w:r>
              <w:rPr>
                <w:rFonts w:ascii="Arial" w:eastAsia="Arial" w:hAnsi="Arial" w:cs="Arial"/>
                <w:color w:val="000000"/>
                <w:sz w:val="24"/>
                <w:szCs w:val="24"/>
              </w:rPr>
              <w:t>You may draw upon examples from your own professional practice as illustration.</w:t>
            </w:r>
          </w:p>
          <w:p w14:paraId="6A31C418" w14:textId="77777777" w:rsidR="00FC6DFA" w:rsidRDefault="00FC6DFA">
            <w:pPr>
              <w:rPr>
                <w:rFonts w:ascii="Arial" w:eastAsia="Arial" w:hAnsi="Arial" w:cs="Arial"/>
                <w:color w:val="000000"/>
                <w:sz w:val="24"/>
                <w:szCs w:val="24"/>
              </w:rPr>
            </w:pPr>
          </w:p>
          <w:p w14:paraId="123CC7AE" w14:textId="77777777" w:rsidR="00FC6DFA" w:rsidRDefault="009F1B79">
            <w:pPr>
              <w:rPr>
                <w:rFonts w:ascii="Arial" w:eastAsia="Arial" w:hAnsi="Arial" w:cs="Arial"/>
                <w:sz w:val="24"/>
                <w:szCs w:val="24"/>
              </w:rPr>
            </w:pPr>
            <w:r>
              <w:rPr>
                <w:rFonts w:ascii="Arial" w:eastAsia="Arial" w:hAnsi="Arial" w:cs="Arial"/>
                <w:b/>
                <w:color w:val="000000"/>
                <w:sz w:val="24"/>
                <w:szCs w:val="24"/>
              </w:rPr>
              <w:t xml:space="preserve">2000 words </w:t>
            </w:r>
            <w:r>
              <w:rPr>
                <w:rFonts w:ascii="Arial" w:eastAsia="Arial" w:hAnsi="Arial" w:cs="Arial"/>
                <w:i/>
                <w:color w:val="000000"/>
                <w:sz w:val="24"/>
                <w:szCs w:val="24"/>
              </w:rPr>
              <w:t>(+/- 10%: include your actual word count at the end of each section)</w:t>
            </w:r>
          </w:p>
          <w:p w14:paraId="40C51476" w14:textId="77777777" w:rsidR="00FC6DFA" w:rsidRDefault="00FC6DFA">
            <w:pPr>
              <w:rPr>
                <w:rFonts w:ascii="Arial" w:eastAsia="Arial" w:hAnsi="Arial" w:cs="Arial"/>
                <w:i/>
                <w:color w:val="000000"/>
                <w:sz w:val="24"/>
                <w:szCs w:val="24"/>
              </w:rPr>
            </w:pPr>
          </w:p>
        </w:tc>
      </w:tr>
    </w:tbl>
    <w:p w14:paraId="411BAE04" w14:textId="77777777" w:rsidR="00FC6DFA" w:rsidRDefault="00FC6DFA">
      <w:pPr>
        <w:ind w:right="107"/>
        <w:jc w:val="both"/>
        <w:rPr>
          <w:rFonts w:ascii="Arial" w:eastAsia="Arial" w:hAnsi="Arial" w:cs="Arial"/>
          <w:b/>
          <w:color w:val="000000"/>
          <w:sz w:val="24"/>
          <w:szCs w:val="24"/>
        </w:rPr>
      </w:pPr>
    </w:p>
    <w:p w14:paraId="1B32C84B" w14:textId="2E0AFF9C" w:rsidR="00C337AF" w:rsidRDefault="00C337AF" w:rsidP="00C337AF">
      <w:pPr>
        <w:ind w:right="107"/>
        <w:jc w:val="both"/>
        <w:rPr>
          <w:rFonts w:asciiTheme="minorHAnsi" w:eastAsia="Arial" w:hAnsiTheme="minorHAnsi" w:cstheme="minorHAnsi"/>
          <w:b/>
          <w:color w:val="000000"/>
          <w:u w:val="single"/>
        </w:rPr>
      </w:pPr>
      <w:r w:rsidRPr="00465E69">
        <w:rPr>
          <w:rFonts w:asciiTheme="minorHAnsi" w:eastAsia="Arial" w:hAnsiTheme="minorHAnsi" w:cstheme="minorHAnsi"/>
          <w:b/>
          <w:color w:val="000000"/>
          <w:u w:val="single"/>
        </w:rPr>
        <w:t xml:space="preserve">Task </w:t>
      </w:r>
      <w:r>
        <w:rPr>
          <w:rFonts w:asciiTheme="minorHAnsi" w:eastAsia="Arial" w:hAnsiTheme="minorHAnsi" w:cstheme="minorHAnsi"/>
          <w:b/>
          <w:color w:val="000000"/>
          <w:u w:val="single"/>
        </w:rPr>
        <w:t>4.a</w:t>
      </w:r>
    </w:p>
    <w:p w14:paraId="4175DEAB" w14:textId="77777777" w:rsidR="00BF2982" w:rsidRDefault="00BF2982" w:rsidP="00BF2982">
      <w:pPr>
        <w:ind w:right="107"/>
        <w:jc w:val="both"/>
        <w:rPr>
          <w:rFonts w:asciiTheme="minorHAnsi" w:eastAsia="Arial" w:hAnsiTheme="minorHAnsi" w:cstheme="minorHAnsi"/>
          <w:bCs/>
          <w:color w:val="000000"/>
        </w:rPr>
      </w:pPr>
    </w:p>
    <w:p w14:paraId="186D4C73" w14:textId="710755DC"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xml:space="preserve">Disclosure is arguably the most critical yet administratively complex element of the criminal justice system in England and Wales. It is the legal process by which the prosecution provides to the defence with copies of, or access to, any material that has been gathered during an investigation that is not intended to be used as evidence however may be relevant to the case. This reason for disclosure is the guarantee of a fair trial. It is a safeguard that is designed to prevent miscarriages of justice by ensuring that the defence is not ambushed and has access to material that might undermine the prosecution's case or assist their own. </w:t>
      </w:r>
    </w:p>
    <w:p w14:paraId="341A9EBC"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w:t>
      </w:r>
    </w:p>
    <w:p w14:paraId="7C486CA8"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xml:space="preserve">The statutory duties of an investigator regarding disclosure are firmly established by the Criminal Procedure and Investigations Act (CPIA) 1996. The practical application of this Act is dictated by the Ministry of Justice (2020) Criminal Procedure and Investigations Act 1996 Code of Practice. Under this statutory framework, the investigator has three core and non-negotiable duties of recording, retaining and revealing. </w:t>
      </w:r>
    </w:p>
    <w:p w14:paraId="017D6B7C"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xml:space="preserve">Firstly, investigators must record and retain all material that is gathered or generated in the course of the investigation that may be relevant to the investigation. This includes everything from physical exhibits and digital device downloads to pocket notebook (PNB) entries, rough interview notes and negative CCTV results. </w:t>
      </w:r>
    </w:p>
    <w:p w14:paraId="439130AA"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xml:space="preserve">Secondly, the investigator who will often act in the designated role of the disclosure officer in Crown Court cases, must review this retained material and schedule it on the appropriate forms such as the MG6C for non-sensitive material and the MG6D for sensitive material. </w:t>
      </w:r>
    </w:p>
    <w:p w14:paraId="3404C193"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xml:space="preserve">Finally, they must reveal this material to the prosecutor, highlighting any specific items that meet the disclosure test. This relates to any material that might reasonably be considered capable of undermining the case for the prosecution or assisting the case for the defence. This 'routine revelation' process is formalised through the use of scheduling documents. The investigator must carefully separate material into non-sensitive items on the MG6C and schedule and also sensitive items on the MG6D schedule. The classification of sensitive material is an important safeguarding tool as it allows the investigator to inform the prosecutor of relevant material such as intelligence </w:t>
      </w:r>
      <w:r w:rsidRPr="00BF2982">
        <w:rPr>
          <w:rFonts w:asciiTheme="minorHAnsi" w:eastAsia="Arial" w:hAnsiTheme="minorHAnsi" w:cstheme="minorHAnsi"/>
          <w:bCs/>
          <w:color w:val="000000"/>
        </w:rPr>
        <w:lastRenderedPageBreak/>
        <w:t xml:space="preserve">regarding the victim's mental health, undisclosed social services involvement or details of covert policing tactics. This is necessary to prevent highly sensitive information from being unnecessarily disclosed to the defence, thereby protecting vulnerable individuals or ongoing policing operations from exposure. </w:t>
      </w:r>
    </w:p>
    <w:p w14:paraId="35830536"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w:t>
      </w:r>
    </w:p>
    <w:p w14:paraId="7E6BB62A"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xml:space="preserve">Beyond the administrative management of material, the CPIA imposes a fundamental investigative philosophy. The Ministry of Justice (2020) Code of Practice states that investigators must pursue all reasonable lines of enquiry, whether these point towards or away from the suspect. This requires complete objectivity. An investigator can't selectively gather material that builds a case against a suspect but rather they must actively seek out all information. If a suspect provides an alibi, the investigator as a statutory duty to investigate it, and the results must be recorded, retained and disclosed even if they point away from the suspect. </w:t>
      </w:r>
    </w:p>
    <w:p w14:paraId="05386964"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w:t>
      </w:r>
    </w:p>
    <w:p w14:paraId="602FC5D1"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xml:space="preserve">The application of the CPIA is further managed by the Attorney General's Office (2024) guidelines on disclosure. These guidelines clarify the statutory duties in the modern policing context, particularly emphasising the concept of proportionality. The guidelines state that an investigation should be reasonable and proportionate to the circumstances of the case. Disclosure is not however, intended to be an endless "fishing expedition". This also relates to a crucial element of the investigators duty which is the management of third party material. Third party material refers to records held by outside organisations such as local authorities, social services, schools and medical practitioners. According to the Crown Prosecution Service guidance on third party material, investigators do not have a statutory duty to obtain every piece of material held by a third party simply because it exists. The duty is to consider whether or not it is reasonable. If the investigator believes that third party material may be relevant to an issue in the case, they should request access to review it. Crucially, the Attorney General's Office (2024) guidelines state that if, upon review, the material is deemed not relevant to the investigation, it should not be obtained or seized. Doing so would be a breach of the victim's privacy and disproportionate to the investigation. </w:t>
      </w:r>
    </w:p>
    <w:p w14:paraId="23C4CE60"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xml:space="preserve">In summary, the statutory duty to disclose requires the investigator to be a meticulous record keeper, an objective seeker of the truth and a proportionate assessor of relevance whilst balancing the rights of the suspect to a fair trial against the rights of the victim's privacy. </w:t>
      </w:r>
    </w:p>
    <w:p w14:paraId="502DFE7C"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w:t>
      </w:r>
    </w:p>
    <w:p w14:paraId="0F88AB13"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w:t>
      </w:r>
    </w:p>
    <w:p w14:paraId="61EC28CD" w14:textId="06D11220" w:rsidR="00BF2982" w:rsidRDefault="00BF2982" w:rsidP="00BF2982">
      <w:pPr>
        <w:ind w:right="107"/>
        <w:jc w:val="both"/>
        <w:rPr>
          <w:rFonts w:asciiTheme="minorHAnsi" w:eastAsia="Arial" w:hAnsiTheme="minorHAnsi" w:cstheme="minorHAnsi"/>
          <w:b/>
          <w:color w:val="000000"/>
          <w:u w:val="single"/>
        </w:rPr>
      </w:pPr>
      <w:r w:rsidRPr="00465E69">
        <w:rPr>
          <w:rFonts w:asciiTheme="minorHAnsi" w:eastAsia="Arial" w:hAnsiTheme="minorHAnsi" w:cstheme="minorHAnsi"/>
          <w:b/>
          <w:color w:val="000000"/>
          <w:u w:val="single"/>
        </w:rPr>
        <w:t xml:space="preserve">Task </w:t>
      </w:r>
      <w:r>
        <w:rPr>
          <w:rFonts w:asciiTheme="minorHAnsi" w:eastAsia="Arial" w:hAnsiTheme="minorHAnsi" w:cstheme="minorHAnsi"/>
          <w:b/>
          <w:color w:val="000000"/>
          <w:u w:val="single"/>
        </w:rPr>
        <w:t>4.b</w:t>
      </w:r>
    </w:p>
    <w:p w14:paraId="2CBAC25C"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w:t>
      </w:r>
    </w:p>
    <w:p w14:paraId="13BF17F2" w14:textId="31ED8475" w:rsidR="00BF2982" w:rsidRPr="00BF2982" w:rsidRDefault="00686406" w:rsidP="00BF2982">
      <w:pPr>
        <w:ind w:right="107"/>
        <w:jc w:val="both"/>
        <w:rPr>
          <w:rFonts w:asciiTheme="minorHAnsi" w:eastAsia="Arial" w:hAnsiTheme="minorHAnsi" w:cstheme="minorHAnsi"/>
          <w:bCs/>
          <w:color w:val="000000"/>
        </w:rPr>
      </w:pPr>
      <w:r>
        <w:rPr>
          <w:rFonts w:asciiTheme="minorHAnsi" w:eastAsia="Arial" w:hAnsiTheme="minorHAnsi" w:cstheme="minorHAnsi"/>
          <w:bCs/>
          <w:color w:val="000000"/>
        </w:rPr>
        <w:t>Although</w:t>
      </w:r>
      <w:r w:rsidR="00BF2982" w:rsidRPr="00BF2982">
        <w:rPr>
          <w:rFonts w:asciiTheme="minorHAnsi" w:eastAsia="Arial" w:hAnsiTheme="minorHAnsi" w:cstheme="minorHAnsi"/>
          <w:bCs/>
          <w:color w:val="000000"/>
        </w:rPr>
        <w:t xml:space="preserve"> the statutory principles of the CPIA 1996 are legally sound, their application in complex investigations present immense logistical and legal challenges. Modern investigations, particularly those investigated by the Criminal Investigation Department (CID) of a more serious or complex nature, collate vast volumes of data. The more difficult challenge currently facing investigators however is not just the volume of the digital evidence but the legislative friction regarding third party material. There is a systemic clash between the criminal justice requirements of the CPIA and the strict civil privacy regulations imposed by the Data Protection Act 2018 (GDPR). </w:t>
      </w:r>
    </w:p>
    <w:p w14:paraId="25064E32"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w:t>
      </w:r>
    </w:p>
    <w:p w14:paraId="7DF29F3D"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lastRenderedPageBreak/>
        <w:t xml:space="preserve">To critically explore this challenge, I will refer to a recent investigation from my own caseload. In 2023, I was the Officer in Case (OIC) for a complex historical rape case. As part of my statutory duty under the CPIA to pursue all reasonable lines of enquiry, I recognised that historical records held by third parties, specifically social services (annex C material) and historical school records, might contain material relevant to the victim's background or the timeline of the allegations. </w:t>
      </w:r>
    </w:p>
    <w:p w14:paraId="5FD3E783"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xml:space="preserve">Following the Crown Prosecution Service guidance and the Attorney General's Office (2024) guidelines, I engaged with the relevant local authorities and schools to review this material. I carefully reviewed all of the annex C social services records and the education records. Applying the strict disclosure test, I decided that the material was entirely irrelevant to the alleged offences. It contained no information that assisted the prosecution case and nor did it contain any material capable of undermining the case or assisting the defence. Due to this, and to protect the victim's right to privacy and to avoid unnecessary collateral intrusion in to their traumatic childhood history, I made the legally sound decision not to physically obtain or seize these records. I scheduled my actions and rationale on the disclosure documentations which fulfilled my CPIA obligations. </w:t>
      </w:r>
    </w:p>
    <w:p w14:paraId="5F656C46"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xml:space="preserve">3 years later however, when the case was brought to Crown Court, a severe issue become apparent on day one of the trial. The defence counsel demanded the physical production of the social services and school records, essentially engaging in the speculative "fishing expedition" that the Attorney General's Guidelines warn against. Rather than defending the investigative rationale, the court ordered that material must be obtained without giving any information around what information in particular they were seeking. </w:t>
      </w:r>
    </w:p>
    <w:p w14:paraId="50F7918B"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w:t>
      </w:r>
    </w:p>
    <w:p w14:paraId="449772B6"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xml:space="preserve">This is where the challenge of third party material disclosure causes issues and slows down the system. When I subsequently served requests on the local authority and schools to produce these records, they initially refused as is happening more frequently. Under the Data Protection Act (2018), these organisations are bound by stringent GDPR principles, specifically data minimisation and the requirement for a lawful bias for processing highly sensitive personal data. </w:t>
      </w:r>
    </w:p>
    <w:p w14:paraId="01189B92"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xml:space="preserve">Local authorities are scrutinised by the Information Commissioner's Office (ICO) and are aware of the potential severe financial penalties for breaching data privacy. Due to this, they routinely adopt a more risk averse stance, refusing to release sensitive records to the police without a formal summons or court order, or at least the request from a higher ranking police officer of Inspector or above, regardless of the CPIA requests. </w:t>
      </w:r>
    </w:p>
    <w:p w14:paraId="2814CF49"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xml:space="preserve">This impact in this case was devastating for the victim. Because the third parties could not simply provide the relevant material when I requested it from the court in my role of OIC, the trial was adjourned. The vulnerable victim, who had already endured the psychological strain of a complex historical investigation and had waited nearly 3 years for their day in court, was informed that they would have to wait another 6 months for a new trial date. This prolonged delay has severe implications for victim care and engagement. Maintaining the support of a victim over a two and a half year period is already difficult and victims of historical abuse often describe the period awaiting trial as putting their lives on hold. By forcing an unnecessary further adjournment, the legal system itself becomes a part of the secondary victimisation, adding to the victim's trauma. </w:t>
      </w:r>
    </w:p>
    <w:p w14:paraId="4160F38B"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w:t>
      </w:r>
    </w:p>
    <w:p w14:paraId="3F6C008A"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xml:space="preserve">This challenge of disclosure is not just an administrative headache but it is also an active driver of victim attrition. The HM Government (2021) end-to-end rape review explicitly identifies that </w:t>
      </w:r>
      <w:r w:rsidRPr="00BF2982">
        <w:rPr>
          <w:rFonts w:asciiTheme="minorHAnsi" w:eastAsia="Arial" w:hAnsiTheme="minorHAnsi" w:cstheme="minorHAnsi"/>
          <w:bCs/>
          <w:color w:val="000000"/>
        </w:rPr>
        <w:lastRenderedPageBreak/>
        <w:t xml:space="preserve">disproportionate requests for third party material, and the subsequent delays that they cause, are a primary reason why victims of sexual offences withdraw from the criminal justice process. The psychological toll of an additional six month delay, caused solely by an administrative argument over material that I as the investigator already know to be irrelevant, inflicts profound secondary trauma on the victim. It turns the disclosure process from a safeguard of justice into a weapon that inadvertently punishes the aggrieved. </w:t>
      </w:r>
    </w:p>
    <w:p w14:paraId="2D5D729E"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w:t>
      </w:r>
    </w:p>
    <w:p w14:paraId="7502F1FC"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xml:space="preserve">Overcoming these challenges requires both strategic and also cultural shifts within the criminal justice system. Firstly, at an operational level, there is a critical need for a more robust, national information sharing agreement between police forces, the CPS and major third party organisations such as the NGS and educational departments. These agreements should map the lawful basis under the Data Protection Act 2018 for sharing relevant material for policing purposes, thereby giving third party data 'controllers' the legal confidence to release material without forcing investigators to obtain unnecessary authorities, slowing down the process. </w:t>
      </w:r>
    </w:p>
    <w:p w14:paraId="0D0A418B"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xml:space="preserve">Secondly, a cultural shift is also required within the judiciary system and Crown Prosecution Service. Solutions should include the CPS taking a significantly more robust stance during pre-trial preparation hearings. Prosecutors must be willing to challenge defence applications for third party material that amount to speculatively fishing. As my case can demonstrate, when investigators correctly follow the Attorney General's Office (2024) guidelines by reviewing and discarding irrelevant third party material, The CPS and the judiciary system must support that professional judgement. Judges should enforce the rule that if the defence seeks third party material that the police don't possess, the burden is shifted on to the defence to apply for a witness summons against that third party, rather than adjourning the trial and ordering the police to act as an administrative intermediary. </w:t>
      </w:r>
    </w:p>
    <w:p w14:paraId="5D8121AC"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w:t>
      </w:r>
    </w:p>
    <w:p w14:paraId="3DF5BBD2" w14:textId="77777777" w:rsidR="00BF2982" w:rsidRPr="00BF2982" w:rsidRDefault="00BF2982" w:rsidP="00BF2982">
      <w:pPr>
        <w:ind w:right="107"/>
        <w:jc w:val="both"/>
        <w:rPr>
          <w:rFonts w:asciiTheme="minorHAnsi" w:eastAsia="Arial" w:hAnsiTheme="minorHAnsi" w:cstheme="minorHAnsi"/>
          <w:bCs/>
          <w:color w:val="000000"/>
        </w:rPr>
      </w:pPr>
      <w:r w:rsidRPr="00BF2982">
        <w:rPr>
          <w:rFonts w:asciiTheme="minorHAnsi" w:eastAsia="Arial" w:hAnsiTheme="minorHAnsi" w:cstheme="minorHAnsi"/>
          <w:bCs/>
          <w:color w:val="000000"/>
        </w:rPr>
        <w:t xml:space="preserve">In conclusion, the statutory duties of disclosure under the CPIA 1996 represent the cornerstone of fairness in the investigative process however an investigator is caught in a position between the demands of criminal disclosure and the restrictions of civil data protection laws. As evidenced by the severe delays and secondary trauma inflicted on the victim in my earlier mentioned investigation, the current process regarding third party material doesn't work. Until legislative agreement is achieved and the courts actively protect victims from disproportionate defence demands, disclosure will remain the most significant obstacle to delivering timely and compassionate justice. </w:t>
      </w:r>
    </w:p>
    <w:p w14:paraId="47028CF2" w14:textId="77777777" w:rsidR="00C337AF" w:rsidRDefault="00C337AF" w:rsidP="00C337AF">
      <w:pPr>
        <w:ind w:right="107"/>
        <w:jc w:val="both"/>
        <w:rPr>
          <w:rFonts w:asciiTheme="minorHAnsi" w:eastAsia="Arial" w:hAnsiTheme="minorHAnsi" w:cstheme="minorHAnsi"/>
          <w:bCs/>
          <w:color w:val="000000"/>
        </w:rPr>
      </w:pPr>
    </w:p>
    <w:p w14:paraId="5FDD3A39" w14:textId="77777777" w:rsidR="00BF2982" w:rsidRDefault="00BF2982" w:rsidP="00C337AF">
      <w:pPr>
        <w:ind w:right="107"/>
        <w:jc w:val="both"/>
        <w:rPr>
          <w:rFonts w:asciiTheme="minorHAnsi" w:eastAsia="Arial" w:hAnsiTheme="minorHAnsi" w:cstheme="minorHAnsi"/>
          <w:bCs/>
          <w:color w:val="000000"/>
        </w:rPr>
      </w:pPr>
    </w:p>
    <w:p w14:paraId="0F3626F4" w14:textId="2F42130B" w:rsidR="00CD5F95" w:rsidRDefault="00BF2982" w:rsidP="00BF2982">
      <w:pPr>
        <w:ind w:right="107"/>
        <w:rPr>
          <w:rFonts w:asciiTheme="minorHAnsi" w:eastAsia="Arial" w:hAnsiTheme="minorHAnsi" w:cstheme="minorHAnsi"/>
          <w:b/>
          <w:color w:val="000000"/>
        </w:rPr>
      </w:pPr>
      <w:r>
        <w:rPr>
          <w:rFonts w:asciiTheme="minorHAnsi" w:eastAsia="Arial" w:hAnsiTheme="minorHAnsi" w:cstheme="minorHAnsi"/>
          <w:b/>
          <w:color w:val="000000"/>
        </w:rPr>
        <w:t>Task 4 word count: 1867</w:t>
      </w:r>
    </w:p>
    <w:p w14:paraId="2649F062" w14:textId="77777777" w:rsidR="00BF2982" w:rsidRDefault="00BF2982" w:rsidP="00BF2982">
      <w:pPr>
        <w:ind w:right="107"/>
        <w:rPr>
          <w:rFonts w:ascii="Arial" w:eastAsia="Arial" w:hAnsi="Arial" w:cs="Arial"/>
          <w:b/>
          <w:i/>
          <w:color w:val="000000"/>
          <w:sz w:val="24"/>
          <w:szCs w:val="24"/>
        </w:rPr>
      </w:pPr>
    </w:p>
    <w:p w14:paraId="0FC96FC8" w14:textId="77777777" w:rsidR="00CD5F95" w:rsidRDefault="00CD5F95">
      <w:pPr>
        <w:ind w:right="107"/>
        <w:jc w:val="both"/>
        <w:rPr>
          <w:rFonts w:ascii="Arial" w:eastAsia="Arial" w:hAnsi="Arial" w:cs="Arial"/>
          <w:b/>
          <w:i/>
          <w:color w:val="000000"/>
          <w:sz w:val="24"/>
          <w:szCs w:val="24"/>
        </w:rPr>
      </w:pPr>
    </w:p>
    <w:p w14:paraId="3FB0A4EF" w14:textId="77777777" w:rsidR="00CD5F95" w:rsidRDefault="00CD5F95">
      <w:pPr>
        <w:ind w:right="107"/>
        <w:jc w:val="both"/>
        <w:rPr>
          <w:rFonts w:ascii="Arial" w:eastAsia="Arial" w:hAnsi="Arial" w:cs="Arial"/>
          <w:b/>
          <w:i/>
          <w:color w:val="000000"/>
          <w:sz w:val="24"/>
          <w:szCs w:val="24"/>
        </w:rPr>
      </w:pPr>
    </w:p>
    <w:p w14:paraId="7A08E61E" w14:textId="77777777" w:rsidR="00CD5F95" w:rsidRDefault="00CD5F95">
      <w:pPr>
        <w:ind w:right="107"/>
        <w:jc w:val="both"/>
        <w:rPr>
          <w:rFonts w:ascii="Arial" w:eastAsia="Arial" w:hAnsi="Arial" w:cs="Arial"/>
          <w:b/>
          <w:i/>
          <w:color w:val="000000"/>
          <w:sz w:val="24"/>
          <w:szCs w:val="24"/>
        </w:rPr>
      </w:pPr>
    </w:p>
    <w:p w14:paraId="0718E44C" w14:textId="77777777" w:rsidR="00CD5F95" w:rsidRDefault="00CD5F95">
      <w:pPr>
        <w:ind w:right="107"/>
        <w:jc w:val="both"/>
        <w:rPr>
          <w:rFonts w:ascii="Arial" w:eastAsia="Arial" w:hAnsi="Arial" w:cs="Arial"/>
          <w:b/>
          <w:i/>
          <w:color w:val="000000"/>
          <w:sz w:val="24"/>
          <w:szCs w:val="24"/>
        </w:rPr>
      </w:pPr>
    </w:p>
    <w:p w14:paraId="16C009A8" w14:textId="77777777" w:rsidR="00CD5F95" w:rsidRDefault="00CD5F95">
      <w:pPr>
        <w:ind w:right="107"/>
        <w:jc w:val="both"/>
        <w:rPr>
          <w:rFonts w:ascii="Arial" w:eastAsia="Arial" w:hAnsi="Arial" w:cs="Arial"/>
          <w:b/>
          <w:i/>
          <w:color w:val="000000"/>
          <w:sz w:val="24"/>
          <w:szCs w:val="24"/>
        </w:rPr>
      </w:pPr>
    </w:p>
    <w:p w14:paraId="782D7953" w14:textId="60FAF619" w:rsidR="00FC6DFA" w:rsidRDefault="009F1B79">
      <w:pPr>
        <w:ind w:right="107"/>
        <w:jc w:val="both"/>
        <w:rPr>
          <w:rFonts w:ascii="Arial" w:eastAsia="Arial" w:hAnsi="Arial" w:cs="Arial"/>
          <w:i/>
          <w:color w:val="000000"/>
          <w:sz w:val="24"/>
          <w:szCs w:val="24"/>
        </w:rPr>
      </w:pPr>
      <w:bookmarkStart w:id="13" w:name="_Hlk221099214"/>
      <w:r>
        <w:rPr>
          <w:rFonts w:ascii="Arial" w:eastAsia="Arial" w:hAnsi="Arial" w:cs="Arial"/>
          <w:b/>
          <w:i/>
          <w:color w:val="000000"/>
          <w:sz w:val="24"/>
          <w:szCs w:val="24"/>
        </w:rPr>
        <w:lastRenderedPageBreak/>
        <w:t>Task 5: Personal Development Plan (PDP)</w:t>
      </w:r>
    </w:p>
    <w:p w14:paraId="03945267" w14:textId="77777777" w:rsidR="00FC6DFA" w:rsidRDefault="009F1B79">
      <w:pPr>
        <w:ind w:right="107"/>
        <w:jc w:val="both"/>
        <w:rPr>
          <w:rFonts w:ascii="Arial" w:eastAsia="Arial" w:hAnsi="Arial" w:cs="Arial"/>
          <w:color w:val="000000"/>
          <w:sz w:val="24"/>
          <w:szCs w:val="24"/>
        </w:rPr>
      </w:pPr>
      <w:r>
        <w:rPr>
          <w:rFonts w:ascii="Arial" w:eastAsia="Arial" w:hAnsi="Arial" w:cs="Arial"/>
          <w:color w:val="000000"/>
          <w:sz w:val="24"/>
          <w:szCs w:val="24"/>
        </w:rPr>
        <w:t xml:space="preserve">As part of your reflective process, please use this table to aid you in identifying the next steps for development. </w:t>
      </w:r>
    </w:p>
    <w:p w14:paraId="6C29E699" w14:textId="77777777" w:rsidR="00FC6DFA" w:rsidRDefault="009F1B79">
      <w:pPr>
        <w:ind w:right="107"/>
        <w:jc w:val="both"/>
        <w:rPr>
          <w:rFonts w:ascii="Arial" w:eastAsia="Arial" w:hAnsi="Arial" w:cs="Arial"/>
          <w:color w:val="000000"/>
          <w:sz w:val="24"/>
          <w:szCs w:val="24"/>
        </w:rPr>
      </w:pPr>
      <w:r>
        <w:rPr>
          <w:rFonts w:ascii="Arial" w:eastAsia="Arial" w:hAnsi="Arial" w:cs="Arial"/>
          <w:color w:val="000000"/>
          <w:sz w:val="24"/>
          <w:szCs w:val="24"/>
        </w:rPr>
        <w:t xml:space="preserve">Formulate and implement a </w:t>
      </w:r>
      <w:r>
        <w:rPr>
          <w:rFonts w:ascii="Arial" w:eastAsia="Arial" w:hAnsi="Arial" w:cs="Arial"/>
          <w:b/>
          <w:color w:val="000000"/>
          <w:sz w:val="24"/>
          <w:szCs w:val="24"/>
        </w:rPr>
        <w:t xml:space="preserve">personal study programme </w:t>
      </w:r>
      <w:r>
        <w:rPr>
          <w:rFonts w:ascii="Arial" w:eastAsia="Arial" w:hAnsi="Arial" w:cs="Arial"/>
          <w:color w:val="000000"/>
          <w:sz w:val="24"/>
          <w:szCs w:val="24"/>
        </w:rPr>
        <w:t>to further enhance the development of your professional police practice. A template has been added for an ‘Individual Learning Plan’ that you can use for this task.  </w:t>
      </w:r>
    </w:p>
    <w:p w14:paraId="1E8069BB" w14:textId="77777777" w:rsidR="00FC6DFA" w:rsidRDefault="009F1B79">
      <w:pPr>
        <w:ind w:right="225"/>
        <w:jc w:val="both"/>
        <w:rPr>
          <w:rFonts w:ascii="Arial" w:eastAsia="Arial" w:hAnsi="Arial" w:cs="Arial"/>
          <w:color w:val="000000"/>
          <w:sz w:val="24"/>
          <w:szCs w:val="24"/>
        </w:rPr>
      </w:pPr>
      <w:r>
        <w:rPr>
          <w:rFonts w:ascii="Arial" w:eastAsia="Arial" w:hAnsi="Arial" w:cs="Arial"/>
          <w:color w:val="000000"/>
          <w:sz w:val="24"/>
          <w:szCs w:val="24"/>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This should then be used to target future development need. </w:t>
      </w:r>
    </w:p>
    <w:p w14:paraId="3F64DF02" w14:textId="77777777" w:rsidR="00FC6DFA" w:rsidRDefault="009F1B79">
      <w:pPr>
        <w:ind w:right="107"/>
        <w:jc w:val="both"/>
        <w:rPr>
          <w:rFonts w:ascii="Arial" w:eastAsia="Arial" w:hAnsi="Arial" w:cs="Arial"/>
          <w:color w:val="000000"/>
          <w:sz w:val="24"/>
          <w:szCs w:val="24"/>
        </w:rPr>
      </w:pPr>
      <w:r>
        <w:rPr>
          <w:rFonts w:ascii="Arial" w:eastAsia="Arial" w:hAnsi="Arial" w:cs="Arial"/>
          <w:color w:val="000000"/>
          <w:sz w:val="24"/>
          <w:szCs w:val="24"/>
          <w:u w:val="single"/>
        </w:rPr>
        <w:t>This is equivalent to 2000 words</w:t>
      </w:r>
      <w:r>
        <w:rPr>
          <w:rFonts w:ascii="Arial" w:eastAsia="Arial" w:hAnsi="Arial" w:cs="Arial"/>
          <w:color w:val="000000"/>
          <w:sz w:val="24"/>
          <w:szCs w:val="24"/>
        </w:rPr>
        <w:t xml:space="preserve"> towards the overall wordcount, please note this is not the actual number of words used in completing the table, the count reflects the thought and research behind it</w:t>
      </w:r>
    </w:p>
    <w:p w14:paraId="1BCC32C9" w14:textId="77777777" w:rsidR="00FC6DFA" w:rsidRDefault="00FC6DFA">
      <w:pPr>
        <w:jc w:val="center"/>
        <w:rPr>
          <w:rFonts w:ascii="Arial" w:eastAsia="Arial" w:hAnsi="Arial" w:cs="Arial"/>
          <w:b/>
          <w:color w:val="000000"/>
          <w:u w:val="single"/>
        </w:rPr>
      </w:pPr>
    </w:p>
    <w:p w14:paraId="03C50172" w14:textId="77777777" w:rsidR="00FC6DFA" w:rsidRDefault="009F1B79">
      <w:pPr>
        <w:jc w:val="center"/>
        <w:rPr>
          <w:rFonts w:ascii="Arial" w:eastAsia="Arial" w:hAnsi="Arial" w:cs="Arial"/>
          <w:sz w:val="24"/>
          <w:szCs w:val="24"/>
          <w:u w:val="single"/>
        </w:rPr>
      </w:pPr>
      <w:r>
        <w:rPr>
          <w:rFonts w:ascii="Arial" w:eastAsia="Arial" w:hAnsi="Arial" w:cs="Arial"/>
          <w:b/>
          <w:color w:val="000000"/>
          <w:u w:val="single"/>
        </w:rPr>
        <w:t>Knowledge, Skills and Experience Assessment</w:t>
      </w:r>
      <w:r>
        <w:rPr>
          <w:rFonts w:ascii="Arial" w:eastAsia="Arial" w:hAnsi="Arial" w:cs="Arial"/>
          <w:color w:val="000000"/>
          <w:u w:val="single"/>
        </w:rPr>
        <w:t> </w:t>
      </w:r>
    </w:p>
    <w:p w14:paraId="37D51D46" w14:textId="77777777" w:rsidR="00FC6DFA" w:rsidRDefault="00FC6DFA">
      <w:pPr>
        <w:ind w:right="107"/>
        <w:jc w:val="both"/>
        <w:rPr>
          <w:rFonts w:ascii="Arial" w:eastAsia="Arial" w:hAnsi="Arial" w:cs="Arial"/>
          <w:color w:val="000000"/>
          <w:sz w:val="24"/>
          <w:szCs w:val="24"/>
        </w:rPr>
      </w:pPr>
    </w:p>
    <w:tbl>
      <w:tblPr>
        <w:tblStyle w:val="a5"/>
        <w:tblW w:w="8880" w:type="dxa"/>
        <w:tblLayout w:type="fixed"/>
        <w:tblLook w:val="0400" w:firstRow="0" w:lastRow="0" w:firstColumn="0" w:lastColumn="0" w:noHBand="0" w:noVBand="1"/>
      </w:tblPr>
      <w:tblGrid>
        <w:gridCol w:w="1740"/>
        <w:gridCol w:w="855"/>
        <w:gridCol w:w="795"/>
        <w:gridCol w:w="840"/>
        <w:gridCol w:w="705"/>
        <w:gridCol w:w="855"/>
        <w:gridCol w:w="765"/>
        <w:gridCol w:w="2325"/>
      </w:tblGrid>
      <w:tr w:rsidR="00FC6DFA" w14:paraId="638EA9BF" w14:textId="77777777">
        <w:tc>
          <w:tcPr>
            <w:tcW w:w="1740" w:type="dxa"/>
            <w:tcBorders>
              <w:top w:val="single" w:sz="6" w:space="0" w:color="000000"/>
              <w:left w:val="single" w:sz="6" w:space="0" w:color="000000"/>
              <w:bottom w:val="single" w:sz="6" w:space="0" w:color="000000"/>
              <w:right w:val="single" w:sz="6" w:space="0" w:color="000000"/>
            </w:tcBorders>
            <w:shd w:val="clear" w:color="auto" w:fill="5B9BD5"/>
          </w:tcPr>
          <w:p w14:paraId="05D0DC60" w14:textId="77777777" w:rsidR="00FC6DFA" w:rsidRDefault="009F1B79">
            <w:pPr>
              <w:rPr>
                <w:rFonts w:ascii="Arial" w:eastAsia="Arial" w:hAnsi="Arial" w:cs="Arial"/>
                <w:color w:val="000000"/>
              </w:rPr>
            </w:pPr>
            <w:r>
              <w:rPr>
                <w:rFonts w:ascii="Arial" w:eastAsia="Arial" w:hAnsi="Arial" w:cs="Arial"/>
                <w:color w:val="000000"/>
              </w:rPr>
              <w:t> </w:t>
            </w:r>
          </w:p>
        </w:tc>
        <w:tc>
          <w:tcPr>
            <w:tcW w:w="2490" w:type="dxa"/>
            <w:gridSpan w:val="3"/>
            <w:tcBorders>
              <w:top w:val="single" w:sz="6" w:space="0" w:color="000000"/>
              <w:left w:val="single" w:sz="6" w:space="0" w:color="000000"/>
              <w:bottom w:val="single" w:sz="6" w:space="0" w:color="000000"/>
              <w:right w:val="single" w:sz="6" w:space="0" w:color="000000"/>
            </w:tcBorders>
            <w:shd w:val="clear" w:color="auto" w:fill="5B9BD5"/>
          </w:tcPr>
          <w:p w14:paraId="38A30F77" w14:textId="77777777" w:rsidR="00FC6DFA" w:rsidRDefault="009F1B79">
            <w:pPr>
              <w:rPr>
                <w:rFonts w:ascii="Arial" w:eastAsia="Arial" w:hAnsi="Arial" w:cs="Arial"/>
                <w:b/>
                <w:color w:val="000000"/>
              </w:rPr>
            </w:pPr>
            <w:r>
              <w:rPr>
                <w:rFonts w:ascii="Arial" w:eastAsia="Arial" w:hAnsi="Arial" w:cs="Arial"/>
                <w:b/>
                <w:color w:val="000000"/>
              </w:rPr>
              <w:t>Current level</w:t>
            </w:r>
          </w:p>
        </w:tc>
        <w:tc>
          <w:tcPr>
            <w:tcW w:w="2325" w:type="dxa"/>
            <w:gridSpan w:val="3"/>
            <w:tcBorders>
              <w:top w:val="single" w:sz="6" w:space="0" w:color="000000"/>
              <w:left w:val="nil"/>
              <w:bottom w:val="single" w:sz="6" w:space="0" w:color="000000"/>
              <w:right w:val="single" w:sz="6" w:space="0" w:color="000000"/>
            </w:tcBorders>
            <w:shd w:val="clear" w:color="auto" w:fill="5B9BD5"/>
          </w:tcPr>
          <w:p w14:paraId="629511BC" w14:textId="77777777" w:rsidR="00FC6DFA" w:rsidRDefault="009F1B79">
            <w:pPr>
              <w:rPr>
                <w:rFonts w:ascii="Arial" w:eastAsia="Arial" w:hAnsi="Arial" w:cs="Arial"/>
                <w:b/>
                <w:color w:val="000000"/>
              </w:rPr>
            </w:pPr>
            <w:r>
              <w:rPr>
                <w:rFonts w:ascii="Arial" w:eastAsia="Arial" w:hAnsi="Arial" w:cs="Arial"/>
                <w:b/>
                <w:color w:val="000000"/>
              </w:rPr>
              <w:t>RATING - next 6 to 12mths</w:t>
            </w:r>
          </w:p>
        </w:tc>
        <w:tc>
          <w:tcPr>
            <w:tcW w:w="2325" w:type="dxa"/>
            <w:tcBorders>
              <w:top w:val="single" w:sz="6" w:space="0" w:color="000000"/>
              <w:left w:val="nil"/>
              <w:bottom w:val="single" w:sz="6" w:space="0" w:color="000000"/>
              <w:right w:val="single" w:sz="6" w:space="0" w:color="000000"/>
            </w:tcBorders>
            <w:shd w:val="clear" w:color="auto" w:fill="5B9BD5"/>
          </w:tcPr>
          <w:p w14:paraId="0BD63A68" w14:textId="77777777" w:rsidR="00FC6DFA" w:rsidRDefault="009F1B79">
            <w:pPr>
              <w:rPr>
                <w:rFonts w:ascii="Arial" w:eastAsia="Arial" w:hAnsi="Arial" w:cs="Arial"/>
                <w:color w:val="000000"/>
              </w:rPr>
            </w:pPr>
            <w:r>
              <w:rPr>
                <w:rFonts w:ascii="Arial" w:eastAsia="Arial" w:hAnsi="Arial" w:cs="Arial"/>
                <w:b/>
                <w:color w:val="000000"/>
              </w:rPr>
              <w:t>DEVELOPMENT NEED</w:t>
            </w:r>
            <w:r>
              <w:rPr>
                <w:rFonts w:ascii="Arial" w:eastAsia="Arial" w:hAnsi="Arial" w:cs="Arial"/>
                <w:color w:val="000000"/>
              </w:rPr>
              <w:t> </w:t>
            </w:r>
            <w:r>
              <w:rPr>
                <w:rFonts w:ascii="Arial" w:eastAsia="Arial" w:hAnsi="Arial" w:cs="Arial"/>
                <w:b/>
                <w:color w:val="000000"/>
              </w:rPr>
              <w:t>IDENTIFIED</w:t>
            </w:r>
          </w:p>
          <w:p w14:paraId="348B6AD8" w14:textId="77777777" w:rsidR="00FC6DFA" w:rsidRDefault="009F1B79">
            <w:pPr>
              <w:rPr>
                <w:rFonts w:ascii="Arial" w:eastAsia="Arial" w:hAnsi="Arial" w:cs="Arial"/>
                <w:color w:val="000000"/>
              </w:rPr>
            </w:pPr>
            <w:r>
              <w:rPr>
                <w:rFonts w:ascii="Arial" w:eastAsia="Arial" w:hAnsi="Arial" w:cs="Arial"/>
                <w:color w:val="000000"/>
              </w:rPr>
              <w:t> </w:t>
            </w:r>
          </w:p>
        </w:tc>
      </w:tr>
      <w:tr w:rsidR="00FC6DFA" w14:paraId="260A2BFC" w14:textId="77777777">
        <w:trPr>
          <w:trHeight w:val="915"/>
        </w:trPr>
        <w:tc>
          <w:tcPr>
            <w:tcW w:w="1740" w:type="dxa"/>
            <w:tcBorders>
              <w:top w:val="single" w:sz="6" w:space="0" w:color="000000"/>
              <w:left w:val="single" w:sz="6" w:space="0" w:color="000000"/>
              <w:bottom w:val="single" w:sz="6" w:space="0" w:color="000000"/>
              <w:right w:val="single" w:sz="6" w:space="0" w:color="000000"/>
            </w:tcBorders>
          </w:tcPr>
          <w:p w14:paraId="7312F6F3" w14:textId="77777777" w:rsidR="00FC6DFA" w:rsidRDefault="009F1B79">
            <w:pPr>
              <w:rPr>
                <w:rFonts w:ascii="Arial" w:eastAsia="Arial" w:hAnsi="Arial" w:cs="Arial"/>
                <w:color w:val="000000"/>
              </w:rPr>
            </w:pPr>
            <w:r>
              <w:rPr>
                <w:rFonts w:ascii="Arial" w:eastAsia="Arial" w:hAnsi="Arial" w:cs="Arial"/>
                <w:b/>
                <w:color w:val="000000"/>
              </w:rPr>
              <w:t>KNOWLEDGE</w:t>
            </w:r>
            <w:r>
              <w:rPr>
                <w:rFonts w:ascii="Arial" w:eastAsia="Arial" w:hAnsi="Arial" w:cs="Arial"/>
                <w:color w:val="000000"/>
              </w:rPr>
              <w:t> </w:t>
            </w:r>
          </w:p>
        </w:tc>
        <w:tc>
          <w:tcPr>
            <w:tcW w:w="855" w:type="dxa"/>
            <w:tcBorders>
              <w:top w:val="single" w:sz="6" w:space="0" w:color="000000"/>
              <w:left w:val="single" w:sz="6" w:space="0" w:color="000000"/>
              <w:bottom w:val="single" w:sz="6" w:space="0" w:color="000000"/>
              <w:right w:val="single" w:sz="6" w:space="0" w:color="000000"/>
            </w:tcBorders>
          </w:tcPr>
          <w:p w14:paraId="33C05A55" w14:textId="0A8786C5" w:rsidR="00FC6DFA" w:rsidRDefault="00FC6DFA">
            <w:pPr>
              <w:rPr>
                <w:rFonts w:ascii="Arial" w:eastAsia="Arial" w:hAnsi="Arial" w:cs="Arial"/>
                <w:color w:val="000000"/>
                <w:sz w:val="20"/>
                <w:szCs w:val="20"/>
              </w:rPr>
            </w:pPr>
          </w:p>
        </w:tc>
        <w:tc>
          <w:tcPr>
            <w:tcW w:w="795" w:type="dxa"/>
            <w:tcBorders>
              <w:top w:val="nil"/>
              <w:left w:val="single" w:sz="6" w:space="0" w:color="000000"/>
              <w:bottom w:val="single" w:sz="6" w:space="0" w:color="000000"/>
              <w:right w:val="single" w:sz="6" w:space="0" w:color="000000"/>
            </w:tcBorders>
          </w:tcPr>
          <w:p w14:paraId="755645A5"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Med </w:t>
            </w:r>
          </w:p>
          <w:p w14:paraId="09BAB1D2"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5-7 </w:t>
            </w:r>
          </w:p>
        </w:tc>
        <w:tc>
          <w:tcPr>
            <w:tcW w:w="840" w:type="dxa"/>
            <w:tcBorders>
              <w:top w:val="nil"/>
              <w:left w:val="single" w:sz="6" w:space="0" w:color="000000"/>
              <w:bottom w:val="single" w:sz="6" w:space="0" w:color="000000"/>
              <w:right w:val="single" w:sz="6" w:space="0" w:color="000000"/>
            </w:tcBorders>
          </w:tcPr>
          <w:p w14:paraId="121E6EC1" w14:textId="0C49F3A2" w:rsidR="00FC6DFA" w:rsidRDefault="00FC6DFA">
            <w:pPr>
              <w:rPr>
                <w:rFonts w:ascii="Arial" w:eastAsia="Arial" w:hAnsi="Arial" w:cs="Arial"/>
                <w:color w:val="000000"/>
                <w:sz w:val="20"/>
                <w:szCs w:val="20"/>
              </w:rPr>
            </w:pPr>
          </w:p>
        </w:tc>
        <w:tc>
          <w:tcPr>
            <w:tcW w:w="705" w:type="dxa"/>
            <w:tcBorders>
              <w:top w:val="single" w:sz="6" w:space="0" w:color="000000"/>
              <w:left w:val="single" w:sz="6" w:space="0" w:color="000000"/>
              <w:bottom w:val="single" w:sz="6" w:space="0" w:color="000000"/>
              <w:right w:val="single" w:sz="6" w:space="0" w:color="000000"/>
            </w:tcBorders>
          </w:tcPr>
          <w:p w14:paraId="6BA00062" w14:textId="01D89125" w:rsidR="00FC6DFA" w:rsidRDefault="00FC6DFA">
            <w:pPr>
              <w:rPr>
                <w:rFonts w:ascii="Arial" w:eastAsia="Arial" w:hAnsi="Arial" w:cs="Arial"/>
                <w:color w:val="000000"/>
                <w:sz w:val="20"/>
                <w:szCs w:val="20"/>
              </w:rPr>
            </w:pPr>
          </w:p>
        </w:tc>
        <w:tc>
          <w:tcPr>
            <w:tcW w:w="855" w:type="dxa"/>
            <w:tcBorders>
              <w:top w:val="nil"/>
              <w:left w:val="single" w:sz="6" w:space="0" w:color="000000"/>
              <w:bottom w:val="single" w:sz="6" w:space="0" w:color="000000"/>
              <w:right w:val="single" w:sz="6" w:space="0" w:color="000000"/>
            </w:tcBorders>
          </w:tcPr>
          <w:p w14:paraId="31587DA3" w14:textId="0C144CF2" w:rsidR="00FC6DFA" w:rsidRDefault="00FC6DFA">
            <w:pPr>
              <w:rPr>
                <w:rFonts w:ascii="Arial" w:eastAsia="Arial" w:hAnsi="Arial" w:cs="Arial"/>
                <w:color w:val="000000"/>
                <w:sz w:val="20"/>
                <w:szCs w:val="20"/>
              </w:rPr>
            </w:pPr>
          </w:p>
        </w:tc>
        <w:tc>
          <w:tcPr>
            <w:tcW w:w="765" w:type="dxa"/>
            <w:tcBorders>
              <w:top w:val="nil"/>
              <w:left w:val="single" w:sz="6" w:space="0" w:color="000000"/>
              <w:bottom w:val="single" w:sz="6" w:space="0" w:color="000000"/>
              <w:right w:val="single" w:sz="6" w:space="0" w:color="000000"/>
            </w:tcBorders>
          </w:tcPr>
          <w:p w14:paraId="2AD89289"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High </w:t>
            </w:r>
          </w:p>
          <w:p w14:paraId="517A4DB6"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8-10 </w:t>
            </w:r>
          </w:p>
        </w:tc>
        <w:tc>
          <w:tcPr>
            <w:tcW w:w="2325" w:type="dxa"/>
            <w:tcBorders>
              <w:top w:val="single" w:sz="6" w:space="0" w:color="000000"/>
              <w:left w:val="single" w:sz="6" w:space="0" w:color="000000"/>
              <w:bottom w:val="single" w:sz="6" w:space="0" w:color="000000"/>
              <w:right w:val="single" w:sz="6" w:space="0" w:color="000000"/>
            </w:tcBorders>
          </w:tcPr>
          <w:p w14:paraId="5C0424F1" w14:textId="71719533" w:rsidR="00FC6DFA" w:rsidRDefault="009F1B79">
            <w:pPr>
              <w:rPr>
                <w:rFonts w:ascii="Arial" w:eastAsia="Arial" w:hAnsi="Arial" w:cs="Arial"/>
                <w:color w:val="000000"/>
              </w:rPr>
            </w:pPr>
            <w:r>
              <w:rPr>
                <w:rFonts w:ascii="Arial" w:eastAsia="Arial" w:hAnsi="Arial" w:cs="Arial"/>
                <w:color w:val="000000"/>
              </w:rPr>
              <w:t> </w:t>
            </w:r>
            <w:r w:rsidR="00AD19F1">
              <w:rPr>
                <w:rFonts w:ascii="Arial" w:eastAsia="Arial" w:hAnsi="Arial" w:cs="Arial"/>
                <w:color w:val="000000"/>
              </w:rPr>
              <w:t>Transitioning from a tier 3 interviewer to a tier 5 interview advisor, I need to deeply study the College of Policing APP for interview strategy and advanced psychological models as discussed, enabling me to advise Senior Investigating Officers (SIOs) on complex and multi-handed investigations</w:t>
            </w:r>
          </w:p>
        </w:tc>
      </w:tr>
      <w:tr w:rsidR="00FC6DFA" w14:paraId="2F57AAB6" w14:textId="77777777">
        <w:trPr>
          <w:trHeight w:val="1095"/>
        </w:trPr>
        <w:tc>
          <w:tcPr>
            <w:tcW w:w="1740" w:type="dxa"/>
            <w:tcBorders>
              <w:top w:val="single" w:sz="6" w:space="0" w:color="000000"/>
              <w:left w:val="single" w:sz="6" w:space="0" w:color="000000"/>
              <w:bottom w:val="single" w:sz="6" w:space="0" w:color="000000"/>
              <w:right w:val="single" w:sz="6" w:space="0" w:color="000000"/>
            </w:tcBorders>
          </w:tcPr>
          <w:p w14:paraId="6F4634BE" w14:textId="77777777" w:rsidR="00FC6DFA" w:rsidRDefault="009F1B79">
            <w:pPr>
              <w:rPr>
                <w:rFonts w:ascii="Arial" w:eastAsia="Arial" w:hAnsi="Arial" w:cs="Arial"/>
                <w:color w:val="000000"/>
              </w:rPr>
            </w:pPr>
            <w:r>
              <w:rPr>
                <w:rFonts w:ascii="Arial" w:eastAsia="Arial" w:hAnsi="Arial" w:cs="Arial"/>
                <w:b/>
                <w:color w:val="000000"/>
              </w:rPr>
              <w:t>SKILLS </w:t>
            </w:r>
          </w:p>
          <w:p w14:paraId="736240D3" w14:textId="77777777" w:rsidR="00FC6DFA" w:rsidRDefault="00FC6DFA">
            <w:pPr>
              <w:rPr>
                <w:rFonts w:ascii="Arial" w:eastAsia="Arial" w:hAnsi="Arial" w:cs="Arial"/>
                <w:b/>
                <w:color w:val="000000"/>
              </w:rPr>
            </w:pPr>
          </w:p>
        </w:tc>
        <w:tc>
          <w:tcPr>
            <w:tcW w:w="855" w:type="dxa"/>
            <w:tcBorders>
              <w:top w:val="single" w:sz="6" w:space="0" w:color="000000"/>
              <w:left w:val="single" w:sz="6" w:space="0" w:color="000000"/>
              <w:bottom w:val="single" w:sz="6" w:space="0" w:color="000000"/>
              <w:right w:val="single" w:sz="6" w:space="0" w:color="000000"/>
            </w:tcBorders>
          </w:tcPr>
          <w:p w14:paraId="7AEACCEC" w14:textId="4945261A" w:rsidR="00FC6DFA" w:rsidRDefault="00FC6DFA">
            <w:pPr>
              <w:rPr>
                <w:rFonts w:ascii="Arial" w:eastAsia="Arial" w:hAnsi="Arial" w:cs="Arial"/>
                <w:color w:val="000000"/>
                <w:sz w:val="20"/>
                <w:szCs w:val="20"/>
              </w:rPr>
            </w:pPr>
          </w:p>
        </w:tc>
        <w:tc>
          <w:tcPr>
            <w:tcW w:w="795" w:type="dxa"/>
            <w:tcBorders>
              <w:top w:val="single" w:sz="6" w:space="0" w:color="000000"/>
              <w:left w:val="single" w:sz="6" w:space="0" w:color="000000"/>
              <w:bottom w:val="single" w:sz="6" w:space="0" w:color="000000"/>
              <w:right w:val="single" w:sz="6" w:space="0" w:color="000000"/>
            </w:tcBorders>
          </w:tcPr>
          <w:p w14:paraId="1CC480C2"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Med </w:t>
            </w:r>
          </w:p>
          <w:p w14:paraId="398C523E"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5-7 </w:t>
            </w:r>
          </w:p>
        </w:tc>
        <w:tc>
          <w:tcPr>
            <w:tcW w:w="840" w:type="dxa"/>
            <w:tcBorders>
              <w:top w:val="single" w:sz="6" w:space="0" w:color="000000"/>
              <w:left w:val="single" w:sz="6" w:space="0" w:color="000000"/>
              <w:bottom w:val="single" w:sz="6" w:space="0" w:color="000000"/>
              <w:right w:val="single" w:sz="6" w:space="0" w:color="000000"/>
            </w:tcBorders>
          </w:tcPr>
          <w:p w14:paraId="2EC47386" w14:textId="7CD3802B" w:rsidR="00FC6DFA" w:rsidRDefault="00FC6DFA">
            <w:pPr>
              <w:rPr>
                <w:rFonts w:ascii="Arial" w:eastAsia="Arial" w:hAnsi="Arial" w:cs="Arial"/>
                <w:color w:val="000000"/>
                <w:sz w:val="20"/>
                <w:szCs w:val="20"/>
              </w:rPr>
            </w:pPr>
          </w:p>
        </w:tc>
        <w:tc>
          <w:tcPr>
            <w:tcW w:w="705" w:type="dxa"/>
            <w:tcBorders>
              <w:top w:val="single" w:sz="6" w:space="0" w:color="000000"/>
              <w:left w:val="single" w:sz="6" w:space="0" w:color="000000"/>
              <w:bottom w:val="single" w:sz="6" w:space="0" w:color="000000"/>
              <w:right w:val="single" w:sz="6" w:space="0" w:color="000000"/>
            </w:tcBorders>
          </w:tcPr>
          <w:p w14:paraId="63888F6A" w14:textId="58E8F1D2" w:rsidR="00FC6DFA" w:rsidRDefault="00FC6DFA">
            <w:pPr>
              <w:rPr>
                <w:rFonts w:ascii="Arial" w:eastAsia="Arial" w:hAnsi="Arial" w:cs="Arial"/>
                <w:color w:val="000000"/>
                <w:sz w:val="20"/>
                <w:szCs w:val="20"/>
              </w:rPr>
            </w:pPr>
          </w:p>
        </w:tc>
        <w:tc>
          <w:tcPr>
            <w:tcW w:w="855" w:type="dxa"/>
            <w:tcBorders>
              <w:top w:val="single" w:sz="6" w:space="0" w:color="000000"/>
              <w:left w:val="single" w:sz="6" w:space="0" w:color="000000"/>
              <w:bottom w:val="single" w:sz="6" w:space="0" w:color="000000"/>
              <w:right w:val="single" w:sz="6" w:space="0" w:color="000000"/>
            </w:tcBorders>
          </w:tcPr>
          <w:p w14:paraId="646B3667" w14:textId="7B91FD65" w:rsidR="00FC6DFA" w:rsidRDefault="00FC6DFA">
            <w:pPr>
              <w:rPr>
                <w:rFonts w:ascii="Arial" w:eastAsia="Arial" w:hAnsi="Arial" w:cs="Arial"/>
                <w:color w:val="000000"/>
                <w:sz w:val="20"/>
                <w:szCs w:val="20"/>
              </w:rPr>
            </w:pPr>
          </w:p>
        </w:tc>
        <w:tc>
          <w:tcPr>
            <w:tcW w:w="765" w:type="dxa"/>
            <w:tcBorders>
              <w:top w:val="single" w:sz="6" w:space="0" w:color="000000"/>
              <w:left w:val="single" w:sz="6" w:space="0" w:color="000000"/>
              <w:bottom w:val="single" w:sz="6" w:space="0" w:color="000000"/>
              <w:right w:val="single" w:sz="6" w:space="0" w:color="000000"/>
            </w:tcBorders>
          </w:tcPr>
          <w:p w14:paraId="0012FDD1"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High </w:t>
            </w:r>
          </w:p>
          <w:p w14:paraId="739FD9B8"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8-10 </w:t>
            </w:r>
          </w:p>
        </w:tc>
        <w:tc>
          <w:tcPr>
            <w:tcW w:w="2325" w:type="dxa"/>
            <w:tcBorders>
              <w:top w:val="single" w:sz="6" w:space="0" w:color="000000"/>
              <w:left w:val="single" w:sz="6" w:space="0" w:color="000000"/>
              <w:bottom w:val="single" w:sz="6" w:space="0" w:color="000000"/>
              <w:right w:val="single" w:sz="6" w:space="0" w:color="000000"/>
            </w:tcBorders>
          </w:tcPr>
          <w:p w14:paraId="56705AC9" w14:textId="4E47453A" w:rsidR="00FC6DFA" w:rsidRDefault="009F1B79">
            <w:pPr>
              <w:rPr>
                <w:rFonts w:ascii="Arial" w:eastAsia="Arial" w:hAnsi="Arial" w:cs="Arial"/>
                <w:color w:val="000000"/>
              </w:rPr>
            </w:pPr>
            <w:r>
              <w:rPr>
                <w:rFonts w:ascii="Arial" w:eastAsia="Arial" w:hAnsi="Arial" w:cs="Arial"/>
                <w:color w:val="000000"/>
              </w:rPr>
              <w:t> </w:t>
            </w:r>
            <w:r w:rsidR="006B04C9">
              <w:rPr>
                <w:rFonts w:ascii="Arial" w:eastAsia="Arial" w:hAnsi="Arial" w:cs="Arial"/>
                <w:color w:val="000000"/>
              </w:rPr>
              <w:t xml:space="preserve">Focusing on this shift from personally interviewing to being the adviser, I need to develop the skill of writing interview </w:t>
            </w:r>
            <w:r w:rsidR="006B04C9">
              <w:rPr>
                <w:rFonts w:ascii="Arial" w:eastAsia="Arial" w:hAnsi="Arial" w:cs="Arial"/>
                <w:color w:val="000000"/>
              </w:rPr>
              <w:lastRenderedPageBreak/>
              <w:t xml:space="preserve">strategies and critically evaluating the interview plans of interviewing officers, providing constructive feedback. </w:t>
            </w:r>
          </w:p>
        </w:tc>
      </w:tr>
      <w:tr w:rsidR="00FC6DFA" w14:paraId="66E21F24" w14:textId="77777777">
        <w:tc>
          <w:tcPr>
            <w:tcW w:w="1740" w:type="dxa"/>
            <w:tcBorders>
              <w:top w:val="single" w:sz="6" w:space="0" w:color="000000"/>
              <w:left w:val="single" w:sz="6" w:space="0" w:color="000000"/>
              <w:bottom w:val="single" w:sz="6" w:space="0" w:color="000000"/>
              <w:right w:val="single" w:sz="6" w:space="0" w:color="000000"/>
            </w:tcBorders>
          </w:tcPr>
          <w:p w14:paraId="513CCBDA" w14:textId="77777777" w:rsidR="00FC6DFA" w:rsidRDefault="009F1B79">
            <w:pPr>
              <w:rPr>
                <w:rFonts w:ascii="Arial" w:eastAsia="Arial" w:hAnsi="Arial" w:cs="Arial"/>
                <w:color w:val="000000"/>
              </w:rPr>
            </w:pPr>
            <w:r>
              <w:rPr>
                <w:rFonts w:ascii="Arial" w:eastAsia="Arial" w:hAnsi="Arial" w:cs="Arial"/>
                <w:b/>
                <w:color w:val="000000"/>
              </w:rPr>
              <w:lastRenderedPageBreak/>
              <w:t>EXPERIENCE </w:t>
            </w:r>
          </w:p>
          <w:p w14:paraId="24654BD4" w14:textId="77777777" w:rsidR="00FC6DFA" w:rsidRDefault="00FC6DFA">
            <w:pPr>
              <w:rPr>
                <w:rFonts w:ascii="Arial" w:eastAsia="Arial" w:hAnsi="Arial" w:cs="Arial"/>
                <w:b/>
                <w:color w:val="000000"/>
              </w:rPr>
            </w:pPr>
          </w:p>
          <w:p w14:paraId="5D1AD17D" w14:textId="77777777" w:rsidR="00FC6DFA" w:rsidRDefault="00FC6DFA">
            <w:pPr>
              <w:rPr>
                <w:rFonts w:ascii="Arial" w:eastAsia="Arial" w:hAnsi="Arial" w:cs="Arial"/>
                <w:color w:val="000000"/>
              </w:rPr>
            </w:pPr>
          </w:p>
        </w:tc>
        <w:tc>
          <w:tcPr>
            <w:tcW w:w="855" w:type="dxa"/>
            <w:tcBorders>
              <w:top w:val="single" w:sz="6" w:space="0" w:color="000000"/>
              <w:left w:val="single" w:sz="6" w:space="0" w:color="000000"/>
              <w:bottom w:val="single" w:sz="6" w:space="0" w:color="000000"/>
              <w:right w:val="single" w:sz="6" w:space="0" w:color="000000"/>
            </w:tcBorders>
          </w:tcPr>
          <w:p w14:paraId="7FBA2CDC" w14:textId="2C2663CE" w:rsidR="00FC6DFA" w:rsidRDefault="00FC6DFA">
            <w:pPr>
              <w:rPr>
                <w:rFonts w:ascii="Arial" w:eastAsia="Arial" w:hAnsi="Arial" w:cs="Arial"/>
                <w:color w:val="000000"/>
                <w:sz w:val="20"/>
                <w:szCs w:val="20"/>
              </w:rPr>
            </w:pPr>
          </w:p>
        </w:tc>
        <w:tc>
          <w:tcPr>
            <w:tcW w:w="795" w:type="dxa"/>
            <w:tcBorders>
              <w:top w:val="single" w:sz="6" w:space="0" w:color="000000"/>
              <w:left w:val="single" w:sz="6" w:space="0" w:color="000000"/>
              <w:bottom w:val="single" w:sz="6" w:space="0" w:color="000000"/>
              <w:right w:val="single" w:sz="6" w:space="0" w:color="000000"/>
            </w:tcBorders>
          </w:tcPr>
          <w:p w14:paraId="5DBBBBAE" w14:textId="57CF9B25" w:rsidR="00FC6DFA" w:rsidRDefault="00FC6DFA">
            <w:pPr>
              <w:rPr>
                <w:rFonts w:ascii="Arial" w:eastAsia="Arial" w:hAnsi="Arial" w:cs="Arial"/>
                <w:color w:val="000000"/>
                <w:sz w:val="20"/>
                <w:szCs w:val="20"/>
              </w:rPr>
            </w:pPr>
          </w:p>
        </w:tc>
        <w:tc>
          <w:tcPr>
            <w:tcW w:w="840" w:type="dxa"/>
            <w:tcBorders>
              <w:top w:val="single" w:sz="6" w:space="0" w:color="000000"/>
              <w:left w:val="single" w:sz="6" w:space="0" w:color="000000"/>
              <w:bottom w:val="single" w:sz="6" w:space="0" w:color="000000"/>
              <w:right w:val="single" w:sz="6" w:space="0" w:color="000000"/>
            </w:tcBorders>
          </w:tcPr>
          <w:p w14:paraId="061BED10"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High </w:t>
            </w:r>
          </w:p>
          <w:p w14:paraId="78623309"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8-10 </w:t>
            </w:r>
          </w:p>
        </w:tc>
        <w:tc>
          <w:tcPr>
            <w:tcW w:w="705" w:type="dxa"/>
            <w:tcBorders>
              <w:top w:val="single" w:sz="6" w:space="0" w:color="000000"/>
              <w:left w:val="single" w:sz="6" w:space="0" w:color="000000"/>
              <w:bottom w:val="single" w:sz="6" w:space="0" w:color="000000"/>
              <w:right w:val="single" w:sz="6" w:space="0" w:color="000000"/>
            </w:tcBorders>
          </w:tcPr>
          <w:p w14:paraId="2004CDE2" w14:textId="527FB4F4" w:rsidR="00FC6DFA" w:rsidRDefault="00FC6DFA">
            <w:pPr>
              <w:rPr>
                <w:rFonts w:ascii="Arial" w:eastAsia="Arial" w:hAnsi="Arial" w:cs="Arial"/>
                <w:color w:val="000000"/>
                <w:sz w:val="20"/>
                <w:szCs w:val="20"/>
              </w:rPr>
            </w:pPr>
          </w:p>
        </w:tc>
        <w:tc>
          <w:tcPr>
            <w:tcW w:w="855" w:type="dxa"/>
            <w:tcBorders>
              <w:top w:val="single" w:sz="6" w:space="0" w:color="000000"/>
              <w:left w:val="single" w:sz="6" w:space="0" w:color="000000"/>
              <w:bottom w:val="single" w:sz="6" w:space="0" w:color="000000"/>
              <w:right w:val="single" w:sz="6" w:space="0" w:color="000000"/>
            </w:tcBorders>
          </w:tcPr>
          <w:p w14:paraId="0B438CCE" w14:textId="084DDEAB" w:rsidR="00FC6DFA" w:rsidRDefault="00FC6DFA">
            <w:pPr>
              <w:rPr>
                <w:rFonts w:ascii="Arial" w:eastAsia="Arial" w:hAnsi="Arial" w:cs="Arial"/>
                <w:color w:val="000000"/>
                <w:sz w:val="20"/>
                <w:szCs w:val="20"/>
              </w:rPr>
            </w:pPr>
          </w:p>
        </w:tc>
        <w:tc>
          <w:tcPr>
            <w:tcW w:w="765" w:type="dxa"/>
            <w:tcBorders>
              <w:top w:val="single" w:sz="6" w:space="0" w:color="000000"/>
              <w:left w:val="single" w:sz="6" w:space="0" w:color="000000"/>
              <w:bottom w:val="single" w:sz="6" w:space="0" w:color="000000"/>
              <w:right w:val="single" w:sz="6" w:space="0" w:color="000000"/>
            </w:tcBorders>
          </w:tcPr>
          <w:p w14:paraId="397D78A7"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High </w:t>
            </w:r>
          </w:p>
          <w:p w14:paraId="1D8A72E4"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8-10 </w:t>
            </w:r>
          </w:p>
        </w:tc>
        <w:tc>
          <w:tcPr>
            <w:tcW w:w="2325" w:type="dxa"/>
            <w:tcBorders>
              <w:top w:val="single" w:sz="6" w:space="0" w:color="000000"/>
              <w:left w:val="single" w:sz="6" w:space="0" w:color="000000"/>
              <w:bottom w:val="single" w:sz="6" w:space="0" w:color="000000"/>
              <w:right w:val="single" w:sz="6" w:space="0" w:color="000000"/>
            </w:tcBorders>
          </w:tcPr>
          <w:p w14:paraId="63664E99" w14:textId="749F6E80" w:rsidR="00FC6DFA" w:rsidRDefault="009F1B79">
            <w:pPr>
              <w:rPr>
                <w:rFonts w:ascii="Arial" w:eastAsia="Arial" w:hAnsi="Arial" w:cs="Arial"/>
                <w:color w:val="000000"/>
              </w:rPr>
            </w:pPr>
            <w:r>
              <w:rPr>
                <w:rFonts w:ascii="Arial" w:eastAsia="Arial" w:hAnsi="Arial" w:cs="Arial"/>
                <w:color w:val="000000"/>
              </w:rPr>
              <w:t> </w:t>
            </w:r>
            <w:r w:rsidR="00B61699">
              <w:rPr>
                <w:rFonts w:ascii="Arial" w:eastAsia="Arial" w:hAnsi="Arial" w:cs="Arial"/>
                <w:color w:val="000000"/>
              </w:rPr>
              <w:t xml:space="preserve">Whilst already experienced as a tier 3 interviewer, I lack experience in the interview advisor role. I have applied this training on 2 murders however I would benefit from further exposure and also the chance to shadow another, more experienced advisor. </w:t>
            </w:r>
          </w:p>
        </w:tc>
      </w:tr>
      <w:bookmarkEnd w:id="13"/>
    </w:tbl>
    <w:p w14:paraId="0BD1A6EF" w14:textId="77777777" w:rsidR="00FC6DFA" w:rsidRDefault="00FC6DFA">
      <w:pPr>
        <w:spacing w:before="240" w:after="60"/>
        <w:rPr>
          <w:rFonts w:ascii="Arial" w:eastAsia="Arial" w:hAnsi="Arial" w:cs="Arial"/>
          <w:b/>
          <w:sz w:val="28"/>
          <w:szCs w:val="28"/>
        </w:rPr>
      </w:pPr>
    </w:p>
    <w:p w14:paraId="04FDE629" w14:textId="77777777" w:rsidR="00FC6DFA" w:rsidRDefault="00FC6DFA">
      <w:pPr>
        <w:rPr>
          <w:rFonts w:ascii="Arial" w:eastAsia="Arial" w:hAnsi="Arial" w:cs="Arial"/>
          <w:b/>
          <w:sz w:val="28"/>
          <w:szCs w:val="28"/>
        </w:rPr>
      </w:pPr>
    </w:p>
    <w:p w14:paraId="1B736360" w14:textId="77777777" w:rsidR="00FC6DFA" w:rsidRDefault="00FC6DFA">
      <w:pPr>
        <w:rPr>
          <w:rFonts w:ascii="Arial" w:eastAsia="Arial" w:hAnsi="Arial" w:cs="Arial"/>
          <w:b/>
          <w:sz w:val="28"/>
          <w:szCs w:val="28"/>
        </w:rPr>
      </w:pPr>
    </w:p>
    <w:p w14:paraId="72B110D5" w14:textId="77777777" w:rsidR="00CD5F95" w:rsidRDefault="00CD5F95">
      <w:pPr>
        <w:spacing w:before="240" w:after="60"/>
        <w:ind w:right="237"/>
        <w:jc w:val="both"/>
        <w:rPr>
          <w:rFonts w:ascii="Arial" w:eastAsia="Arial" w:hAnsi="Arial" w:cs="Arial"/>
          <w:b/>
          <w:color w:val="000000"/>
          <w:sz w:val="24"/>
          <w:szCs w:val="24"/>
        </w:rPr>
      </w:pPr>
    </w:p>
    <w:p w14:paraId="57C8EB58" w14:textId="603F2D13" w:rsidR="00FC6DFA" w:rsidRDefault="009F1B79">
      <w:pPr>
        <w:spacing w:before="240" w:after="60"/>
        <w:ind w:right="237"/>
        <w:jc w:val="both"/>
        <w:rPr>
          <w:rFonts w:ascii="Arial" w:eastAsia="Arial" w:hAnsi="Arial" w:cs="Arial"/>
          <w:color w:val="000000"/>
          <w:sz w:val="24"/>
          <w:szCs w:val="24"/>
        </w:rPr>
      </w:pPr>
      <w:r>
        <w:rPr>
          <w:rFonts w:ascii="Arial" w:eastAsia="Arial" w:hAnsi="Arial" w:cs="Arial"/>
          <w:b/>
          <w:color w:val="000000"/>
          <w:sz w:val="24"/>
          <w:szCs w:val="24"/>
        </w:rPr>
        <w:t>6. Reference List</w:t>
      </w:r>
    </w:p>
    <w:p w14:paraId="51F9747F" w14:textId="77777777" w:rsidR="00FC6DFA" w:rsidRDefault="009F1B79">
      <w:pPr>
        <w:spacing w:before="240" w:after="60"/>
        <w:ind w:right="237"/>
        <w:jc w:val="both"/>
        <w:rPr>
          <w:rFonts w:ascii="Arial" w:eastAsia="Arial" w:hAnsi="Arial" w:cs="Arial"/>
          <w:color w:val="000000"/>
          <w:sz w:val="24"/>
          <w:szCs w:val="24"/>
        </w:rPr>
      </w:pPr>
      <w:r>
        <w:rPr>
          <w:rFonts w:ascii="Arial" w:eastAsia="Arial" w:hAnsi="Arial" w:cs="Arial"/>
          <w:color w:val="000000"/>
          <w:sz w:val="24"/>
          <w:szCs w:val="24"/>
        </w:rPr>
        <w:t>The reference list should only include sources referenced within the workbook using the Harvard referencing system. Information about referencing in written assignments and how to avoid plagiarism can be found on Moodle and will be provided within your lesson. It is important that you are aware of the importance of ensuring that the work submitted is your original work.</w:t>
      </w:r>
    </w:p>
    <w:p w14:paraId="69F70AB2" w14:textId="77777777" w:rsidR="00FC6DFA" w:rsidRDefault="009F1B79">
      <w:pPr>
        <w:spacing w:before="240" w:after="60"/>
        <w:ind w:right="237"/>
        <w:jc w:val="both"/>
        <w:rPr>
          <w:rFonts w:ascii="Arial" w:eastAsia="Arial" w:hAnsi="Arial" w:cs="Arial"/>
          <w:color w:val="000000"/>
          <w:sz w:val="24"/>
          <w:szCs w:val="24"/>
        </w:rPr>
      </w:pPr>
      <w:r>
        <w:rPr>
          <w:rFonts w:ascii="Arial" w:eastAsia="Arial" w:hAnsi="Arial" w:cs="Arial"/>
          <w:color w:val="000000"/>
          <w:sz w:val="24"/>
          <w:szCs w:val="24"/>
        </w:rPr>
        <w:t>If you are unsure, it is important that you seek guidance. A copy of the UWTSD Harvard guidebook can be found at:</w:t>
      </w:r>
    </w:p>
    <w:p w14:paraId="45623158" w14:textId="77777777" w:rsidR="00FC6DFA" w:rsidRDefault="009F1B79">
      <w:pPr>
        <w:spacing w:before="240" w:after="60"/>
        <w:ind w:right="237"/>
        <w:jc w:val="both"/>
        <w:rPr>
          <w:rFonts w:ascii="Arial" w:eastAsia="Arial" w:hAnsi="Arial" w:cs="Arial"/>
          <w:sz w:val="24"/>
          <w:szCs w:val="24"/>
        </w:rPr>
      </w:pPr>
      <w:hyperlink r:id="rId10">
        <w:r>
          <w:rPr>
            <w:rFonts w:ascii="Arial" w:eastAsia="Arial" w:hAnsi="Arial" w:cs="Arial"/>
            <w:color w:val="0563C1"/>
            <w:sz w:val="24"/>
            <w:szCs w:val="24"/>
            <w:u w:val="single"/>
          </w:rPr>
          <w:t>https://intranet.uwtsd.ac.uk/sites/intranet/files/2023-10/Harvard%20en_v.1.3%20%28V6%29.pdf</w:t>
        </w:r>
      </w:hyperlink>
    </w:p>
    <w:p w14:paraId="630BDF46" w14:textId="77777777" w:rsidR="00FC6DFA" w:rsidRDefault="009F1B79">
      <w:pPr>
        <w:spacing w:before="240" w:after="60"/>
        <w:ind w:right="237"/>
        <w:jc w:val="both"/>
        <w:rPr>
          <w:rFonts w:ascii="Arial" w:eastAsia="Arial" w:hAnsi="Arial" w:cs="Arial"/>
          <w:color w:val="000000"/>
          <w:sz w:val="24"/>
          <w:szCs w:val="24"/>
        </w:rPr>
      </w:pPr>
      <w:r>
        <w:rPr>
          <w:rFonts w:ascii="Arial" w:eastAsia="Arial" w:hAnsi="Arial" w:cs="Arial"/>
          <w:color w:val="000000"/>
          <w:sz w:val="24"/>
          <w:szCs w:val="24"/>
        </w:rPr>
        <w:t>A copy is also available on Moodle.</w:t>
      </w:r>
    </w:p>
    <w:p w14:paraId="59816642" w14:textId="77777777" w:rsidR="00FC6DFA" w:rsidRDefault="00FC6DFA">
      <w:pPr>
        <w:spacing w:before="240" w:after="60"/>
        <w:ind w:right="237"/>
        <w:jc w:val="both"/>
        <w:rPr>
          <w:rFonts w:ascii="Arial" w:eastAsia="Arial" w:hAnsi="Arial" w:cs="Arial"/>
          <w:color w:val="000000"/>
          <w:sz w:val="24"/>
          <w:szCs w:val="24"/>
        </w:rPr>
      </w:pPr>
    </w:p>
    <w:sdt>
      <w:sdtPr>
        <w:rPr>
          <w:b w:val="0"/>
          <w:sz w:val="22"/>
          <w:szCs w:val="22"/>
        </w:rPr>
        <w:id w:val="1853213722"/>
        <w:docPartObj>
          <w:docPartGallery w:val="Bibliographies"/>
          <w:docPartUnique/>
        </w:docPartObj>
      </w:sdtPr>
      <w:sdtEndPr/>
      <w:sdtContent>
        <w:p w14:paraId="52F25887" w14:textId="77777777" w:rsidR="005E53FB" w:rsidRDefault="005E53FB" w:rsidP="005E53FB">
          <w:pPr>
            <w:pStyle w:val="Heading1"/>
          </w:pPr>
          <w:r>
            <w:t>Bibliography</w:t>
          </w:r>
        </w:p>
        <w:sdt>
          <w:sdtPr>
            <w:rPr>
              <w:rFonts w:ascii="Calibri" w:eastAsia="Calibri" w:hAnsi="Calibri" w:cs="Calibri"/>
              <w:kern w:val="0"/>
              <w:lang w:eastAsia="zh-CN"/>
              <w14:ligatures w14:val="none"/>
            </w:rPr>
            <w:id w:val="111145805"/>
            <w:bibliography/>
          </w:sdtPr>
          <w:sdtEndPr/>
          <w:sdtContent>
            <w:p w14:paraId="363B035E" w14:textId="77777777" w:rsidR="005E53FB" w:rsidRDefault="005E53FB" w:rsidP="005E53FB">
              <w:pPr>
                <w:pStyle w:val="Bibliography"/>
                <w:rPr>
                  <w:noProof/>
                  <w:kern w:val="0"/>
                  <w:sz w:val="24"/>
                  <w:szCs w:val="24"/>
                  <w14:ligatures w14:val="none"/>
                </w:rPr>
              </w:pPr>
              <w:r>
                <w:fldChar w:fldCharType="begin"/>
              </w:r>
              <w:r>
                <w:instrText>BIBLIOGRAPHY</w:instrText>
              </w:r>
              <w:r>
                <w:fldChar w:fldCharType="separate"/>
              </w:r>
              <w:r>
                <w:rPr>
                  <w:noProof/>
                </w:rPr>
                <w:t xml:space="preserve">Alison, L. et al., 2013. Why tough tactics fail and rapport gets results: Observing rapport based interpersonal techniques (ORBIT) to generate useful information from terrorists. </w:t>
              </w:r>
              <w:r>
                <w:rPr>
                  <w:i/>
                  <w:iCs/>
                  <w:noProof/>
                </w:rPr>
                <w:t xml:space="preserve">Psychology, Public Policy and Law, </w:t>
              </w:r>
              <w:r>
                <w:rPr>
                  <w:noProof/>
                </w:rPr>
                <w:t>19(4), pp. 411-431.</w:t>
              </w:r>
            </w:p>
            <w:p w14:paraId="10FCFC33" w14:textId="77777777" w:rsidR="005E53FB" w:rsidRDefault="005E53FB" w:rsidP="005E53FB">
              <w:pPr>
                <w:pStyle w:val="Bibliography"/>
                <w:rPr>
                  <w:noProof/>
                </w:rPr>
              </w:pPr>
              <w:r>
                <w:rPr>
                  <w:noProof/>
                </w:rPr>
                <w:t xml:space="preserve">Attorney Gerneral's Office, 2024. </w:t>
              </w:r>
              <w:r>
                <w:rPr>
                  <w:i/>
                  <w:iCs/>
                  <w:noProof/>
                </w:rPr>
                <w:t xml:space="preserve">Attorney General's Guidlines on Disclosure 2024. </w:t>
              </w:r>
              <w:r>
                <w:rPr>
                  <w:noProof/>
                </w:rPr>
                <w:t xml:space="preserve">[Online] </w:t>
              </w:r>
              <w:r>
                <w:rPr>
                  <w:noProof/>
                </w:rPr>
                <w:br/>
                <w:t xml:space="preserve">Available at: </w:t>
              </w:r>
              <w:r>
                <w:rPr>
                  <w:noProof/>
                  <w:u w:val="single"/>
                </w:rPr>
                <w:t>https://assets.publishing.service.gov.uk/media/65e1ab9d2f2b3b00117cd803/Attorney_General_s_Guidelines_on_Disclosure_-_2024.pdf</w:t>
              </w:r>
              <w:r>
                <w:rPr>
                  <w:noProof/>
                </w:rPr>
                <w:br/>
                <w:t>[Accessed 29 April 2026].</w:t>
              </w:r>
            </w:p>
            <w:p w14:paraId="5463FC34" w14:textId="77777777" w:rsidR="005E53FB" w:rsidRDefault="005E53FB" w:rsidP="005E53FB">
              <w:pPr>
                <w:pStyle w:val="Bibliography"/>
                <w:rPr>
                  <w:noProof/>
                </w:rPr>
              </w:pPr>
              <w:r>
                <w:rPr>
                  <w:noProof/>
                </w:rPr>
                <w:t xml:space="preserve">Barlow, C., Johnson, K., Walklate, S. &amp; Humphreys, L., 2020. Putting Coercive Control into Practice: Problems and Possibilities. </w:t>
              </w:r>
              <w:r>
                <w:rPr>
                  <w:i/>
                  <w:iCs/>
                  <w:noProof/>
                </w:rPr>
                <w:t xml:space="preserve">The British Journal of Criminology, </w:t>
              </w:r>
              <w:r>
                <w:rPr>
                  <w:noProof/>
                </w:rPr>
                <w:t>60(1), pp. 160-180.</w:t>
              </w:r>
            </w:p>
            <w:p w14:paraId="1ACF4244" w14:textId="77777777" w:rsidR="005E53FB" w:rsidRDefault="005E53FB" w:rsidP="005E53FB">
              <w:pPr>
                <w:pStyle w:val="Bibliography"/>
                <w:rPr>
                  <w:noProof/>
                </w:rPr>
              </w:pPr>
              <w:r>
                <w:rPr>
                  <w:noProof/>
                </w:rPr>
                <w:t xml:space="preserve">College of Policing, 2014. </w:t>
              </w:r>
              <w:r>
                <w:rPr>
                  <w:i/>
                  <w:iCs/>
                  <w:noProof/>
                </w:rPr>
                <w:t xml:space="preserve">Code of Ethics: A code of practice for the principles and standards of professional behaviour for the policing profession of England and Wales. </w:t>
              </w:r>
              <w:r>
                <w:rPr>
                  <w:noProof/>
                </w:rPr>
                <w:t xml:space="preserve">[Online] </w:t>
              </w:r>
              <w:r>
                <w:rPr>
                  <w:noProof/>
                </w:rPr>
                <w:br/>
                <w:t xml:space="preserve">Available at: </w:t>
              </w:r>
              <w:r>
                <w:rPr>
                  <w:noProof/>
                  <w:u w:val="single"/>
                </w:rPr>
                <w:t>https://assets.publishing.service.gov.uk/media/5a7d867140f0b65084e75b94/Code_of_Ethics_2014_Web_Accessible.pdf</w:t>
              </w:r>
              <w:r>
                <w:rPr>
                  <w:noProof/>
                </w:rPr>
                <w:br/>
                <w:t>[Accessed 26 April 2026].</w:t>
              </w:r>
            </w:p>
            <w:p w14:paraId="1C2DE958" w14:textId="77777777" w:rsidR="005E53FB" w:rsidRDefault="005E53FB" w:rsidP="005E53FB">
              <w:pPr>
                <w:pStyle w:val="Bibliography"/>
                <w:rPr>
                  <w:noProof/>
                </w:rPr>
              </w:pPr>
              <w:r>
                <w:rPr>
                  <w:noProof/>
                </w:rPr>
                <w:t xml:space="preserve">College of Policing, n.d. </w:t>
              </w:r>
              <w:r>
                <w:rPr>
                  <w:i/>
                  <w:iCs/>
                  <w:noProof/>
                </w:rPr>
                <w:t xml:space="preserve">Investigative Interviewing. </w:t>
              </w:r>
              <w:r>
                <w:rPr>
                  <w:noProof/>
                </w:rPr>
                <w:t xml:space="preserve">[Online] </w:t>
              </w:r>
              <w:r>
                <w:rPr>
                  <w:noProof/>
                </w:rPr>
                <w:br/>
                <w:t xml:space="preserve">Available at: </w:t>
              </w:r>
              <w:r>
                <w:rPr>
                  <w:noProof/>
                  <w:u w:val="single"/>
                </w:rPr>
                <w:t>https://www.college.police.uk/app/investigation/investigative-interviewing/investigative-interviewing</w:t>
              </w:r>
              <w:r>
                <w:rPr>
                  <w:noProof/>
                </w:rPr>
                <w:br/>
                <w:t>[Accessed 9 April 2026].</w:t>
              </w:r>
            </w:p>
            <w:p w14:paraId="285DA91D" w14:textId="77777777" w:rsidR="005E53FB" w:rsidRDefault="005E53FB" w:rsidP="005E53FB">
              <w:pPr>
                <w:pStyle w:val="Bibliography"/>
                <w:rPr>
                  <w:noProof/>
                </w:rPr>
              </w:pPr>
              <w:r>
                <w:rPr>
                  <w:noProof/>
                </w:rPr>
                <w:t xml:space="preserve">Crown Prosecution Service, 2020. </w:t>
              </w:r>
              <w:r>
                <w:rPr>
                  <w:i/>
                  <w:iCs/>
                  <w:noProof/>
                </w:rPr>
                <w:t xml:space="preserve">Domestic Abuse Guidelines for Prosecutors. </w:t>
              </w:r>
              <w:r>
                <w:rPr>
                  <w:noProof/>
                </w:rPr>
                <w:t xml:space="preserve">[Online] </w:t>
              </w:r>
              <w:r>
                <w:rPr>
                  <w:noProof/>
                </w:rPr>
                <w:br/>
                <w:t xml:space="preserve">Available at: </w:t>
              </w:r>
              <w:r>
                <w:rPr>
                  <w:noProof/>
                  <w:u w:val="single"/>
                </w:rPr>
                <w:t>https://www.cps.gov.uk/prosecution-guidance/domestic-abuse</w:t>
              </w:r>
              <w:r>
                <w:rPr>
                  <w:noProof/>
                </w:rPr>
                <w:br/>
                <w:t>[Accessed 4 April 2026].</w:t>
              </w:r>
            </w:p>
            <w:p w14:paraId="2C2D96B4" w14:textId="77777777" w:rsidR="005E53FB" w:rsidRDefault="005E53FB" w:rsidP="005E53FB">
              <w:pPr>
                <w:pStyle w:val="Bibliography"/>
                <w:rPr>
                  <w:noProof/>
                </w:rPr>
              </w:pPr>
              <w:r>
                <w:rPr>
                  <w:noProof/>
                </w:rPr>
                <w:t xml:space="preserve">Crown Prosecution Service, n.d. </w:t>
              </w:r>
              <w:r>
                <w:rPr>
                  <w:i/>
                  <w:iCs/>
                  <w:noProof/>
                </w:rPr>
                <w:t xml:space="preserve">Third Party Material. </w:t>
              </w:r>
              <w:r>
                <w:rPr>
                  <w:noProof/>
                </w:rPr>
                <w:t xml:space="preserve">[Online] </w:t>
              </w:r>
              <w:r>
                <w:rPr>
                  <w:noProof/>
                </w:rPr>
                <w:br/>
                <w:t xml:space="preserve">Available at: </w:t>
              </w:r>
              <w:r>
                <w:rPr>
                  <w:noProof/>
                  <w:u w:val="single"/>
                </w:rPr>
                <w:t>https://www.cps.gov.uk/prosecution-guidance/disclosure-manual-chapter-5-reasonable-lines-enquiry-and-third-parties</w:t>
              </w:r>
              <w:r>
                <w:rPr>
                  <w:noProof/>
                </w:rPr>
                <w:br/>
                <w:t>[Accessed 1 May 2026].</w:t>
              </w:r>
            </w:p>
            <w:p w14:paraId="6BFB30B5" w14:textId="77777777" w:rsidR="005E53FB" w:rsidRDefault="005E53FB" w:rsidP="005E53FB">
              <w:pPr>
                <w:pStyle w:val="Bibliography"/>
                <w:rPr>
                  <w:noProof/>
                </w:rPr>
              </w:pPr>
              <w:r>
                <w:rPr>
                  <w:noProof/>
                </w:rPr>
                <w:t xml:space="preserve">Gudjonsson, G., 2003. </w:t>
              </w:r>
              <w:r>
                <w:rPr>
                  <w:i/>
                  <w:iCs/>
                  <w:noProof/>
                </w:rPr>
                <w:t xml:space="preserve">The Psychology of Interrogations and Confessions: A Handbook. </w:t>
              </w:r>
              <w:r>
                <w:rPr>
                  <w:noProof/>
                </w:rPr>
                <w:t>Chichester: John Wiley &amp; Sons.</w:t>
              </w:r>
            </w:p>
            <w:p w14:paraId="1E888E3C" w14:textId="77777777" w:rsidR="005E53FB" w:rsidRDefault="005E53FB" w:rsidP="005E53FB">
              <w:pPr>
                <w:pStyle w:val="Bibliography"/>
                <w:rPr>
                  <w:noProof/>
                </w:rPr>
              </w:pPr>
              <w:r>
                <w:rPr>
                  <w:noProof/>
                </w:rPr>
                <w:t xml:space="preserve">Hartley, M., 2018. </w:t>
              </w:r>
              <w:r>
                <w:rPr>
                  <w:i/>
                  <w:iCs/>
                  <w:noProof/>
                </w:rPr>
                <w:t xml:space="preserve">Blackstone's Police Operational Handbook 2018. </w:t>
              </w:r>
              <w:r>
                <w:rPr>
                  <w:noProof/>
                </w:rPr>
                <w:t>s.l.:Oxford University Press.</w:t>
              </w:r>
            </w:p>
            <w:p w14:paraId="77C55EA6" w14:textId="77777777" w:rsidR="005E53FB" w:rsidRDefault="005E53FB" w:rsidP="005E53FB">
              <w:pPr>
                <w:pStyle w:val="Bibliography"/>
                <w:rPr>
                  <w:noProof/>
                </w:rPr>
              </w:pPr>
              <w:r>
                <w:rPr>
                  <w:noProof/>
                </w:rPr>
                <w:t xml:space="preserve">HM Government , 2021. </w:t>
              </w:r>
              <w:r>
                <w:rPr>
                  <w:i/>
                  <w:iCs/>
                  <w:noProof/>
                </w:rPr>
                <w:t xml:space="preserve">The end to end rape review report on findings and actions, </w:t>
              </w:r>
              <w:r>
                <w:rPr>
                  <w:noProof/>
                </w:rPr>
                <w:t>Londond: Home Office and Ministry of Justice.</w:t>
              </w:r>
            </w:p>
            <w:p w14:paraId="69CCF1C0" w14:textId="77777777" w:rsidR="005E53FB" w:rsidRDefault="005E53FB" w:rsidP="005E53FB">
              <w:pPr>
                <w:pStyle w:val="Bibliography"/>
                <w:rPr>
                  <w:noProof/>
                </w:rPr>
              </w:pPr>
              <w:r>
                <w:rPr>
                  <w:noProof/>
                </w:rPr>
                <w:t xml:space="preserve">HMICFRS, 2018. </w:t>
              </w:r>
              <w:r>
                <w:rPr>
                  <w:i/>
                  <w:iCs/>
                  <w:noProof/>
                </w:rPr>
                <w:t xml:space="preserve">Making it fair, making it work: A joint inspection of the disclosure of unused material in volume and directed cases, </w:t>
              </w:r>
              <w:r>
                <w:rPr>
                  <w:noProof/>
                </w:rPr>
                <w:t>London: HMICFRS.</w:t>
              </w:r>
            </w:p>
            <w:p w14:paraId="76633EDE" w14:textId="77777777" w:rsidR="005E53FB" w:rsidRDefault="005E53FB" w:rsidP="005E53FB">
              <w:pPr>
                <w:pStyle w:val="Bibliography"/>
                <w:rPr>
                  <w:noProof/>
                </w:rPr>
              </w:pPr>
              <w:r>
                <w:rPr>
                  <w:noProof/>
                </w:rPr>
                <w:t xml:space="preserve">HMICFRS, 2021. </w:t>
              </w:r>
              <w:r>
                <w:rPr>
                  <w:i/>
                  <w:iCs/>
                  <w:noProof/>
                </w:rPr>
                <w:t xml:space="preserve">The Digital Divide: A policing inspection of digital forensics, </w:t>
              </w:r>
              <w:r>
                <w:rPr>
                  <w:noProof/>
                </w:rPr>
                <w:t>London: Her Majerty's Inspectorate of Constabulary and Fire and Rescue Services.</w:t>
              </w:r>
            </w:p>
            <w:p w14:paraId="586FCEF8" w14:textId="77777777" w:rsidR="005E53FB" w:rsidRDefault="005E53FB" w:rsidP="005E53FB">
              <w:pPr>
                <w:pStyle w:val="Bibliography"/>
                <w:rPr>
                  <w:noProof/>
                </w:rPr>
              </w:pPr>
              <w:r>
                <w:rPr>
                  <w:noProof/>
                </w:rPr>
                <w:t xml:space="preserve">Home Office, 2003. </w:t>
              </w:r>
              <w:r>
                <w:rPr>
                  <w:i/>
                  <w:iCs/>
                  <w:noProof/>
                </w:rPr>
                <w:t xml:space="preserve">PACE Code C 2003. </w:t>
              </w:r>
              <w:r>
                <w:rPr>
                  <w:noProof/>
                </w:rPr>
                <w:t xml:space="preserve">[Online] </w:t>
              </w:r>
              <w:r>
                <w:rPr>
                  <w:noProof/>
                </w:rPr>
                <w:br/>
                <w:t xml:space="preserve">Available at: </w:t>
              </w:r>
              <w:r>
                <w:rPr>
                  <w:noProof/>
                  <w:u w:val="single"/>
                </w:rPr>
                <w:t>https://assets.publishing.service.gov.uk/media/5f1a8f23d3bf7f5968d37dce/pace-code-</w:t>
              </w:r>
              <w:r>
                <w:rPr>
                  <w:noProof/>
                  <w:u w:val="single"/>
                </w:rPr>
                <w:lastRenderedPageBreak/>
                <w:t>c-2019.pdf</w:t>
              </w:r>
              <w:r>
                <w:rPr>
                  <w:noProof/>
                </w:rPr>
                <w:br/>
                <w:t>[Accessed 14 March 2026].</w:t>
              </w:r>
            </w:p>
            <w:p w14:paraId="5463F7E7" w14:textId="77777777" w:rsidR="005E53FB" w:rsidRDefault="005E53FB" w:rsidP="005E53FB">
              <w:pPr>
                <w:pStyle w:val="Bibliography"/>
                <w:rPr>
                  <w:noProof/>
                </w:rPr>
              </w:pPr>
              <w:r>
                <w:rPr>
                  <w:noProof/>
                </w:rPr>
                <w:t xml:space="preserve">Howart, E., Stimpson, L., Barran, D. &amp; Robinson, A., 2009. </w:t>
              </w:r>
              <w:r>
                <w:rPr>
                  <w:i/>
                  <w:iCs/>
                  <w:noProof/>
                </w:rPr>
                <w:t xml:space="preserve">Safety in Numbers: A Multi-site Evaluation of Independent Domestic Abuse Advisor (IDVA) Services, </w:t>
              </w:r>
              <w:r>
                <w:rPr>
                  <w:noProof/>
                </w:rPr>
                <w:t>London: Hestia.</w:t>
              </w:r>
            </w:p>
            <w:p w14:paraId="1A2A43C5" w14:textId="77777777" w:rsidR="005E53FB" w:rsidRDefault="005E53FB" w:rsidP="005E53FB">
              <w:pPr>
                <w:pStyle w:val="Bibliography"/>
                <w:rPr>
                  <w:noProof/>
                </w:rPr>
              </w:pPr>
              <w:r>
                <w:rPr>
                  <w:noProof/>
                </w:rPr>
                <w:t xml:space="preserve">Milne, R. &amp; Bull, R., 1999. </w:t>
              </w:r>
              <w:r>
                <w:rPr>
                  <w:i/>
                  <w:iCs/>
                  <w:noProof/>
                </w:rPr>
                <w:t xml:space="preserve">Investigative Interviewing: Psychology and Practice. </w:t>
              </w:r>
              <w:r>
                <w:rPr>
                  <w:noProof/>
                </w:rPr>
                <w:t>Chichester: John Wiley and Sons.</w:t>
              </w:r>
            </w:p>
            <w:p w14:paraId="627690CA" w14:textId="77777777" w:rsidR="005E53FB" w:rsidRDefault="005E53FB" w:rsidP="005E53FB">
              <w:pPr>
                <w:pStyle w:val="Bibliography"/>
                <w:rPr>
                  <w:noProof/>
                </w:rPr>
              </w:pPr>
              <w:r>
                <w:rPr>
                  <w:noProof/>
                </w:rPr>
                <w:t xml:space="preserve">Ministry of Justice, 2020. </w:t>
              </w:r>
              <w:r>
                <w:rPr>
                  <w:i/>
                  <w:iCs/>
                  <w:noProof/>
                </w:rPr>
                <w:t xml:space="preserve">Criminal Procedure and Investigations Act 1996 Code of Practice. </w:t>
              </w:r>
              <w:r>
                <w:rPr>
                  <w:noProof/>
                </w:rPr>
                <w:t xml:space="preserve">[Online] </w:t>
              </w:r>
              <w:r>
                <w:rPr>
                  <w:noProof/>
                </w:rPr>
                <w:br/>
                <w:t xml:space="preserve">Available at: </w:t>
              </w:r>
              <w:r>
                <w:rPr>
                  <w:noProof/>
                  <w:u w:val="single"/>
                </w:rPr>
                <w:t>https://assets.publishing.service.gov.uk/media/5a80d491e5274a2e8ab5267c/code-of-practice-approved.pdf</w:t>
              </w:r>
              <w:r>
                <w:rPr>
                  <w:noProof/>
                </w:rPr>
                <w:br/>
                <w:t>[Accessed 29 April 2026].</w:t>
              </w:r>
            </w:p>
            <w:p w14:paraId="799D865F" w14:textId="77777777" w:rsidR="005E53FB" w:rsidRDefault="005E53FB" w:rsidP="005E53FB">
              <w:pPr>
                <w:pStyle w:val="Bibliography"/>
                <w:rPr>
                  <w:noProof/>
                </w:rPr>
              </w:pPr>
              <w:r>
                <w:rPr>
                  <w:noProof/>
                </w:rPr>
                <w:t xml:space="preserve">Ministry of Justice, 2022. </w:t>
              </w:r>
              <w:r>
                <w:rPr>
                  <w:i/>
                  <w:iCs/>
                  <w:noProof/>
                </w:rPr>
                <w:t xml:space="preserve">Achieving Best Evidence: Guidance on interviewing victims and witnesses, and guidance on using special measures, </w:t>
              </w:r>
              <w:r>
                <w:rPr>
                  <w:noProof/>
                </w:rPr>
                <w:t>London: Ministry of Justice.</w:t>
              </w:r>
            </w:p>
            <w:p w14:paraId="2B38E76B" w14:textId="77777777" w:rsidR="005E53FB" w:rsidRDefault="005E53FB" w:rsidP="005E53FB">
              <w:pPr>
                <w:pStyle w:val="Bibliography"/>
                <w:rPr>
                  <w:noProof/>
                </w:rPr>
              </w:pPr>
              <w:r>
                <w:rPr>
                  <w:noProof/>
                </w:rPr>
                <w:t xml:space="preserve">Newburn, T., 2012. </w:t>
              </w:r>
              <w:r>
                <w:rPr>
                  <w:i/>
                  <w:iCs/>
                  <w:noProof/>
                </w:rPr>
                <w:t xml:space="preserve">Handbook of Policing. </w:t>
              </w:r>
              <w:r>
                <w:rPr>
                  <w:noProof/>
                </w:rPr>
                <w:t>2nd ed. Devon: Willan Publishing.</w:t>
              </w:r>
            </w:p>
            <w:p w14:paraId="4112C5EB" w14:textId="77777777" w:rsidR="005E53FB" w:rsidRDefault="005E53FB" w:rsidP="005E53FB">
              <w:pPr>
                <w:pStyle w:val="Bibliography"/>
                <w:rPr>
                  <w:noProof/>
                </w:rPr>
              </w:pPr>
              <w:r>
                <w:rPr>
                  <w:noProof/>
                </w:rPr>
                <w:t xml:space="preserve">Rossmo, K., 2009. </w:t>
              </w:r>
              <w:r>
                <w:rPr>
                  <w:i/>
                  <w:iCs/>
                  <w:noProof/>
                </w:rPr>
                <w:t xml:space="preserve">Criminal Investigation Failures. </w:t>
              </w:r>
              <w:r>
                <w:rPr>
                  <w:noProof/>
                </w:rPr>
                <w:t>Boca Raton: CRC Press.</w:t>
              </w:r>
            </w:p>
            <w:p w14:paraId="083F9E3E" w14:textId="77777777" w:rsidR="005E53FB" w:rsidRDefault="005E53FB" w:rsidP="005E53FB">
              <w:pPr>
                <w:pStyle w:val="Bibliography"/>
                <w:rPr>
                  <w:noProof/>
                </w:rPr>
              </w:pPr>
              <w:r>
                <w:rPr>
                  <w:noProof/>
                </w:rPr>
                <w:t xml:space="preserve">Stark, E., 2007. </w:t>
              </w:r>
              <w:r>
                <w:rPr>
                  <w:i/>
                  <w:iCs/>
                  <w:noProof/>
                </w:rPr>
                <w:t xml:space="preserve">Coercive Control: How Men Entrap Women in Personal Life. </w:t>
              </w:r>
              <w:r>
                <w:rPr>
                  <w:noProof/>
                </w:rPr>
                <w:t>Oxford: Oxford University Press.</w:t>
              </w:r>
            </w:p>
            <w:p w14:paraId="0BA66A26" w14:textId="77777777" w:rsidR="005E53FB" w:rsidRDefault="005E53FB" w:rsidP="005E53FB">
              <w:pPr>
                <w:pStyle w:val="Bibliography"/>
                <w:rPr>
                  <w:noProof/>
                </w:rPr>
              </w:pPr>
              <w:r>
                <w:rPr>
                  <w:noProof/>
                </w:rPr>
                <w:t xml:space="preserve">Stelfox, P., 2009. </w:t>
              </w:r>
              <w:r>
                <w:rPr>
                  <w:i/>
                  <w:iCs/>
                  <w:noProof/>
                </w:rPr>
                <w:t xml:space="preserve">Criminal Investigation: An Introduction to Principles and Practice. </w:t>
              </w:r>
              <w:r>
                <w:rPr>
                  <w:noProof/>
                </w:rPr>
                <w:t>Cullompton: Willan Publishing.</w:t>
              </w:r>
            </w:p>
            <w:p w14:paraId="0A42DB12" w14:textId="77777777" w:rsidR="005E53FB" w:rsidRDefault="005E53FB" w:rsidP="005E53FB">
              <w:pPr>
                <w:pStyle w:val="Bibliography"/>
                <w:rPr>
                  <w:noProof/>
                </w:rPr>
              </w:pPr>
              <w:r>
                <w:rPr>
                  <w:noProof/>
                </w:rPr>
                <w:t xml:space="preserve">UK Parliament, 1996. </w:t>
              </w:r>
              <w:r>
                <w:rPr>
                  <w:i/>
                  <w:iCs/>
                  <w:noProof/>
                </w:rPr>
                <w:t xml:space="preserve">Criminal Procedure and Investigations Act 1996. </w:t>
              </w:r>
              <w:r>
                <w:rPr>
                  <w:noProof/>
                </w:rPr>
                <w:t xml:space="preserve">[Online] </w:t>
              </w:r>
              <w:r>
                <w:rPr>
                  <w:noProof/>
                </w:rPr>
                <w:br/>
                <w:t xml:space="preserve">Available at: </w:t>
              </w:r>
              <w:r>
                <w:rPr>
                  <w:noProof/>
                  <w:u w:val="single"/>
                </w:rPr>
                <w:t>https://www.legislation.gov.uk/ukpga/1996/25/contents</w:t>
              </w:r>
              <w:r>
                <w:rPr>
                  <w:noProof/>
                </w:rPr>
                <w:br/>
                <w:t>[Accessed 6 April 2026].</w:t>
              </w:r>
            </w:p>
            <w:p w14:paraId="41DAFBE9" w14:textId="77777777" w:rsidR="005E53FB" w:rsidRDefault="005E53FB" w:rsidP="005E53FB">
              <w:pPr>
                <w:pStyle w:val="Bibliography"/>
                <w:rPr>
                  <w:noProof/>
                </w:rPr>
              </w:pPr>
              <w:r>
                <w:rPr>
                  <w:noProof/>
                </w:rPr>
                <w:t xml:space="preserve">UK Parliament, 1999. </w:t>
              </w:r>
              <w:r>
                <w:rPr>
                  <w:i/>
                  <w:iCs/>
                  <w:noProof/>
                </w:rPr>
                <w:t xml:space="preserve">Youth Justice and Criminal Evidence Act 1999. </w:t>
              </w:r>
              <w:r>
                <w:rPr>
                  <w:noProof/>
                </w:rPr>
                <w:t xml:space="preserve">[Online] </w:t>
              </w:r>
              <w:r>
                <w:rPr>
                  <w:noProof/>
                </w:rPr>
                <w:br/>
                <w:t xml:space="preserve">Available at: </w:t>
              </w:r>
              <w:r>
                <w:rPr>
                  <w:noProof/>
                  <w:u w:val="single"/>
                </w:rPr>
                <w:t>https://www.legislation.gov.uk/ukpga/1999/23/contents</w:t>
              </w:r>
              <w:r>
                <w:rPr>
                  <w:noProof/>
                </w:rPr>
                <w:br/>
                <w:t>[Accessed 19 April 2026].</w:t>
              </w:r>
            </w:p>
            <w:p w14:paraId="08FEE03B" w14:textId="77777777" w:rsidR="005E53FB" w:rsidRDefault="005E53FB" w:rsidP="005E53FB">
              <w:pPr>
                <w:pStyle w:val="Bibliography"/>
                <w:rPr>
                  <w:noProof/>
                </w:rPr>
              </w:pPr>
              <w:r>
                <w:rPr>
                  <w:noProof/>
                </w:rPr>
                <w:t xml:space="preserve">UK Parliament, 2015. </w:t>
              </w:r>
              <w:r>
                <w:rPr>
                  <w:i/>
                  <w:iCs/>
                  <w:noProof/>
                </w:rPr>
                <w:t xml:space="preserve">Serious Crime Act, Section 76. </w:t>
              </w:r>
              <w:r>
                <w:rPr>
                  <w:noProof/>
                </w:rPr>
                <w:t xml:space="preserve">[Online] </w:t>
              </w:r>
              <w:r>
                <w:rPr>
                  <w:noProof/>
                </w:rPr>
                <w:br/>
                <w:t xml:space="preserve">Available at: </w:t>
              </w:r>
              <w:r>
                <w:rPr>
                  <w:noProof/>
                  <w:u w:val="single"/>
                </w:rPr>
                <w:t>https://www.legislation.gov.uk/ukpga/2015/9/section/76</w:t>
              </w:r>
              <w:r>
                <w:rPr>
                  <w:noProof/>
                </w:rPr>
                <w:br/>
                <w:t>[Accessed 16 April 2026].</w:t>
              </w:r>
            </w:p>
            <w:p w14:paraId="34ECEEF5" w14:textId="77777777" w:rsidR="005E53FB" w:rsidRDefault="005E53FB" w:rsidP="005E53FB">
              <w:pPr>
                <w:pStyle w:val="Bibliography"/>
                <w:rPr>
                  <w:noProof/>
                </w:rPr>
              </w:pPr>
              <w:r>
                <w:rPr>
                  <w:noProof/>
                </w:rPr>
                <w:t xml:space="preserve">UK Parliament, 2018. </w:t>
              </w:r>
              <w:r>
                <w:rPr>
                  <w:i/>
                  <w:iCs/>
                  <w:noProof/>
                </w:rPr>
                <w:t xml:space="preserve">Data Protection Act 2018. </w:t>
              </w:r>
              <w:r>
                <w:rPr>
                  <w:noProof/>
                </w:rPr>
                <w:t xml:space="preserve">[Online] </w:t>
              </w:r>
              <w:r>
                <w:rPr>
                  <w:noProof/>
                </w:rPr>
                <w:br/>
                <w:t xml:space="preserve">Available at: </w:t>
              </w:r>
              <w:r>
                <w:rPr>
                  <w:noProof/>
                  <w:u w:val="single"/>
                </w:rPr>
                <w:t>https://www.legislation.gov.uk/ukpga/2018/12/contents</w:t>
              </w:r>
              <w:r>
                <w:rPr>
                  <w:noProof/>
                </w:rPr>
                <w:br/>
                <w:t>[Accessed 1 May 2026].</w:t>
              </w:r>
            </w:p>
            <w:p w14:paraId="0097F756" w14:textId="77777777" w:rsidR="005E53FB" w:rsidRDefault="005E53FB" w:rsidP="005E53FB">
              <w:r>
                <w:rPr>
                  <w:b/>
                  <w:bCs/>
                </w:rPr>
                <w:fldChar w:fldCharType="end"/>
              </w:r>
            </w:p>
          </w:sdtContent>
        </w:sdt>
      </w:sdtContent>
    </w:sdt>
    <w:p w14:paraId="3080688C" w14:textId="77777777" w:rsidR="005E53FB" w:rsidRDefault="005E53FB">
      <w:pPr>
        <w:pStyle w:val="Heading2"/>
        <w:spacing w:before="0" w:after="160"/>
        <w:jc w:val="both"/>
        <w:rPr>
          <w:rFonts w:ascii="Arial" w:eastAsia="Arial" w:hAnsi="Arial" w:cs="Arial"/>
          <w:b/>
          <w:color w:val="000000"/>
          <w:sz w:val="24"/>
          <w:szCs w:val="24"/>
        </w:rPr>
      </w:pPr>
    </w:p>
    <w:p w14:paraId="6FA17F47" w14:textId="77777777" w:rsidR="005E53FB" w:rsidRDefault="005E53FB" w:rsidP="005E53FB"/>
    <w:p w14:paraId="11FBEAE5" w14:textId="77777777" w:rsidR="005E53FB" w:rsidRDefault="005E53FB" w:rsidP="005E53FB"/>
    <w:p w14:paraId="25208E26" w14:textId="77777777" w:rsidR="005E53FB" w:rsidRPr="005E53FB" w:rsidRDefault="005E53FB" w:rsidP="005E53FB"/>
    <w:p w14:paraId="7407E1C4" w14:textId="77777777" w:rsidR="005E53FB" w:rsidRDefault="005E53FB">
      <w:pPr>
        <w:pStyle w:val="Heading2"/>
        <w:spacing w:before="0" w:after="160"/>
        <w:jc w:val="both"/>
        <w:rPr>
          <w:rFonts w:ascii="Arial" w:eastAsia="Arial" w:hAnsi="Arial" w:cs="Arial"/>
          <w:b/>
          <w:color w:val="000000"/>
          <w:sz w:val="24"/>
          <w:szCs w:val="24"/>
        </w:rPr>
      </w:pPr>
    </w:p>
    <w:p w14:paraId="543CC60C" w14:textId="493792CF" w:rsidR="00FC6DFA" w:rsidRDefault="009F1B79">
      <w:pPr>
        <w:pStyle w:val="Heading2"/>
        <w:spacing w:before="0" w:after="160"/>
        <w:jc w:val="both"/>
        <w:rPr>
          <w:rFonts w:ascii="Arial" w:eastAsia="Arial" w:hAnsi="Arial" w:cs="Arial"/>
          <w:b/>
          <w:color w:val="000000"/>
          <w:sz w:val="24"/>
          <w:szCs w:val="24"/>
        </w:rPr>
      </w:pPr>
      <w:r>
        <w:rPr>
          <w:rFonts w:ascii="Arial" w:eastAsia="Arial" w:hAnsi="Arial" w:cs="Arial"/>
          <w:b/>
          <w:color w:val="000000"/>
          <w:sz w:val="24"/>
          <w:szCs w:val="24"/>
        </w:rPr>
        <w:t>7. Use of Generative AI in Assessment</w:t>
      </w:r>
    </w:p>
    <w:p w14:paraId="3A868C8E" w14:textId="77777777" w:rsidR="00FC6DFA" w:rsidRDefault="009F1B79">
      <w:pPr>
        <w:jc w:val="both"/>
        <w:rPr>
          <w:rFonts w:ascii="Arial" w:eastAsia="Arial" w:hAnsi="Arial" w:cs="Arial"/>
          <w:color w:val="000000"/>
          <w:sz w:val="24"/>
          <w:szCs w:val="24"/>
        </w:rPr>
      </w:pPr>
      <w:r>
        <w:rPr>
          <w:rFonts w:ascii="Arial" w:eastAsia="Arial" w:hAnsi="Arial" w:cs="Arial"/>
          <w:color w:val="000000"/>
          <w:sz w:val="24"/>
          <w:szCs w:val="24"/>
        </w:rPr>
        <w:t xml:space="preserve">     (Lecturer to indicate Yes or Not against each element)</w:t>
      </w:r>
    </w:p>
    <w:p w14:paraId="56CB0764" w14:textId="77777777" w:rsidR="00FC6DFA" w:rsidRDefault="009F1B79">
      <w:pPr>
        <w:spacing w:after="0"/>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 </w:t>
      </w:r>
    </w:p>
    <w:tbl>
      <w:tblPr>
        <w:tblStyle w:val="a6"/>
        <w:tblW w:w="9014" w:type="dxa"/>
        <w:tblInd w:w="600" w:type="dxa"/>
        <w:tblBorders>
          <w:top w:val="single" w:sz="6" w:space="0" w:color="000000"/>
          <w:left w:val="single" w:sz="6" w:space="0" w:color="000000"/>
          <w:bottom w:val="single" w:sz="6" w:space="0" w:color="000000"/>
          <w:right w:val="single" w:sz="6" w:space="0" w:color="000000"/>
          <w:insideH w:val="single" w:sz="4" w:space="0" w:color="000000"/>
          <w:insideV w:val="single" w:sz="4" w:space="0" w:color="000000"/>
        </w:tblBorders>
        <w:tblLayout w:type="fixed"/>
        <w:tblLook w:val="0400" w:firstRow="0" w:lastRow="0" w:firstColumn="0" w:lastColumn="0" w:noHBand="0" w:noVBand="1"/>
      </w:tblPr>
      <w:tblGrid>
        <w:gridCol w:w="2474"/>
        <w:gridCol w:w="4895"/>
        <w:gridCol w:w="1645"/>
      </w:tblGrid>
      <w:tr w:rsidR="00FC6DFA" w14:paraId="0AF72C70"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5E75F12" w14:textId="77777777" w:rsidR="00FC6DFA" w:rsidRDefault="009F1B79">
            <w:pPr>
              <w:spacing w:line="257" w:lineRule="auto"/>
              <w:rPr>
                <w:rFonts w:ascii="Arial" w:eastAsia="Arial" w:hAnsi="Arial" w:cs="Arial"/>
              </w:rPr>
            </w:pPr>
            <w:r>
              <w:rPr>
                <w:rFonts w:ascii="Arial" w:eastAsia="Arial" w:hAnsi="Arial" w:cs="Arial"/>
              </w:rPr>
              <w:t>RESEARCH</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83703EA" w14:textId="77777777" w:rsidR="00FC6DFA" w:rsidRDefault="009F1B79">
            <w:pPr>
              <w:spacing w:line="257" w:lineRule="auto"/>
              <w:rPr>
                <w:rFonts w:ascii="Arial" w:eastAsia="Arial" w:hAnsi="Arial" w:cs="Arial"/>
              </w:rPr>
            </w:pPr>
            <w:r>
              <w:rPr>
                <w:rFonts w:ascii="Arial" w:eastAsia="Arial" w:hAnsi="Arial" w:cs="Arial"/>
              </w:rPr>
              <w:t>For this assessment, you can use Generative AI to support you in research, including searching for bibliography, using tools to summarise, compare and interrogate materials.</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19E01B2" w14:textId="77777777" w:rsidR="00FC6DFA" w:rsidRDefault="009F1B79">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35B3F3C3" w14:textId="77777777" w:rsidR="00FC6DFA" w:rsidRDefault="009F1B79">
            <w:pPr>
              <w:rPr>
                <w:rFonts w:ascii="Arial" w:eastAsia="Arial" w:hAnsi="Arial" w:cs="Arial"/>
              </w:rPr>
            </w:pPr>
            <w:r>
              <w:rPr>
                <w:rFonts w:ascii="Arial" w:eastAsia="Arial" w:hAnsi="Arial" w:cs="Arial"/>
              </w:rPr>
              <w:t xml:space="preserve"> </w:t>
            </w:r>
          </w:p>
          <w:p w14:paraId="539B6178" w14:textId="77777777" w:rsidR="00FC6DFA" w:rsidRDefault="009F1B79">
            <w:pPr>
              <w:rPr>
                <w:rFonts w:ascii="MS Gothic" w:eastAsia="MS Gothic" w:hAnsi="MS Gothic" w:cs="MS Gothic"/>
              </w:rPr>
            </w:pPr>
            <w:r>
              <w:rPr>
                <w:rFonts w:ascii="Arial" w:eastAsia="Arial" w:hAnsi="Arial" w:cs="Arial"/>
              </w:rPr>
              <w:t xml:space="preserve">No  </w:t>
            </w:r>
            <w:r>
              <w:rPr>
                <w:rFonts w:ascii="MS Gothic" w:eastAsia="MS Gothic" w:hAnsi="MS Gothic" w:cs="MS Gothic"/>
              </w:rPr>
              <w:t>☐</w:t>
            </w:r>
          </w:p>
        </w:tc>
      </w:tr>
      <w:tr w:rsidR="00FC6DFA" w14:paraId="59BF3A6C"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770711F" w14:textId="77777777" w:rsidR="00FC6DFA" w:rsidRDefault="009F1B79">
            <w:pPr>
              <w:spacing w:line="257" w:lineRule="auto"/>
              <w:rPr>
                <w:rFonts w:ascii="Arial" w:eastAsia="Arial" w:hAnsi="Arial" w:cs="Arial"/>
              </w:rPr>
            </w:pPr>
            <w:r>
              <w:rPr>
                <w:rFonts w:ascii="Arial" w:eastAsia="Arial" w:hAnsi="Arial" w:cs="Arial"/>
              </w:rPr>
              <w:t>STRUCTURE</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FB08116" w14:textId="77777777" w:rsidR="00FC6DFA" w:rsidRDefault="009F1B79">
            <w:pPr>
              <w:spacing w:line="257" w:lineRule="auto"/>
              <w:rPr>
                <w:rFonts w:ascii="Arial" w:eastAsia="Arial" w:hAnsi="Arial" w:cs="Arial"/>
              </w:rPr>
            </w:pPr>
            <w:r>
              <w:rPr>
                <w:rFonts w:ascii="Arial" w:eastAsia="Arial" w:hAnsi="Arial" w:cs="Arial"/>
              </w:rPr>
              <w:t>For this assessment, you can use Generative AI to support you in structuring your submission, including creating a draft argument structure, identifying parts and headings, etc.</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1550620" w14:textId="77777777" w:rsidR="00FC6DFA" w:rsidRDefault="009F1B79">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65D8F15C" w14:textId="77777777" w:rsidR="00FC6DFA" w:rsidRDefault="009F1B79">
            <w:pPr>
              <w:rPr>
                <w:rFonts w:ascii="Arial" w:eastAsia="Arial" w:hAnsi="Arial" w:cs="Arial"/>
              </w:rPr>
            </w:pPr>
            <w:r>
              <w:rPr>
                <w:rFonts w:ascii="Arial" w:eastAsia="Arial" w:hAnsi="Arial" w:cs="Arial"/>
              </w:rPr>
              <w:t xml:space="preserve"> </w:t>
            </w:r>
          </w:p>
          <w:p w14:paraId="4EB03A73" w14:textId="77777777" w:rsidR="00FC6DFA" w:rsidRDefault="009F1B79">
            <w:pPr>
              <w:rPr>
                <w:rFonts w:ascii="MS Gothic" w:eastAsia="MS Gothic" w:hAnsi="MS Gothic" w:cs="MS Gothic"/>
              </w:rPr>
            </w:pPr>
            <w:r>
              <w:rPr>
                <w:rFonts w:ascii="Arial" w:eastAsia="Arial" w:hAnsi="Arial" w:cs="Arial"/>
              </w:rPr>
              <w:t xml:space="preserve">No  </w:t>
            </w:r>
            <w:r>
              <w:rPr>
                <w:rFonts w:ascii="MS Gothic" w:eastAsia="MS Gothic" w:hAnsi="MS Gothic" w:cs="MS Gothic"/>
              </w:rPr>
              <w:t>☐</w:t>
            </w:r>
          </w:p>
        </w:tc>
      </w:tr>
      <w:tr w:rsidR="00FC6DFA" w14:paraId="6A1CAD71"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831299D" w14:textId="77777777" w:rsidR="00FC6DFA" w:rsidRDefault="009F1B79">
            <w:pPr>
              <w:spacing w:line="257" w:lineRule="auto"/>
              <w:rPr>
                <w:rFonts w:ascii="Arial" w:eastAsia="Arial" w:hAnsi="Arial" w:cs="Arial"/>
              </w:rPr>
            </w:pPr>
            <w:r>
              <w:rPr>
                <w:rFonts w:ascii="Arial" w:eastAsia="Arial" w:hAnsi="Arial" w:cs="Arial"/>
              </w:rPr>
              <w:t>PROOFREADING</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116207C" w14:textId="77777777" w:rsidR="00FC6DFA" w:rsidRDefault="009F1B79">
            <w:pPr>
              <w:spacing w:line="257" w:lineRule="auto"/>
              <w:rPr>
                <w:rFonts w:ascii="Arial" w:eastAsia="Arial" w:hAnsi="Arial" w:cs="Arial"/>
              </w:rPr>
            </w:pPr>
            <w:r>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8E91495" w14:textId="77777777" w:rsidR="00FC6DFA" w:rsidRDefault="009F1B79">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60C7624E" w14:textId="77777777" w:rsidR="00FC6DFA" w:rsidRDefault="009F1B79">
            <w:pPr>
              <w:rPr>
                <w:rFonts w:ascii="Arial" w:eastAsia="Arial" w:hAnsi="Arial" w:cs="Arial"/>
              </w:rPr>
            </w:pPr>
            <w:r>
              <w:rPr>
                <w:rFonts w:ascii="Arial" w:eastAsia="Arial" w:hAnsi="Arial" w:cs="Arial"/>
              </w:rPr>
              <w:t xml:space="preserve"> </w:t>
            </w:r>
          </w:p>
          <w:p w14:paraId="5C1343CB" w14:textId="77777777" w:rsidR="00FC6DFA" w:rsidRDefault="009F1B79">
            <w:pPr>
              <w:rPr>
                <w:rFonts w:ascii="MS Gothic" w:eastAsia="MS Gothic" w:hAnsi="MS Gothic" w:cs="MS Gothic"/>
              </w:rPr>
            </w:pPr>
            <w:r>
              <w:rPr>
                <w:rFonts w:ascii="Arial" w:eastAsia="Arial" w:hAnsi="Arial" w:cs="Arial"/>
              </w:rPr>
              <w:t xml:space="preserve">No  </w:t>
            </w:r>
            <w:r>
              <w:rPr>
                <w:rFonts w:ascii="MS Gothic" w:eastAsia="MS Gothic" w:hAnsi="MS Gothic" w:cs="MS Gothic"/>
              </w:rPr>
              <w:t>☐</w:t>
            </w:r>
          </w:p>
        </w:tc>
      </w:tr>
      <w:tr w:rsidR="00FC6DFA" w14:paraId="45497F8A"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936BB10" w14:textId="77777777" w:rsidR="00FC6DFA" w:rsidRDefault="009F1B79">
            <w:pPr>
              <w:spacing w:line="257" w:lineRule="auto"/>
              <w:rPr>
                <w:rFonts w:ascii="Arial" w:eastAsia="Arial" w:hAnsi="Arial" w:cs="Arial"/>
              </w:rPr>
            </w:pPr>
            <w:r>
              <w:rPr>
                <w:rFonts w:ascii="Arial" w:eastAsia="Arial" w:hAnsi="Arial" w:cs="Arial"/>
              </w:rPr>
              <w:t>WRITING</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3B34E0B" w14:textId="77777777" w:rsidR="00FC6DFA" w:rsidRDefault="009F1B79">
            <w:pPr>
              <w:spacing w:line="257" w:lineRule="auto"/>
              <w:rPr>
                <w:rFonts w:ascii="Arial" w:eastAsia="Arial" w:hAnsi="Arial" w:cs="Arial"/>
              </w:rPr>
            </w:pPr>
            <w:r>
              <w:rPr>
                <w:rFonts w:ascii="Arial" w:eastAsia="Arial" w:hAnsi="Arial" w:cs="Arial"/>
              </w:rPr>
              <w:t>For this assessment, you can use Generative AI to create text for submission.</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0C5F827" w14:textId="77777777" w:rsidR="00FC6DFA" w:rsidRDefault="009F1B79">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05CDC943" w14:textId="77777777" w:rsidR="00FC6DFA" w:rsidRDefault="009F1B79">
            <w:pPr>
              <w:rPr>
                <w:rFonts w:ascii="Arial" w:eastAsia="Arial" w:hAnsi="Arial" w:cs="Arial"/>
              </w:rPr>
            </w:pPr>
            <w:r>
              <w:rPr>
                <w:rFonts w:ascii="Arial" w:eastAsia="Arial" w:hAnsi="Arial" w:cs="Arial"/>
              </w:rPr>
              <w:t xml:space="preserve"> </w:t>
            </w:r>
          </w:p>
          <w:p w14:paraId="42AEC1B1" w14:textId="77777777" w:rsidR="00FC6DFA" w:rsidRDefault="009F1B79">
            <w:pPr>
              <w:rPr>
                <w:rFonts w:ascii="Arial" w:eastAsia="Arial" w:hAnsi="Arial" w:cs="Arial"/>
              </w:rPr>
            </w:pPr>
            <w:r>
              <w:rPr>
                <w:rFonts w:ascii="Arial" w:eastAsia="Arial" w:hAnsi="Arial" w:cs="Arial"/>
              </w:rPr>
              <w:t xml:space="preserve">No  </w:t>
            </w:r>
            <w:r>
              <w:rPr>
                <w:rFonts w:ascii="Arial" w:eastAsia="Arial" w:hAnsi="Arial" w:cs="Arial"/>
                <w:b/>
              </w:rPr>
              <w:t>X</w:t>
            </w:r>
          </w:p>
        </w:tc>
      </w:tr>
      <w:tr w:rsidR="00FC6DFA" w14:paraId="3BF985B4"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FAE9B9D" w14:textId="77777777" w:rsidR="00FC6DFA" w:rsidRDefault="009F1B79">
            <w:pPr>
              <w:spacing w:line="257" w:lineRule="auto"/>
              <w:rPr>
                <w:rFonts w:ascii="Arial" w:eastAsia="Arial" w:hAnsi="Arial" w:cs="Arial"/>
              </w:rPr>
            </w:pPr>
            <w:r>
              <w:rPr>
                <w:rFonts w:ascii="Arial" w:eastAsia="Arial" w:hAnsi="Arial" w:cs="Arial"/>
              </w:rPr>
              <w:t>CREATIVE</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8949EA4" w14:textId="77777777" w:rsidR="00FC6DFA" w:rsidRDefault="009F1B79">
            <w:pPr>
              <w:spacing w:line="257" w:lineRule="auto"/>
              <w:rPr>
                <w:rFonts w:ascii="Arial" w:eastAsia="Arial" w:hAnsi="Arial" w:cs="Arial"/>
              </w:rPr>
            </w:pPr>
            <w:r>
              <w:rPr>
                <w:rFonts w:ascii="Arial" w:eastAsia="Arial" w:hAnsi="Arial" w:cs="Arial"/>
              </w:rPr>
              <w:t>For this assessment, you can use Generative AI to create creative materials, such as images.</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896D3CA" w14:textId="77777777" w:rsidR="00FC6DFA" w:rsidRDefault="009F1B79">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2D47E0E6" w14:textId="77777777" w:rsidR="00FC6DFA" w:rsidRDefault="009F1B79">
            <w:pPr>
              <w:rPr>
                <w:rFonts w:ascii="Arial" w:eastAsia="Arial" w:hAnsi="Arial" w:cs="Arial"/>
              </w:rPr>
            </w:pPr>
            <w:r>
              <w:rPr>
                <w:rFonts w:ascii="Arial" w:eastAsia="Arial" w:hAnsi="Arial" w:cs="Arial"/>
              </w:rPr>
              <w:t xml:space="preserve"> </w:t>
            </w:r>
          </w:p>
          <w:p w14:paraId="398B9C57" w14:textId="77777777" w:rsidR="00FC6DFA" w:rsidRDefault="009F1B79">
            <w:pPr>
              <w:rPr>
                <w:rFonts w:ascii="MS Gothic" w:eastAsia="MS Gothic" w:hAnsi="MS Gothic" w:cs="MS Gothic"/>
              </w:rPr>
            </w:pPr>
            <w:r>
              <w:rPr>
                <w:rFonts w:ascii="Arial" w:eastAsia="Arial" w:hAnsi="Arial" w:cs="Arial"/>
              </w:rPr>
              <w:t xml:space="preserve">No  </w:t>
            </w:r>
            <w:r>
              <w:rPr>
                <w:rFonts w:ascii="MS Gothic" w:eastAsia="MS Gothic" w:hAnsi="MS Gothic" w:cs="MS Gothic"/>
              </w:rPr>
              <w:t>☐</w:t>
            </w:r>
          </w:p>
        </w:tc>
      </w:tr>
      <w:tr w:rsidR="00FC6DFA" w14:paraId="1B01D08B"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E8B2AE5" w14:textId="77777777" w:rsidR="00FC6DFA" w:rsidRDefault="009F1B79">
            <w:pPr>
              <w:spacing w:line="257" w:lineRule="auto"/>
              <w:rPr>
                <w:rFonts w:ascii="Arial" w:eastAsia="Arial" w:hAnsi="Arial" w:cs="Arial"/>
              </w:rPr>
            </w:pPr>
            <w:r>
              <w:rPr>
                <w:rFonts w:ascii="Arial" w:eastAsia="Arial" w:hAnsi="Arial" w:cs="Arial"/>
              </w:rPr>
              <w:t>PROGRAMING</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BF99198" w14:textId="77777777" w:rsidR="00FC6DFA" w:rsidRDefault="009F1B79">
            <w:pPr>
              <w:spacing w:line="257" w:lineRule="auto"/>
              <w:rPr>
                <w:rFonts w:ascii="Arial" w:eastAsia="Arial" w:hAnsi="Arial" w:cs="Arial"/>
              </w:rPr>
            </w:pPr>
            <w:r>
              <w:rPr>
                <w:rFonts w:ascii="Arial" w:eastAsia="Arial" w:hAnsi="Arial" w:cs="Arial"/>
              </w:rPr>
              <w:t>For this assessment, you can use Generative AI to create and check code.</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0535E8A" w14:textId="77777777" w:rsidR="00FC6DFA" w:rsidRDefault="009F1B79">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795ECABE" w14:textId="77777777" w:rsidR="00FC6DFA" w:rsidRDefault="009F1B79">
            <w:pPr>
              <w:rPr>
                <w:rFonts w:ascii="Arial" w:eastAsia="Arial" w:hAnsi="Arial" w:cs="Arial"/>
              </w:rPr>
            </w:pPr>
            <w:r>
              <w:rPr>
                <w:rFonts w:ascii="Arial" w:eastAsia="Arial" w:hAnsi="Arial" w:cs="Arial"/>
              </w:rPr>
              <w:t xml:space="preserve"> </w:t>
            </w:r>
          </w:p>
          <w:p w14:paraId="4494C978" w14:textId="77777777" w:rsidR="00FC6DFA" w:rsidRDefault="009F1B79">
            <w:pPr>
              <w:rPr>
                <w:rFonts w:ascii="MS Gothic" w:eastAsia="MS Gothic" w:hAnsi="MS Gothic" w:cs="MS Gothic"/>
              </w:rPr>
            </w:pPr>
            <w:r>
              <w:rPr>
                <w:rFonts w:ascii="Arial" w:eastAsia="Arial" w:hAnsi="Arial" w:cs="Arial"/>
              </w:rPr>
              <w:t xml:space="preserve">No  </w:t>
            </w:r>
            <w:r>
              <w:rPr>
                <w:rFonts w:ascii="MS Gothic" w:eastAsia="MS Gothic" w:hAnsi="MS Gothic" w:cs="MS Gothic"/>
              </w:rPr>
              <w:t>☐</w:t>
            </w:r>
          </w:p>
        </w:tc>
      </w:tr>
      <w:tr w:rsidR="00FC6DFA" w14:paraId="497378D9"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FAA3712" w14:textId="77777777" w:rsidR="00FC6DFA" w:rsidRDefault="009F1B79">
            <w:pPr>
              <w:spacing w:line="257" w:lineRule="auto"/>
              <w:rPr>
                <w:rFonts w:ascii="Arial" w:eastAsia="Arial" w:hAnsi="Arial" w:cs="Arial"/>
              </w:rPr>
            </w:pPr>
            <w:r>
              <w:rPr>
                <w:rFonts w:ascii="Arial" w:eastAsia="Arial" w:hAnsi="Arial" w:cs="Arial"/>
              </w:rPr>
              <w:t>NONE</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00F6776" w14:textId="77777777" w:rsidR="00FC6DFA" w:rsidRDefault="009F1B79">
            <w:pPr>
              <w:spacing w:line="257" w:lineRule="auto"/>
              <w:rPr>
                <w:rFonts w:ascii="Arial" w:eastAsia="Arial" w:hAnsi="Arial" w:cs="Arial"/>
              </w:rPr>
            </w:pPr>
            <w:r>
              <w:rPr>
                <w:rFonts w:ascii="Arial" w:eastAsia="Arial" w:hAnsi="Arial" w:cs="Arial"/>
              </w:rPr>
              <w:t xml:space="preserve">For this assessment, you are not allowed to use </w:t>
            </w:r>
            <w:r>
              <w:rPr>
                <w:rFonts w:ascii="Arial" w:eastAsia="Arial" w:hAnsi="Arial" w:cs="Arial"/>
                <w:b/>
              </w:rPr>
              <w:t>any</w:t>
            </w:r>
            <w:r>
              <w:rPr>
                <w:rFonts w:ascii="Arial" w:eastAsia="Arial" w:hAnsi="Arial" w:cs="Arial"/>
              </w:rPr>
              <w:t xml:space="preserve"> type of Generative AI support. This includes research support, structure support, writing/proofreading support and creative support.</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A00DD00" w14:textId="77777777" w:rsidR="00FC6DFA" w:rsidRDefault="009F1B79">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6E2B3F9C" w14:textId="77777777" w:rsidR="00FC6DFA" w:rsidRDefault="009F1B79">
            <w:pPr>
              <w:rPr>
                <w:rFonts w:ascii="Arial" w:eastAsia="Arial" w:hAnsi="Arial" w:cs="Arial"/>
              </w:rPr>
            </w:pPr>
            <w:r>
              <w:rPr>
                <w:rFonts w:ascii="Arial" w:eastAsia="Arial" w:hAnsi="Arial" w:cs="Arial"/>
              </w:rPr>
              <w:t xml:space="preserve"> </w:t>
            </w:r>
          </w:p>
          <w:p w14:paraId="0C34321F" w14:textId="77777777" w:rsidR="00FC6DFA" w:rsidRDefault="009F1B79">
            <w:pPr>
              <w:rPr>
                <w:rFonts w:ascii="Arial" w:eastAsia="Arial" w:hAnsi="Arial" w:cs="Arial"/>
              </w:rPr>
            </w:pPr>
            <w:r>
              <w:rPr>
                <w:rFonts w:ascii="Arial" w:eastAsia="Arial" w:hAnsi="Arial" w:cs="Arial"/>
              </w:rPr>
              <w:t>No X</w:t>
            </w:r>
          </w:p>
        </w:tc>
      </w:tr>
    </w:tbl>
    <w:p w14:paraId="43C48E9C" w14:textId="77777777" w:rsidR="005E53FB" w:rsidRDefault="005E53FB">
      <w:pPr>
        <w:jc w:val="center"/>
        <w:rPr>
          <w:rFonts w:ascii="Arial" w:eastAsia="Arial" w:hAnsi="Arial" w:cs="Arial"/>
          <w:b/>
          <w:smallCaps/>
          <w:color w:val="000000"/>
          <w:sz w:val="40"/>
          <w:szCs w:val="40"/>
        </w:rPr>
      </w:pPr>
    </w:p>
    <w:p w14:paraId="6920224E" w14:textId="77777777" w:rsidR="00180B03" w:rsidRDefault="00180B03" w:rsidP="00180B03">
      <w:pPr>
        <w:spacing w:before="240" w:after="240"/>
        <w:rPr>
          <w:rFonts w:ascii="Arial" w:eastAsia="Arial" w:hAnsi="Arial" w:cs="Arial"/>
          <w:b/>
          <w:sz w:val="28"/>
          <w:szCs w:val="28"/>
        </w:rPr>
      </w:pPr>
      <w:r>
        <w:rPr>
          <w:rFonts w:ascii="Arial" w:eastAsia="Arial" w:hAnsi="Arial" w:cs="Arial"/>
          <w:b/>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E0F72AE" w14:textId="77777777" w:rsidR="00180B03" w:rsidRDefault="00180B03">
      <w:pPr>
        <w:jc w:val="center"/>
        <w:rPr>
          <w:rFonts w:ascii="Arial" w:eastAsia="Arial" w:hAnsi="Arial" w:cs="Arial"/>
          <w:b/>
          <w:smallCaps/>
          <w:color w:val="000000"/>
          <w:sz w:val="40"/>
          <w:szCs w:val="40"/>
        </w:rPr>
      </w:pPr>
    </w:p>
    <w:p w14:paraId="24D2989A" w14:textId="77777777" w:rsidR="00180B03" w:rsidRDefault="00180B03">
      <w:pPr>
        <w:jc w:val="center"/>
        <w:rPr>
          <w:rFonts w:ascii="Arial" w:eastAsia="Arial" w:hAnsi="Arial" w:cs="Arial"/>
          <w:b/>
          <w:smallCaps/>
          <w:color w:val="000000"/>
          <w:sz w:val="40"/>
          <w:szCs w:val="40"/>
        </w:rPr>
      </w:pPr>
    </w:p>
    <w:p w14:paraId="13F52FDD" w14:textId="77777777" w:rsidR="00180B03" w:rsidRDefault="00180B03">
      <w:pPr>
        <w:jc w:val="center"/>
        <w:rPr>
          <w:rFonts w:ascii="Arial" w:eastAsia="Arial" w:hAnsi="Arial" w:cs="Arial"/>
          <w:b/>
          <w:smallCaps/>
          <w:color w:val="000000"/>
          <w:sz w:val="40"/>
          <w:szCs w:val="40"/>
        </w:rPr>
      </w:pPr>
    </w:p>
    <w:p w14:paraId="09FB2824" w14:textId="77777777" w:rsidR="00180B03" w:rsidRDefault="00180B03">
      <w:pPr>
        <w:jc w:val="center"/>
        <w:rPr>
          <w:rFonts w:ascii="Arial" w:eastAsia="Arial" w:hAnsi="Arial" w:cs="Arial"/>
          <w:b/>
          <w:smallCaps/>
          <w:color w:val="000000"/>
          <w:sz w:val="40"/>
          <w:szCs w:val="40"/>
        </w:rPr>
      </w:pPr>
    </w:p>
    <w:p w14:paraId="6DEFEF67" w14:textId="173411BD" w:rsidR="00FC6DFA" w:rsidRDefault="009F1B79">
      <w:pPr>
        <w:jc w:val="center"/>
        <w:rPr>
          <w:rFonts w:ascii="Arial" w:eastAsia="Arial" w:hAnsi="Arial" w:cs="Arial"/>
          <w:color w:val="000000"/>
          <w:sz w:val="40"/>
          <w:szCs w:val="40"/>
        </w:rPr>
      </w:pPr>
      <w:r>
        <w:rPr>
          <w:rFonts w:ascii="Arial" w:eastAsia="Arial" w:hAnsi="Arial" w:cs="Arial"/>
          <w:b/>
          <w:smallCaps/>
          <w:color w:val="000000"/>
          <w:sz w:val="40"/>
          <w:szCs w:val="40"/>
        </w:rPr>
        <w:lastRenderedPageBreak/>
        <w:t>GUIDANCE FOR STUDENTS IN THE COMPLETION OF TASKS</w:t>
      </w:r>
    </w:p>
    <w:p w14:paraId="28C022B4" w14:textId="77777777" w:rsidR="00FC6DFA" w:rsidRDefault="00FC6DFA">
      <w:pPr>
        <w:jc w:val="both"/>
        <w:rPr>
          <w:rFonts w:ascii="Arial" w:eastAsia="Arial" w:hAnsi="Arial" w:cs="Arial"/>
          <w:color w:val="000000"/>
        </w:rPr>
      </w:pPr>
    </w:p>
    <w:p w14:paraId="6E001699" w14:textId="77777777" w:rsidR="00FC6DFA" w:rsidRDefault="009F1B79">
      <w:pPr>
        <w:jc w:val="both"/>
        <w:rPr>
          <w:rFonts w:ascii="Arial" w:eastAsia="Arial" w:hAnsi="Arial" w:cs="Arial"/>
          <w:color w:val="000000"/>
        </w:rPr>
      </w:pPr>
      <w:r>
        <w:rPr>
          <w:rFonts w:ascii="Arial" w:eastAsia="Arial" w:hAnsi="Arial" w:cs="Arial"/>
          <w:b/>
          <w:color w:val="000000"/>
        </w:rPr>
        <w:t>NOTE: The guidance offered below is linked to the five generic assessment criteria.</w:t>
      </w:r>
    </w:p>
    <w:p w14:paraId="146FE92A" w14:textId="77777777" w:rsidR="00FC6DFA" w:rsidRDefault="009F1B79">
      <w:pPr>
        <w:numPr>
          <w:ilvl w:val="0"/>
          <w:numId w:val="4"/>
        </w:numPr>
        <w:pBdr>
          <w:top w:val="nil"/>
          <w:left w:val="nil"/>
          <w:bottom w:val="nil"/>
          <w:right w:val="nil"/>
          <w:between w:val="nil"/>
        </w:pBdr>
        <w:jc w:val="both"/>
        <w:rPr>
          <w:rFonts w:ascii="Arial" w:eastAsia="Arial" w:hAnsi="Arial" w:cs="Arial"/>
          <w:color w:val="000000"/>
        </w:rPr>
      </w:pPr>
      <w:r>
        <w:rPr>
          <w:rFonts w:ascii="Arial" w:eastAsia="Arial" w:hAnsi="Arial" w:cs="Arial"/>
          <w:b/>
          <w:color w:val="000000"/>
        </w:rPr>
        <w:t>Engagement with Literature Skills</w:t>
      </w:r>
    </w:p>
    <w:p w14:paraId="2450B438" w14:textId="77777777" w:rsidR="00FC6DFA" w:rsidRDefault="009F1B79">
      <w:pPr>
        <w:jc w:val="both"/>
        <w:rPr>
          <w:rFonts w:ascii="Arial" w:eastAsia="Arial" w:hAnsi="Arial" w:cs="Arial"/>
          <w:color w:val="000000"/>
        </w:rPr>
      </w:pPr>
      <w:r>
        <w:rPr>
          <w:rFonts w:ascii="Arial" w:eastAsia="Arial" w:hAnsi="Arial" w:cs="Arial"/>
          <w:color w:val="000000"/>
        </w:rPr>
        <w:t xml:space="preserve">Your work must be informed and supported by scholarly material that is </w:t>
      </w:r>
      <w:r>
        <w:rPr>
          <w:rFonts w:ascii="Arial" w:eastAsia="Arial" w:hAnsi="Arial" w:cs="Arial"/>
          <w:i/>
          <w:color w:val="000000"/>
        </w:rPr>
        <w:t>relevant</w:t>
      </w:r>
      <w:r>
        <w:rPr>
          <w:rFonts w:ascii="Arial" w:eastAsia="Arial" w:hAnsi="Arial" w:cs="Arial"/>
          <w:color w:val="000000"/>
        </w:rPr>
        <w:t xml:space="preserve"> to and </w:t>
      </w:r>
      <w:r>
        <w:rPr>
          <w:rFonts w:ascii="Arial" w:eastAsia="Arial" w:hAnsi="Arial" w:cs="Arial"/>
          <w:i/>
          <w:color w:val="000000"/>
        </w:rPr>
        <w:t>focused</w:t>
      </w:r>
      <w:r>
        <w:rPr>
          <w:rFonts w:ascii="Arial" w:eastAsia="Arial" w:hAnsi="Arial" w:cs="Arial"/>
          <w:color w:val="000000"/>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ascii="Arial" w:eastAsia="Arial" w:hAnsi="Arial" w:cs="Arial"/>
          <w:i/>
          <w:color w:val="000000"/>
        </w:rPr>
        <w:t>range</w:t>
      </w:r>
      <w:r>
        <w:rPr>
          <w:rFonts w:ascii="Arial" w:eastAsia="Arial" w:hAnsi="Arial" w:cs="Arial"/>
          <w:color w:val="000000"/>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color w:val="000000"/>
        </w:rPr>
        <w:t>credibility</w:t>
      </w:r>
      <w:r>
        <w:rPr>
          <w:rFonts w:ascii="Arial" w:eastAsia="Arial" w:hAnsi="Arial" w:cs="Arial"/>
          <w:color w:val="00000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color w:val="000000"/>
        </w:rPr>
        <w:t>evidence</w:t>
      </w:r>
      <w:r>
        <w:rPr>
          <w:rFonts w:ascii="Arial" w:eastAsia="Arial" w:hAnsi="Arial" w:cs="Arial"/>
          <w:color w:val="000000"/>
        </w:rPr>
        <w:t xml:space="preserve"> of your research/own reading throughout your work, using a suitable referencing system, including in-text citations in the main body of your work and a reference list at the end of your work. </w:t>
      </w:r>
    </w:p>
    <w:p w14:paraId="471E9884" w14:textId="77777777" w:rsidR="00FC6DFA" w:rsidRDefault="009F1B79">
      <w:pPr>
        <w:jc w:val="both"/>
        <w:rPr>
          <w:rFonts w:ascii="Arial" w:eastAsia="Arial" w:hAnsi="Arial" w:cs="Arial"/>
          <w:color w:val="000000"/>
        </w:rPr>
      </w:pPr>
      <w:r>
        <w:rPr>
          <w:rFonts w:ascii="Arial" w:eastAsia="Arial" w:hAnsi="Arial" w:cs="Arial"/>
          <w:b/>
          <w:i/>
          <w:color w:val="000000"/>
        </w:rPr>
        <w:t>Guidance specific to this assessment:</w:t>
      </w:r>
      <w:r>
        <w:rPr>
          <w:rFonts w:ascii="Arial" w:eastAsia="Arial" w:hAnsi="Arial" w:cs="Arial"/>
          <w:i/>
          <w:color w:val="000000"/>
        </w:rPr>
        <w:t xml:space="preserve"> </w:t>
      </w:r>
      <w:r>
        <w:rPr>
          <w:rFonts w:ascii="Arial" w:eastAsia="Arial" w:hAnsi="Arial" w:cs="Arial"/>
          <w:i/>
          <w:color w:val="0070C0"/>
        </w:rPr>
        <w:t>At level 6 you should be reading extensively on the subject area, your sources should be reliable. Try to limit the quantity of journalistic sources you use and, instead include peer reviewed journal articles or academic sources. The Universities library is 90% available on-line this allows you to access journals through the library, make use of this to gain good grades</w:t>
      </w:r>
      <w:r>
        <w:rPr>
          <w:rFonts w:ascii="Arial" w:eastAsia="Arial" w:hAnsi="Arial" w:cs="Arial"/>
          <w:i/>
          <w:color w:val="000000"/>
        </w:rPr>
        <w:t xml:space="preserve">. </w:t>
      </w:r>
      <w:r>
        <w:rPr>
          <w:rFonts w:ascii="Arial" w:eastAsia="Arial" w:hAnsi="Arial" w:cs="Arial"/>
          <w:color w:val="000000"/>
        </w:rPr>
        <w:t xml:space="preserve"> </w:t>
      </w:r>
    </w:p>
    <w:p w14:paraId="7BCDE76D" w14:textId="77777777" w:rsidR="00FC6DFA" w:rsidRDefault="009F1B79">
      <w:pPr>
        <w:numPr>
          <w:ilvl w:val="0"/>
          <w:numId w:val="4"/>
        </w:numPr>
        <w:pBdr>
          <w:top w:val="nil"/>
          <w:left w:val="nil"/>
          <w:bottom w:val="nil"/>
          <w:right w:val="nil"/>
          <w:between w:val="nil"/>
        </w:pBdr>
        <w:jc w:val="both"/>
        <w:rPr>
          <w:rFonts w:ascii="Arial" w:eastAsia="Arial" w:hAnsi="Arial" w:cs="Arial"/>
          <w:color w:val="000000"/>
        </w:rPr>
      </w:pPr>
      <w:r>
        <w:rPr>
          <w:rFonts w:ascii="Arial" w:eastAsia="Arial" w:hAnsi="Arial" w:cs="Arial"/>
          <w:b/>
          <w:color w:val="000000"/>
        </w:rPr>
        <w:t>Knowledge and Understanding Skills</w:t>
      </w:r>
    </w:p>
    <w:p w14:paraId="25343AE2" w14:textId="77777777" w:rsidR="00FC6DFA" w:rsidRDefault="009F1B79">
      <w:pPr>
        <w:jc w:val="both"/>
        <w:rPr>
          <w:rFonts w:ascii="Times New Roman" w:eastAsia="Times New Roman" w:hAnsi="Times New Roman" w:cs="Times New Roman"/>
          <w:color w:val="000000"/>
          <w:sz w:val="20"/>
          <w:szCs w:val="20"/>
        </w:rPr>
      </w:pPr>
      <w:r>
        <w:rPr>
          <w:rFonts w:ascii="Arial" w:eastAsia="Arial" w:hAnsi="Arial" w:cs="Arial"/>
          <w:color w:val="000000"/>
        </w:rPr>
        <w:t>At level 6, you should be able to demonstrate</w:t>
      </w:r>
      <w:r>
        <w:rPr>
          <w:rFonts w:ascii="Times New Roman" w:eastAsia="Times New Roman" w:hAnsi="Times New Roman" w:cs="Times New Roman"/>
          <w:color w:val="000000"/>
          <w:sz w:val="20"/>
          <w:szCs w:val="20"/>
        </w:rPr>
        <w:t xml:space="preserve"> </w:t>
      </w:r>
      <w:r>
        <w:rPr>
          <w:rFonts w:ascii="Arial" w:eastAsia="Arial" w:hAnsi="Arial" w:cs="Arial"/>
          <w:color w:val="000000"/>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eastAsia="Arial" w:hAnsi="Arial" w:cs="Arial"/>
          <w:i/>
          <w:color w:val="000000"/>
        </w:rPr>
        <w:t>Knowledge</w:t>
      </w:r>
      <w:r>
        <w:rPr>
          <w:rFonts w:ascii="Arial" w:eastAsia="Arial" w:hAnsi="Arial" w:cs="Arial"/>
          <w:color w:val="000000"/>
        </w:rPr>
        <w:t xml:space="preserve"> relates to the facts, information and skills you have acquired through your learning.  You demonstrate your </w:t>
      </w:r>
      <w:r>
        <w:rPr>
          <w:rFonts w:ascii="Arial" w:eastAsia="Arial" w:hAnsi="Arial" w:cs="Arial"/>
          <w:i/>
          <w:color w:val="000000"/>
        </w:rPr>
        <w:t>understanding</w:t>
      </w:r>
      <w:r>
        <w:rPr>
          <w:rFonts w:ascii="Arial" w:eastAsia="Arial" w:hAnsi="Arial" w:cs="Arial"/>
          <w:color w:val="00000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eastAsia="Arial" w:hAnsi="Arial" w:cs="Arial"/>
          <w:i/>
          <w:color w:val="000000"/>
        </w:rPr>
        <w:t>extent</w:t>
      </w:r>
      <w:r>
        <w:rPr>
          <w:rFonts w:ascii="Arial" w:eastAsia="Arial" w:hAnsi="Arial" w:cs="Arial"/>
          <w:color w:val="000000"/>
        </w:rPr>
        <w:t xml:space="preserve"> to which you demonstrate your knowledge and understanding; ideally each should be complete and detailed, with comprehensive coverage.</w:t>
      </w:r>
      <w:r>
        <w:rPr>
          <w:rFonts w:ascii="Times New Roman" w:eastAsia="Times New Roman" w:hAnsi="Times New Roman" w:cs="Times New Roman"/>
          <w:color w:val="000000"/>
          <w:sz w:val="20"/>
          <w:szCs w:val="20"/>
        </w:rPr>
        <w:t xml:space="preserve"> </w:t>
      </w:r>
    </w:p>
    <w:p w14:paraId="5FC3B45C" w14:textId="77777777" w:rsidR="00FC6DFA" w:rsidRDefault="009F1B79">
      <w:pPr>
        <w:jc w:val="both"/>
        <w:rPr>
          <w:rFonts w:ascii="Arial" w:eastAsia="Arial" w:hAnsi="Arial" w:cs="Arial"/>
          <w:color w:val="000000"/>
        </w:rPr>
      </w:pPr>
      <w:r>
        <w:rPr>
          <w:rFonts w:ascii="Arial" w:eastAsia="Arial" w:hAnsi="Arial" w:cs="Arial"/>
          <w:b/>
          <w:i/>
          <w:color w:val="000000"/>
        </w:rPr>
        <w:t>Guidance specific to this assessment:</w:t>
      </w:r>
      <w:r>
        <w:rPr>
          <w:rFonts w:ascii="Arial" w:eastAsia="Arial" w:hAnsi="Arial" w:cs="Arial"/>
          <w:i/>
          <w:color w:val="000000"/>
        </w:rPr>
        <w:t xml:space="preserve"> </w:t>
      </w:r>
      <w:r>
        <w:rPr>
          <w:rFonts w:ascii="Arial" w:eastAsia="Arial" w:hAnsi="Arial" w:cs="Arial"/>
          <w:i/>
          <w:color w:val="0070C0"/>
        </w:rPr>
        <w:t>You should read to build your knowledge base on the subject using lectures as a basis for learning, if you do not understand an element of the teaching make an appointment to speak to your lecturer. Attendance is key to develop your knowledge and understanding</w:t>
      </w:r>
      <w:r>
        <w:rPr>
          <w:rFonts w:ascii="Arial" w:eastAsia="Arial" w:hAnsi="Arial" w:cs="Arial"/>
          <w:i/>
          <w:color w:val="000000"/>
        </w:rPr>
        <w:t xml:space="preserve">. </w:t>
      </w:r>
    </w:p>
    <w:p w14:paraId="71EB1977" w14:textId="77777777" w:rsidR="00FC6DFA" w:rsidRDefault="00FC6DFA">
      <w:pPr>
        <w:jc w:val="both"/>
        <w:rPr>
          <w:rFonts w:ascii="Arial" w:eastAsia="Arial" w:hAnsi="Arial" w:cs="Arial"/>
          <w:i/>
          <w:color w:val="000000"/>
        </w:rPr>
      </w:pPr>
    </w:p>
    <w:p w14:paraId="633CE795" w14:textId="77777777" w:rsidR="00FC6DFA" w:rsidRDefault="00FC6DFA">
      <w:pPr>
        <w:jc w:val="both"/>
        <w:rPr>
          <w:rFonts w:ascii="Arial" w:eastAsia="Arial" w:hAnsi="Arial" w:cs="Arial"/>
          <w:i/>
          <w:color w:val="000000"/>
        </w:rPr>
      </w:pPr>
    </w:p>
    <w:p w14:paraId="328D3AFD" w14:textId="77777777" w:rsidR="00FC6DFA" w:rsidRDefault="009F1B79">
      <w:pPr>
        <w:numPr>
          <w:ilvl w:val="0"/>
          <w:numId w:val="4"/>
        </w:numPr>
        <w:pBdr>
          <w:top w:val="nil"/>
          <w:left w:val="nil"/>
          <w:bottom w:val="nil"/>
          <w:right w:val="nil"/>
          <w:between w:val="nil"/>
        </w:pBdr>
        <w:jc w:val="both"/>
        <w:rPr>
          <w:rFonts w:ascii="Arial" w:eastAsia="Arial" w:hAnsi="Arial" w:cs="Arial"/>
          <w:color w:val="000000"/>
        </w:rPr>
      </w:pPr>
      <w:r>
        <w:rPr>
          <w:rFonts w:ascii="Arial" w:eastAsia="Arial" w:hAnsi="Arial" w:cs="Arial"/>
          <w:b/>
          <w:color w:val="000000"/>
        </w:rPr>
        <w:lastRenderedPageBreak/>
        <w:t>Cognitive and Intellectual Skills</w:t>
      </w:r>
    </w:p>
    <w:p w14:paraId="6F1CB90D" w14:textId="77777777" w:rsidR="00FC6DFA" w:rsidRDefault="009F1B79">
      <w:pPr>
        <w:jc w:val="both"/>
        <w:rPr>
          <w:rFonts w:ascii="Arial" w:eastAsia="Arial" w:hAnsi="Arial" w:cs="Arial"/>
          <w:color w:val="000000"/>
        </w:rPr>
      </w:pPr>
      <w:r>
        <w:rPr>
          <w:rFonts w:ascii="Arial" w:eastAsia="Arial" w:hAnsi="Arial" w:cs="Arial"/>
          <w:color w:val="000000"/>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3BF409F4" w14:textId="77777777" w:rsidR="00FC6DFA" w:rsidRDefault="009F1B79">
      <w:pPr>
        <w:jc w:val="both"/>
        <w:rPr>
          <w:rFonts w:ascii="Arial" w:eastAsia="Arial" w:hAnsi="Arial" w:cs="Arial"/>
          <w:color w:val="0070C0"/>
        </w:rPr>
      </w:pPr>
      <w:r>
        <w:rPr>
          <w:rFonts w:ascii="Arial" w:eastAsia="Arial" w:hAnsi="Arial" w:cs="Arial"/>
          <w:b/>
          <w:i/>
          <w:color w:val="000000"/>
        </w:rPr>
        <w:t>Guidance specific to this assessment:</w:t>
      </w:r>
      <w:r>
        <w:rPr>
          <w:rFonts w:ascii="Arial" w:eastAsia="Arial" w:hAnsi="Arial" w:cs="Arial"/>
          <w:i/>
          <w:color w:val="000000"/>
        </w:rPr>
        <w:t xml:space="preserve"> </w:t>
      </w:r>
      <w:r>
        <w:rPr>
          <w:rFonts w:ascii="Arial" w:eastAsia="Arial" w:hAnsi="Arial" w:cs="Arial"/>
          <w:i/>
          <w:color w:val="0070C0"/>
        </w:rPr>
        <w:t xml:space="preserve">Avoid descriptive accounts of subject areas, you should at this level be discussing and arguing points, do not try to discuss too many points, select an area of study and then analyse and discuss this area.  </w:t>
      </w:r>
      <w:r>
        <w:rPr>
          <w:rFonts w:ascii="Arial" w:eastAsia="Arial" w:hAnsi="Arial" w:cs="Arial"/>
          <w:color w:val="0070C0"/>
        </w:rPr>
        <w:t xml:space="preserve"> </w:t>
      </w:r>
    </w:p>
    <w:p w14:paraId="1C2EB494" w14:textId="77777777" w:rsidR="00FC6DFA" w:rsidRDefault="009F1B79">
      <w:pPr>
        <w:numPr>
          <w:ilvl w:val="0"/>
          <w:numId w:val="4"/>
        </w:numPr>
        <w:pBdr>
          <w:top w:val="nil"/>
          <w:left w:val="nil"/>
          <w:bottom w:val="nil"/>
          <w:right w:val="nil"/>
          <w:between w:val="nil"/>
        </w:pBdr>
        <w:jc w:val="both"/>
        <w:rPr>
          <w:rFonts w:ascii="Arial" w:eastAsia="Arial" w:hAnsi="Arial" w:cs="Arial"/>
          <w:color w:val="000000"/>
        </w:rPr>
      </w:pPr>
      <w:r>
        <w:rPr>
          <w:rFonts w:ascii="Arial" w:eastAsia="Arial" w:hAnsi="Arial" w:cs="Arial"/>
          <w:b/>
          <w:color w:val="000000"/>
        </w:rPr>
        <w:t>Practical Skills</w:t>
      </w:r>
    </w:p>
    <w:p w14:paraId="46D24A90" w14:textId="77777777" w:rsidR="00FC6DFA" w:rsidRDefault="009F1B79">
      <w:pPr>
        <w:jc w:val="both"/>
        <w:rPr>
          <w:rFonts w:ascii="Arial" w:eastAsia="Arial" w:hAnsi="Arial" w:cs="Arial"/>
          <w:color w:val="000000"/>
        </w:rPr>
      </w:pPr>
      <w:r>
        <w:rPr>
          <w:rFonts w:ascii="Arial" w:eastAsia="Arial" w:hAnsi="Arial" w:cs="Arial"/>
          <w:color w:val="000000"/>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C834404" w14:textId="77777777" w:rsidR="00FC6DFA" w:rsidRDefault="009F1B79">
      <w:pPr>
        <w:jc w:val="both"/>
        <w:rPr>
          <w:rFonts w:ascii="Arial" w:eastAsia="Arial" w:hAnsi="Arial" w:cs="Arial"/>
          <w:color w:val="0070C0"/>
        </w:rPr>
      </w:pPr>
      <w:r>
        <w:rPr>
          <w:rFonts w:ascii="Arial" w:eastAsia="Arial" w:hAnsi="Arial" w:cs="Arial"/>
          <w:b/>
          <w:i/>
          <w:color w:val="000000"/>
        </w:rPr>
        <w:t>Guidance specific to this assessment:</w:t>
      </w:r>
      <w:r>
        <w:rPr>
          <w:rFonts w:ascii="Arial" w:eastAsia="Arial" w:hAnsi="Arial" w:cs="Arial"/>
          <w:i/>
          <w:color w:val="000000"/>
        </w:rPr>
        <w:t xml:space="preserve"> </w:t>
      </w:r>
      <w:r>
        <w:rPr>
          <w:rFonts w:ascii="Arial" w:eastAsia="Arial" w:hAnsi="Arial" w:cs="Arial"/>
          <w:i/>
          <w:color w:val="0070C0"/>
          <w:sz w:val="24"/>
          <w:szCs w:val="24"/>
        </w:rPr>
        <w:t xml:space="preserve">Put into practice what you have learned in Academic skills to structure your work so that it flows from one logical argument to the next using ‘linking’ words and sentences. Demonstrate you effective referencing skills. </w:t>
      </w:r>
      <w:r>
        <w:rPr>
          <w:rFonts w:ascii="Arial" w:eastAsia="Arial" w:hAnsi="Arial" w:cs="Arial"/>
          <w:color w:val="0070C0"/>
        </w:rPr>
        <w:t xml:space="preserve"> </w:t>
      </w:r>
    </w:p>
    <w:p w14:paraId="22D50ECB" w14:textId="77777777" w:rsidR="00FC6DFA" w:rsidRDefault="00FC6DFA">
      <w:pPr>
        <w:jc w:val="both"/>
        <w:rPr>
          <w:rFonts w:ascii="Arial" w:eastAsia="Arial" w:hAnsi="Arial" w:cs="Arial"/>
          <w:color w:val="000000"/>
        </w:rPr>
      </w:pPr>
    </w:p>
    <w:p w14:paraId="72957657" w14:textId="77777777" w:rsidR="00FC6DFA" w:rsidRDefault="00FC6DFA">
      <w:pPr>
        <w:jc w:val="both"/>
        <w:rPr>
          <w:rFonts w:ascii="Arial" w:eastAsia="Arial" w:hAnsi="Arial" w:cs="Arial"/>
          <w:color w:val="000000"/>
        </w:rPr>
      </w:pPr>
    </w:p>
    <w:p w14:paraId="6AE9D2E7" w14:textId="77777777" w:rsidR="00FC6DFA" w:rsidRDefault="009F1B79">
      <w:pPr>
        <w:numPr>
          <w:ilvl w:val="0"/>
          <w:numId w:val="4"/>
        </w:numPr>
        <w:pBdr>
          <w:top w:val="nil"/>
          <w:left w:val="nil"/>
          <w:bottom w:val="nil"/>
          <w:right w:val="nil"/>
          <w:between w:val="nil"/>
        </w:pBdr>
        <w:jc w:val="both"/>
        <w:rPr>
          <w:rFonts w:ascii="Arial" w:eastAsia="Arial" w:hAnsi="Arial" w:cs="Arial"/>
          <w:color w:val="000000"/>
        </w:rPr>
      </w:pPr>
      <w:r>
        <w:rPr>
          <w:rFonts w:ascii="Arial" w:eastAsia="Arial" w:hAnsi="Arial" w:cs="Arial"/>
          <w:b/>
          <w:color w:val="000000"/>
        </w:rPr>
        <w:t xml:space="preserve">Transferable Skills for Life and Professional Practice </w:t>
      </w:r>
    </w:p>
    <w:p w14:paraId="274CC5F4" w14:textId="77777777" w:rsidR="00FC6DFA" w:rsidRDefault="009F1B79">
      <w:pPr>
        <w:jc w:val="both"/>
        <w:rPr>
          <w:rFonts w:ascii="Arial" w:eastAsia="Arial" w:hAnsi="Arial" w:cs="Arial"/>
          <w:color w:val="000000"/>
        </w:rPr>
      </w:pPr>
      <w:r>
        <w:rPr>
          <w:rFonts w:ascii="Arial" w:eastAsia="Arial" w:hAnsi="Arial" w:cs="Arial"/>
          <w:color w:val="000000"/>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t>
      </w:r>
      <w:r>
        <w:rPr>
          <w:rFonts w:ascii="Arial" w:eastAsia="Arial" w:hAnsi="Arial" w:cs="Arial"/>
          <w:color w:val="000000"/>
        </w:rPr>
        <w:lastRenderedPageBreak/>
        <w:t>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752F9FB" w14:textId="77777777" w:rsidR="00FC6DFA" w:rsidRDefault="009F1B79">
      <w:pPr>
        <w:jc w:val="both"/>
        <w:rPr>
          <w:rFonts w:ascii="Arial" w:eastAsia="Arial" w:hAnsi="Arial" w:cs="Arial"/>
          <w:color w:val="000000"/>
        </w:rPr>
      </w:pPr>
      <w:r>
        <w:rPr>
          <w:rFonts w:ascii="Arial" w:eastAsia="Arial" w:hAnsi="Arial" w:cs="Arial"/>
          <w:b/>
          <w:i/>
          <w:color w:val="000000"/>
        </w:rPr>
        <w:t>Guidance specific to this assessment:</w:t>
      </w:r>
      <w:r>
        <w:rPr>
          <w:rFonts w:ascii="Arial" w:eastAsia="Arial" w:hAnsi="Arial" w:cs="Arial"/>
          <w:i/>
          <w:color w:val="000000"/>
        </w:rPr>
        <w:t xml:space="preserve"> </w:t>
      </w:r>
    </w:p>
    <w:p w14:paraId="554CF1F1" w14:textId="77777777" w:rsidR="00FC6DFA" w:rsidRDefault="00FC6DFA">
      <w:pPr>
        <w:jc w:val="both"/>
        <w:rPr>
          <w:rFonts w:ascii="Arial" w:eastAsia="Arial" w:hAnsi="Arial" w:cs="Arial"/>
          <w:color w:val="000000"/>
        </w:rPr>
      </w:pPr>
    </w:p>
    <w:p w14:paraId="03EA89A4" w14:textId="77777777" w:rsidR="00FC6DFA" w:rsidRDefault="00FC6DFA">
      <w:pPr>
        <w:jc w:val="both"/>
        <w:rPr>
          <w:rFonts w:ascii="Arial" w:eastAsia="Arial" w:hAnsi="Arial" w:cs="Arial"/>
          <w:color w:val="000000"/>
        </w:rPr>
      </w:pPr>
    </w:p>
    <w:p w14:paraId="57AEF8F2" w14:textId="77777777" w:rsidR="00FC6DFA" w:rsidRDefault="00FC6DFA">
      <w:pPr>
        <w:jc w:val="both"/>
        <w:rPr>
          <w:rFonts w:ascii="Arial" w:eastAsia="Arial" w:hAnsi="Arial" w:cs="Arial"/>
          <w:color w:val="000000"/>
        </w:rPr>
      </w:pPr>
    </w:p>
    <w:p w14:paraId="6E9147BC" w14:textId="77777777" w:rsidR="00FC6DFA" w:rsidRDefault="00FC6DFA">
      <w:pPr>
        <w:jc w:val="both"/>
        <w:rPr>
          <w:rFonts w:ascii="Arial" w:eastAsia="Arial" w:hAnsi="Arial" w:cs="Arial"/>
          <w:color w:val="000000"/>
        </w:rPr>
      </w:pPr>
    </w:p>
    <w:p w14:paraId="5679DFBF" w14:textId="77777777" w:rsidR="00FC6DFA" w:rsidRDefault="00FC6DFA">
      <w:pPr>
        <w:jc w:val="both"/>
        <w:rPr>
          <w:rFonts w:ascii="Arial" w:eastAsia="Arial" w:hAnsi="Arial" w:cs="Arial"/>
          <w:color w:val="000000"/>
        </w:rPr>
      </w:pPr>
    </w:p>
    <w:p w14:paraId="1C898452" w14:textId="77777777" w:rsidR="00FC6DFA" w:rsidRDefault="00FC6DFA">
      <w:pPr>
        <w:jc w:val="both"/>
        <w:rPr>
          <w:rFonts w:ascii="Arial" w:eastAsia="Arial" w:hAnsi="Arial" w:cs="Arial"/>
          <w:color w:val="000000"/>
        </w:rPr>
      </w:pPr>
    </w:p>
    <w:p w14:paraId="2044AC39" w14:textId="77777777" w:rsidR="00FC6DFA" w:rsidRDefault="009F1B79">
      <w:pPr>
        <w:jc w:val="both"/>
        <w:rPr>
          <w:rFonts w:ascii="Arial" w:eastAsia="Arial" w:hAnsi="Arial" w:cs="Arial"/>
          <w:color w:val="000000"/>
        </w:rPr>
      </w:pPr>
      <w:r>
        <w:rPr>
          <w:rFonts w:ascii="Arial" w:eastAsia="Arial" w:hAnsi="Arial" w:cs="Arial"/>
          <w:color w:val="000000"/>
        </w:rPr>
        <w:t xml:space="preserve">Marking Criteria: </w:t>
      </w:r>
    </w:p>
    <w:p w14:paraId="058FD037" w14:textId="77777777" w:rsidR="00FC6DFA" w:rsidRDefault="009F1B79">
      <w:pPr>
        <w:spacing w:before="100" w:after="100"/>
        <w:rPr>
          <w:rFonts w:ascii="Arial" w:eastAsia="Arial" w:hAnsi="Arial" w:cs="Arial"/>
          <w:color w:val="303B44"/>
        </w:rPr>
      </w:pPr>
      <w:r>
        <w:rPr>
          <w:rFonts w:ascii="Arial" w:eastAsia="Arial" w:hAnsi="Arial" w:cs="Arial"/>
          <w:b/>
          <w:color w:val="303B44"/>
        </w:rPr>
        <w:t>GENERIC ASSESSMENT CRITERIA – Level 6</w:t>
      </w:r>
    </w:p>
    <w:p w14:paraId="793388B9" w14:textId="77777777" w:rsidR="00FC6DFA" w:rsidRDefault="00FC6DFA">
      <w:pPr>
        <w:spacing w:before="100" w:after="100"/>
        <w:rPr>
          <w:rFonts w:ascii="Arial" w:eastAsia="Arial" w:hAnsi="Arial" w:cs="Arial"/>
          <w:color w:val="303B44"/>
        </w:rPr>
      </w:pPr>
    </w:p>
    <w:tbl>
      <w:tblPr>
        <w:tblStyle w:val="a7"/>
        <w:tblW w:w="9015" w:type="dxa"/>
        <w:tblBorders>
          <w:top w:val="single" w:sz="6" w:space="0" w:color="000000"/>
          <w:left w:val="single" w:sz="6" w:space="0" w:color="000000"/>
          <w:bottom w:val="single" w:sz="6" w:space="0" w:color="000000"/>
          <w:right w:val="single" w:sz="6" w:space="0" w:color="000000"/>
          <w:insideH w:val="single" w:sz="4" w:space="0" w:color="000000"/>
          <w:insideV w:val="single" w:sz="4" w:space="0" w:color="000000"/>
        </w:tblBorders>
        <w:tblLayout w:type="fixed"/>
        <w:tblLook w:val="0400" w:firstRow="0" w:lastRow="0" w:firstColumn="0" w:lastColumn="0" w:noHBand="0" w:noVBand="1"/>
      </w:tblPr>
      <w:tblGrid>
        <w:gridCol w:w="9015"/>
      </w:tblGrid>
      <w:tr w:rsidR="00FC6DFA" w14:paraId="2DD1B235" w14:textId="77777777">
        <w:trPr>
          <w:trHeight w:val="300"/>
        </w:trPr>
        <w:tc>
          <w:tcPr>
            <w:tcW w:w="9015" w:type="dxa"/>
            <w:shd w:val="clear" w:color="auto" w:fill="C2D69B"/>
            <w:tcMar>
              <w:left w:w="105" w:type="dxa"/>
              <w:right w:w="105" w:type="dxa"/>
            </w:tcMar>
          </w:tcPr>
          <w:p w14:paraId="49110AA2" w14:textId="77777777" w:rsidR="00FC6DFA" w:rsidRDefault="009F1B79">
            <w:pPr>
              <w:rPr>
                <w:rFonts w:ascii="Arial" w:eastAsia="Arial" w:hAnsi="Arial" w:cs="Arial"/>
                <w:sz w:val="20"/>
                <w:szCs w:val="20"/>
              </w:rPr>
            </w:pPr>
            <w:r>
              <w:rPr>
                <w:rFonts w:ascii="Arial" w:eastAsia="Arial" w:hAnsi="Arial" w:cs="Arial"/>
                <w:b/>
                <w:sz w:val="20"/>
                <w:szCs w:val="20"/>
              </w:rPr>
              <w:t>Level 6</w:t>
            </w:r>
          </w:p>
        </w:tc>
      </w:tr>
      <w:tr w:rsidR="00FC6DFA" w14:paraId="1ECF16E7" w14:textId="77777777">
        <w:trPr>
          <w:trHeight w:val="300"/>
        </w:trPr>
        <w:tc>
          <w:tcPr>
            <w:tcW w:w="9015" w:type="dxa"/>
            <w:shd w:val="clear" w:color="auto" w:fill="EAF1DD"/>
            <w:tcMar>
              <w:left w:w="105" w:type="dxa"/>
              <w:right w:w="105" w:type="dxa"/>
            </w:tcMar>
          </w:tcPr>
          <w:p w14:paraId="60AE6E6C" w14:textId="77777777" w:rsidR="00FC6DFA" w:rsidRDefault="009F1B79">
            <w:pPr>
              <w:rPr>
                <w:rFonts w:ascii="Arial" w:eastAsia="Arial" w:hAnsi="Arial" w:cs="Arial"/>
                <w:sz w:val="20"/>
                <w:szCs w:val="20"/>
              </w:rPr>
            </w:pPr>
            <w:r>
              <w:rPr>
                <w:rFonts w:ascii="Arial" w:eastAsia="Arial" w:hAnsi="Arial" w:cs="Arial"/>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9AE6474" w14:textId="77777777" w:rsidR="00FC6DFA" w:rsidRDefault="00FC6DFA">
      <w:pPr>
        <w:jc w:val="both"/>
        <w:rPr>
          <w:rFonts w:ascii="Arial" w:eastAsia="Arial" w:hAnsi="Arial" w:cs="Arial"/>
          <w:color w:val="000000"/>
        </w:rPr>
      </w:pPr>
    </w:p>
    <w:p w14:paraId="02506307" w14:textId="77777777" w:rsidR="00FC6DFA" w:rsidRDefault="009F1B79">
      <w:pPr>
        <w:rPr>
          <w:rFonts w:ascii="Arial" w:eastAsia="Arial" w:hAnsi="Arial" w:cs="Arial"/>
          <w:sz w:val="24"/>
          <w:szCs w:val="24"/>
        </w:rPr>
      </w:pPr>
      <w:r>
        <w:rPr>
          <w:rFonts w:ascii="Arial" w:eastAsia="Arial" w:hAnsi="Arial" w:cs="Arial"/>
          <w:sz w:val="24"/>
          <w:szCs w:val="24"/>
        </w:rPr>
        <w:t>A copy of the Level 6 marking criteria can be found on Moodle</w:t>
      </w:r>
    </w:p>
    <w:p w14:paraId="60F3AF73" w14:textId="77777777" w:rsidR="00FC6DFA" w:rsidRDefault="00FC6DFA">
      <w:pPr>
        <w:spacing w:before="240" w:after="60"/>
        <w:ind w:right="237"/>
        <w:jc w:val="both"/>
        <w:rPr>
          <w:rFonts w:ascii="Arial" w:eastAsia="Arial" w:hAnsi="Arial" w:cs="Arial"/>
          <w:color w:val="000000"/>
          <w:sz w:val="24"/>
          <w:szCs w:val="24"/>
        </w:rPr>
      </w:pPr>
    </w:p>
    <w:p w14:paraId="7F9EB98D" w14:textId="77777777" w:rsidR="00FC6DFA" w:rsidRDefault="00FC6DFA">
      <w:pPr>
        <w:rPr>
          <w:rFonts w:ascii="Arial" w:eastAsia="Arial" w:hAnsi="Arial" w:cs="Arial"/>
          <w:b/>
          <w:sz w:val="28"/>
          <w:szCs w:val="28"/>
        </w:rPr>
      </w:pPr>
    </w:p>
    <w:sectPr w:rsidR="00FC6DFA">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embedRegular r:id="rId1" w:fontKey="{FCFA7AC3-5438-4C37-8264-454998AFB114}"/>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E1704B94-2479-4C3C-858A-38260B27AC6F}"/>
    <w:embedBold r:id="rId3" w:fontKey="{AC3622F8-F4E6-4287-B5C9-666BD90001C3}"/>
    <w:embedItalic r:id="rId4" w:fontKey="{52FD7914-96DE-43BC-A029-A373E6CF9761}"/>
    <w:embedBoldItalic r:id="rId5" w:fontKey="{593BDEA5-DB1B-4EDD-A797-3DA9888FC4C8}"/>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Regular r:id="rId6" w:fontKey="{87AF9D16-2AA0-4C48-A23C-BE3587FB17C7}"/>
    <w:embedItalic r:id="rId7" w:fontKey="{BC5741A6-071C-4829-AADC-60F8BB65655B}"/>
  </w:font>
  <w:font w:name="MS Gothic">
    <w:altName w:val="ＭＳ ゴシック"/>
    <w:panose1 w:val="020B0609070205080204"/>
    <w:charset w:val="80"/>
    <w:family w:val="modern"/>
    <w:pitch w:val="fixed"/>
    <w:sig w:usb0="E00002FF" w:usb1="6AC7FDFB" w:usb2="08000012" w:usb3="00000000" w:csb0="0002009F" w:csb1="00000000"/>
    <w:embedRegular r:id="rId8" w:subsetted="1" w:fontKey="{CD3C6340-444F-4B9E-B0FC-51E5E024EC53}"/>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embedRegular r:id="rId9" w:fontKey="{1EF9FD82-EBB4-485F-B931-51A4D971A3A9}"/>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767EDA"/>
    <w:multiLevelType w:val="multilevel"/>
    <w:tmpl w:val="A40855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D5B79C4"/>
    <w:multiLevelType w:val="multilevel"/>
    <w:tmpl w:val="4F44646C"/>
    <w:lvl w:ilvl="0">
      <w:start w:val="1"/>
      <w:numFmt w:val="decimal"/>
      <w:lvlText w:val="%1."/>
      <w:lvlJc w:val="left"/>
      <w:pPr>
        <w:ind w:left="360" w:hanging="360"/>
      </w:pPr>
      <w:rPr>
        <w:rFonts w:ascii="Arial" w:eastAsia="Arial" w:hAnsi="Arial" w:cs="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3DC919A4"/>
    <w:multiLevelType w:val="multilevel"/>
    <w:tmpl w:val="970E7EC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A6100BA"/>
    <w:multiLevelType w:val="multilevel"/>
    <w:tmpl w:val="3DDA3B7E"/>
    <w:lvl w:ilvl="0">
      <w:start w:val="1"/>
      <w:numFmt w:val="lowerLetter"/>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4" w15:restartNumberingAfterBreak="0">
    <w:nsid w:val="5BB73E8F"/>
    <w:multiLevelType w:val="multilevel"/>
    <w:tmpl w:val="81703932"/>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64F72662"/>
    <w:multiLevelType w:val="multilevel"/>
    <w:tmpl w:val="5CE4FB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323436561">
    <w:abstractNumId w:val="4"/>
  </w:num>
  <w:num w:numId="2" w16cid:durableId="1887450379">
    <w:abstractNumId w:val="0"/>
  </w:num>
  <w:num w:numId="3" w16cid:durableId="2064021633">
    <w:abstractNumId w:val="2"/>
  </w:num>
  <w:num w:numId="4" w16cid:durableId="657807333">
    <w:abstractNumId w:val="1"/>
  </w:num>
  <w:num w:numId="5" w16cid:durableId="462818283">
    <w:abstractNumId w:val="3"/>
  </w:num>
  <w:num w:numId="6" w16cid:durableId="14992747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6DFA"/>
    <w:rsid w:val="00080C40"/>
    <w:rsid w:val="00180B03"/>
    <w:rsid w:val="001F26BE"/>
    <w:rsid w:val="00465E69"/>
    <w:rsid w:val="005E53FB"/>
    <w:rsid w:val="00662FD2"/>
    <w:rsid w:val="00686406"/>
    <w:rsid w:val="006B04C9"/>
    <w:rsid w:val="007E06C3"/>
    <w:rsid w:val="008F426B"/>
    <w:rsid w:val="009F1B79"/>
    <w:rsid w:val="00AD19F1"/>
    <w:rsid w:val="00B61699"/>
    <w:rsid w:val="00BF2982"/>
    <w:rsid w:val="00C337AF"/>
    <w:rsid w:val="00CD5F95"/>
    <w:rsid w:val="00DD05CC"/>
    <w:rsid w:val="00E04FDF"/>
    <w:rsid w:val="00FC6D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96A02"/>
  <w15:docId w15:val="{4E9683D8-670C-4307-B8A1-01C2E664E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160" w:after="80"/>
      <w:outlineLvl w:val="1"/>
    </w:pPr>
    <w:rPr>
      <w:color w:val="2F5496"/>
      <w:sz w:val="32"/>
      <w:szCs w:val="32"/>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customStyle="1" w:styleId="bullet">
    <w:name w:val="bullet"/>
    <w:basedOn w:val="Normal"/>
    <w:link w:val="bulletChar"/>
    <w:rsid w:val="7336895D"/>
    <w:pPr>
      <w:spacing w:before="120" w:after="0"/>
      <w:ind w:left="1004" w:hanging="284"/>
      <w:jc w:val="both"/>
    </w:pPr>
    <w:rPr>
      <w:rFonts w:ascii="Times New Roman" w:eastAsia="Times New Roman" w:hAnsi="Times New Roman" w:cs="Times New Roman"/>
      <w:sz w:val="24"/>
      <w:szCs w:val="24"/>
      <w:lang w:eastAsia="en-GB"/>
    </w:rPr>
  </w:style>
  <w:style w:type="character" w:customStyle="1" w:styleId="bulletChar">
    <w:name w:val="bullet Char"/>
    <w:basedOn w:val="DefaultParagraphFont"/>
    <w:link w:val="bullet"/>
    <w:rsid w:val="7336895D"/>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pPr>
      <w:spacing w:after="0" w:line="240" w:lineRule="auto"/>
    </w:pPr>
    <w:tblPr>
      <w:tblStyleRowBandSize w:val="1"/>
      <w:tblStyleColBandSize w:val="1"/>
    </w:tblPr>
  </w:style>
  <w:style w:type="table" w:customStyle="1" w:styleId="a7">
    <w:basedOn w:val="TableNormal"/>
    <w:pPr>
      <w:spacing w:after="0" w:line="240" w:lineRule="auto"/>
    </w:pPr>
    <w:tblPr>
      <w:tblStyleRowBandSize w:val="1"/>
      <w:tblStyleColBandSize w:val="1"/>
    </w:tblPr>
  </w:style>
  <w:style w:type="paragraph" w:styleId="Bibliography">
    <w:name w:val="Bibliography"/>
    <w:basedOn w:val="Normal"/>
    <w:next w:val="Normal"/>
    <w:uiPriority w:val="37"/>
    <w:unhideWhenUsed/>
    <w:rsid w:val="005E53FB"/>
    <w:rPr>
      <w:rFonts w:asciiTheme="minorHAnsi" w:eastAsiaTheme="minorHAnsi" w:hAnsiTheme="minorHAnsi" w:cstheme="minorBidi"/>
      <w:kern w:val="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intranet.uwtsd.ac.uk/sites/intranet/files/2023-10/Harvard%20en_v.1.3%20%28V6%29.pdf" TargetMode="External"/><Relationship Id="rId4" Type="http://schemas.openxmlformats.org/officeDocument/2006/relationships/styles" Target="styles.xml"/><Relationship Id="rId9" Type="http://schemas.openxmlformats.org/officeDocument/2006/relationships/hyperlink" Target="https://moodle.uwtsd.ac.uk/pluginfile.php/298870/mod_resource/content/1/Reflective%20Practice%20for%20Policing%20Students%20-%20Selina%20Copley%20Chapter5.pdf"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New12</b:Tag>
    <b:SourceType>Book</b:SourceType>
    <b:Guid>{6E4BFFA1-5EB6-451D-AA35-0DA9756D7DE0}</b:Guid>
    <b:Title>Handbook of Policing</b:Title>
    <b:Year>2012</b:Year>
    <b:Author>
      <b:Author>
        <b:NameList>
          <b:Person>
            <b:Last>Newburn</b:Last>
            <b:First>Tim</b:First>
          </b:Person>
        </b:NameList>
      </b:Author>
    </b:Author>
    <b:City>Devon</b:City>
    <b:Publisher>Willan Publishing</b:Publisher>
    <b:Edition>2nd</b:Edition>
    <b:RefOrder>1</b:RefOrder>
  </b:Source>
  <b:Source>
    <b:Tag>Ste09</b:Tag>
    <b:SourceType>Book</b:SourceType>
    <b:Guid>{A831BDFB-D594-4827-AA6A-A00F58AA6D48}</b:Guid>
    <b:Title>Criminal Investigation: An Introduction to Principles and Practice</b:Title>
    <b:Year>2009</b:Year>
    <b:Author>
      <b:Author>
        <b:NameList>
          <b:Person>
            <b:Last>Stelfox</b:Last>
            <b:First>Peter</b:First>
          </b:Person>
        </b:NameList>
      </b:Author>
    </b:Author>
    <b:City>Cullompton</b:City>
    <b:Publisher>Willan Publishing</b:Publisher>
    <b:RefOrder>2</b:RefOrder>
  </b:Source>
  <b:Source>
    <b:Tag>UKP96</b:Tag>
    <b:SourceType>DocumentFromInternetSite</b:SourceType>
    <b:Guid>{8740E7C4-5414-40D9-966F-89243D4D4196}</b:Guid>
    <b:Title>Criminal Procedure and Investigations Act 1996</b:Title>
    <b:Year>1996</b:Year>
    <b:Author>
      <b:Author>
        <b:Corporate>UK Parliament</b:Corporate>
      </b:Author>
    </b:Author>
    <b:YearAccessed>2026</b:YearAccessed>
    <b:MonthAccessed>April</b:MonthAccessed>
    <b:DayAccessed>6</b:DayAccessed>
    <b:URL>https://www.legislation.gov.uk/ukpga/1996/25/contents</b:URL>
    <b:RefOrder>3</b:RefOrder>
  </b:Source>
  <b:Source>
    <b:Tag>Col26</b:Tag>
    <b:SourceType>DocumentFromInternetSite</b:SourceType>
    <b:Guid>{2DE1F99C-2CA4-4B83-BD08-95DA22CF6D06}</b:Guid>
    <b:Author>
      <b:Author>
        <b:Corporate>College of Policing</b:Corporate>
      </b:Author>
    </b:Author>
    <b:Title>Investigative Interviewing</b:Title>
    <b:YearAccessed>2026</b:YearAccessed>
    <b:MonthAccessed>April</b:MonthAccessed>
    <b:DayAccessed>9</b:DayAccessed>
    <b:URL>https://www.college.police.uk/app/investigation/investigative-interviewing/investigative-interviewing</b:URL>
    <b:RefOrder>4</b:RefOrder>
  </b:Source>
  <b:Source>
    <b:Tag>Mar18</b:Tag>
    <b:SourceType>Book</b:SourceType>
    <b:Guid>{F9B91FCA-8487-405B-85C0-935AAD53281F}</b:Guid>
    <b:Author>
      <b:Author>
        <b:NameList>
          <b:Person>
            <b:Last>Hartley</b:Last>
            <b:First>Mark</b:First>
          </b:Person>
        </b:NameList>
      </b:Author>
    </b:Author>
    <b:Title>Blackstone's Police Operational Handbook 2018</b:Title>
    <b:Year>2018</b:Year>
    <b:Publisher>Oxford University Press</b:Publisher>
    <b:RefOrder>5</b:RefOrder>
  </b:Source>
  <b:Source>
    <b:Tag>HMI21</b:Tag>
    <b:SourceType>Report</b:SourceType>
    <b:Guid>{9AC0A7C2-D0EB-49C7-9A28-EAD5625BDC22}</b:Guid>
    <b:Title>The Digital Divide: A policing inspection of digital forensics</b:Title>
    <b:Year>2021</b:Year>
    <b:Author>
      <b:Author>
        <b:Corporate>HMICFRS</b:Corporate>
      </b:Author>
    </b:Author>
    <b:Publisher>Her Majerty's Inspectorate of Constabulary and Fire and Rescue Services</b:Publisher>
    <b:City>London</b:City>
    <b:RefOrder>6</b:RefOrder>
  </b:Source>
  <b:Source>
    <b:Tag>HMI18</b:Tag>
    <b:SourceType>Report</b:SourceType>
    <b:Guid>{584F9AC4-0D1E-4354-9230-B3DA351D66AF}</b:Guid>
    <b:Author>
      <b:Author>
        <b:Corporate>HMICFRS</b:Corporate>
      </b:Author>
    </b:Author>
    <b:Title>Making it fair, making it work: A joint inspection of the disclosure of unused material in volume and directed cases</b:Title>
    <b:Year>2018</b:Year>
    <b:Publisher>HMICFRS</b:Publisher>
    <b:City>London</b:City>
    <b:RefOrder>7</b:RefOrder>
  </b:Source>
  <b:Source>
    <b:Tag>Ros09</b:Tag>
    <b:SourceType>Book</b:SourceType>
    <b:Guid>{90A32546-B92F-4CBA-99AD-3905D8A0DFAE}</b:Guid>
    <b:Title>Criminal Investigation Failures</b:Title>
    <b:Year>2009</b:Year>
    <b:Publisher>CRC Press</b:Publisher>
    <b:City>Boca Raton</b:City>
    <b:Author>
      <b:Author>
        <b:NameList>
          <b:Person>
            <b:Last>Rossmo</b:Last>
            <b:First>Kim</b:First>
          </b:Person>
        </b:NameList>
      </b:Author>
    </b:Author>
    <b:RefOrder>8</b:RefOrder>
  </b:Source>
  <b:Source>
    <b:Tag>Mil99</b:Tag>
    <b:SourceType>Book</b:SourceType>
    <b:Guid>{C898B4C3-3B56-47F9-8C5D-6F6027F196F5}</b:Guid>
    <b:Author>
      <b:Author>
        <b:NameList>
          <b:Person>
            <b:Last>Milne</b:Last>
            <b:First>Rebecca</b:First>
          </b:Person>
          <b:Person>
            <b:Last>Bull</b:Last>
            <b:First>Ray</b:First>
          </b:Person>
        </b:NameList>
      </b:Author>
    </b:Author>
    <b:Title>Investigative Interviewing: Psychology and Practice</b:Title>
    <b:Year>1999</b:Year>
    <b:City>Chichester</b:City>
    <b:Publisher>John Wiley and Sons</b:Publisher>
    <b:RefOrder>9</b:RefOrder>
  </b:Source>
  <b:Source>
    <b:Tag>Sta07</b:Tag>
    <b:SourceType>Book</b:SourceType>
    <b:Guid>{315FF8A7-A6E4-4385-850C-7170FB2545F0}</b:Guid>
    <b:Author>
      <b:Author>
        <b:NameList>
          <b:Person>
            <b:Last>Stark</b:Last>
            <b:First>Evan</b:First>
          </b:Person>
        </b:NameList>
      </b:Author>
    </b:Author>
    <b:Title>Coercive Control: How Men Entrap Women in Personal Life</b:Title>
    <b:Year>2007</b:Year>
    <b:City>Oxford</b:City>
    <b:Publisher>Oxford University Press</b:Publisher>
    <b:RefOrder>10</b:RefOrder>
  </b:Source>
  <b:Source>
    <b:Tag>UKP15</b:Tag>
    <b:SourceType>DocumentFromInternetSite</b:SourceType>
    <b:Guid>{E5D90875-DDBA-4AA1-B1E5-E4010650A600}</b:Guid>
    <b:Title>Serious Crime Act, Section 76</b:Title>
    <b:Year>2015</b:Year>
    <b:Author>
      <b:Author>
        <b:Corporate>UK Parliament</b:Corporate>
      </b:Author>
    </b:Author>
    <b:YearAccessed>2026</b:YearAccessed>
    <b:MonthAccessed>April</b:MonthAccessed>
    <b:DayAccessed>16</b:DayAccessed>
    <b:URL>https://www.legislation.gov.uk/ukpga/2015/9/section/76</b:URL>
    <b:RefOrder>11</b:RefOrder>
  </b:Source>
  <b:Source>
    <b:Tag>Bar20</b:Tag>
    <b:SourceType>JournalArticle</b:SourceType>
    <b:Guid>{D55764C3-0127-4297-9A1C-988B76D6EA1F}</b:Guid>
    <b:Title>Putting Coercive Control into Practice: Problems and Possibilities</b:Title>
    <b:Year>2020</b:Year>
    <b:Author>
      <b:Author>
        <b:NameList>
          <b:Person>
            <b:Last>Barlow</b:Last>
            <b:First>Charlotte</b:First>
          </b:Person>
          <b:Person>
            <b:Last>Johnson</b:Last>
            <b:First>Kelly</b:First>
          </b:Person>
          <b:Person>
            <b:Last>Walklate</b:Last>
            <b:First>Sandra</b:First>
          </b:Person>
          <b:Person>
            <b:Last>Humphreys</b:Last>
            <b:First>Les</b:First>
          </b:Person>
        </b:NameList>
      </b:Author>
    </b:Author>
    <b:JournalName>The British Journal of Criminology</b:JournalName>
    <b:Pages>160-180</b:Pages>
    <b:Volume>60</b:Volume>
    <b:Issue>1</b:Issue>
    <b:RefOrder>12</b:RefOrder>
  </b:Source>
  <b:Source>
    <b:Tag>Min221</b:Tag>
    <b:SourceType>Report</b:SourceType>
    <b:Guid>{D76A3FCB-DF9F-43C6-AC6A-0607244A0655}</b:Guid>
    <b:Title>Achieving Best Evidence: Guidance on interviewing victims and witnesses, and guidance on using special measures</b:Title>
    <b:Year>2022</b:Year>
    <b:Author>
      <b:Author>
        <b:Corporate>Ministry of Justice</b:Corporate>
      </b:Author>
    </b:Author>
    <b:Publisher>Ministry of Justice</b:Publisher>
    <b:City>London</b:City>
    <b:RefOrder>13</b:RefOrder>
  </b:Source>
  <b:Source>
    <b:Tag>UKP99</b:Tag>
    <b:SourceType>DocumentFromInternetSite</b:SourceType>
    <b:Guid>{F0FC8B5E-1254-4535-8639-EA1234231975}</b:Guid>
    <b:Title>Youth Justice and Criminal Evidence Act 1999</b:Title>
    <b:Year>1999</b:Year>
    <b:Author>
      <b:Author>
        <b:Corporate>UK Parliament</b:Corporate>
      </b:Author>
    </b:Author>
    <b:YearAccessed>2026</b:YearAccessed>
    <b:MonthAccessed>April</b:MonthAccessed>
    <b:DayAccessed>19</b:DayAccessed>
    <b:URL>https://www.legislation.gov.uk/ukpga/1999/23/contents</b:URL>
    <b:RefOrder>14</b:RefOrder>
  </b:Source>
  <b:Source>
    <b:Tag>Cro20</b:Tag>
    <b:SourceType>DocumentFromInternetSite</b:SourceType>
    <b:Guid>{94402B75-81B2-4FC6-BF3C-A36DFEDE091C}</b:Guid>
    <b:Author>
      <b:Author>
        <b:Corporate>Crown Prosecution Service</b:Corporate>
      </b:Author>
    </b:Author>
    <b:Title>Domestic Abuse Guidelines for Prosecutors</b:Title>
    <b:Year>2020</b:Year>
    <b:YearAccessed>2026</b:YearAccessed>
    <b:MonthAccessed>April</b:MonthAccessed>
    <b:DayAccessed>4</b:DayAccessed>
    <b:URL>https://www.cps.gov.uk/prosecution-guidance/domestic-abuse</b:URL>
    <b:RefOrder>15</b:RefOrder>
  </b:Source>
  <b:Source>
    <b:Tag>How09</b:Tag>
    <b:SourceType>Report</b:SourceType>
    <b:Guid>{5C3F73AE-CFC6-49A4-A062-5F07FDA801DF}</b:Guid>
    <b:Title>Safety in Numbers: A Multi-site Evaluation of Independent Domestic Abuse Advisor (IDVA) Services</b:Title>
    <b:Year>2009</b:Year>
    <b:Author>
      <b:Author>
        <b:NameList>
          <b:Person>
            <b:Last>Howart</b:Last>
            <b:First>Emma</b:First>
          </b:Person>
          <b:Person>
            <b:Last>Stimpson</b:Last>
            <b:First>Laura</b:First>
          </b:Person>
          <b:Person>
            <b:Last>Barran</b:Last>
            <b:First>Diana</b:First>
          </b:Person>
          <b:Person>
            <b:Last>Robinson</b:Last>
            <b:First>Amanda</b:First>
          </b:Person>
        </b:NameList>
      </b:Author>
    </b:Author>
    <b:Publisher>Hestia</b:Publisher>
    <b:City>London</b:City>
    <b:RefOrder>16</b:RefOrder>
  </b:Source>
  <b:Source>
    <b:Tag>Col14</b:Tag>
    <b:SourceType>DocumentFromInternetSite</b:SourceType>
    <b:Guid>{62EB3B0A-B6A9-4648-B146-5FA5CC9C1D22}</b:Guid>
    <b:Title>Code of Ethics: A code of practice for the principles and standards of professional behaviour for the policing profession of England and Wales</b:Title>
    <b:Year>2014</b:Year>
    <b:Author>
      <b:Author>
        <b:Corporate>College of Policing</b:Corporate>
      </b:Author>
    </b:Author>
    <b:YearAccessed>2026</b:YearAccessed>
    <b:MonthAccessed>April</b:MonthAccessed>
    <b:DayAccessed>26</b:DayAccessed>
    <b:URL>https://assets.publishing.service.gov.uk/media/5a7d867140f0b65084e75b94/Code_of_Ethics_2014_Web_Accessible.pdf</b:URL>
    <b:RefOrder>17</b:RefOrder>
  </b:Source>
  <b:Source>
    <b:Tag>Ali13</b:Tag>
    <b:SourceType>JournalArticle</b:SourceType>
    <b:Guid>{E99AD3B7-C0AA-4023-8544-9CD2295C2F19}</b:Guid>
    <b:Title>Why tough tactics fail and rapport gets results: Observing rapport based interpersonal techniques (ORBIT) to generate useful information from terrorists</b:Title>
    <b:Year>2013</b:Year>
    <b:Author>
      <b:Author>
        <b:NameList>
          <b:Person>
            <b:Last>Alison</b:Last>
            <b:First>Laurence</b:First>
          </b:Person>
          <b:Person>
            <b:Last>Alison</b:Last>
            <b:First>Emily</b:First>
          </b:Person>
          <b:Person>
            <b:Last>Noone</b:Last>
            <b:First>Geraldine</b:First>
          </b:Person>
          <b:Person>
            <b:Last>Elntib</b:Last>
            <b:First>Stamatis</b:First>
          </b:Person>
          <b:Person>
            <b:Last>Christiansen</b:Last>
            <b:First>Paul</b:First>
          </b:Person>
        </b:NameList>
      </b:Author>
    </b:Author>
    <b:JournalName>Psychology, Public Policy and Law</b:JournalName>
    <b:Pages>411-431</b:Pages>
    <b:Volume>19</b:Volume>
    <b:Issue>4</b:Issue>
    <b:RefOrder>18</b:RefOrder>
  </b:Source>
  <b:Source>
    <b:Tag>Hom03</b:Tag>
    <b:SourceType>DocumentFromInternetSite</b:SourceType>
    <b:Guid>{AED99EB9-0A6B-4AC5-A1A5-695E9C15B7E7}</b:Guid>
    <b:Title>PACE Code C 2003</b:Title>
    <b:Year>2003</b:Year>
    <b:Author>
      <b:Author>
        <b:Corporate>Home Office</b:Corporate>
      </b:Author>
    </b:Author>
    <b:YearAccessed>2026</b:YearAccessed>
    <b:MonthAccessed>March</b:MonthAccessed>
    <b:DayAccessed>14</b:DayAccessed>
    <b:URL>https://assets.publishing.service.gov.uk/media/5f1a8f23d3bf7f5968d37dce/pace-code-c-2019.pdf</b:URL>
    <b:RefOrder>19</b:RefOrder>
  </b:Source>
  <b:Source>
    <b:Tag>Gud03</b:Tag>
    <b:SourceType>Book</b:SourceType>
    <b:Guid>{4AE2BE2F-EF09-4FE6-99B2-515B3E2E7D4B}</b:Guid>
    <b:Title>The Psychology of Interrogations and Confessions: A Handbook</b:Title>
    <b:Year>2003</b:Year>
    <b:Author>
      <b:Author>
        <b:NameList>
          <b:Person>
            <b:Last>Gudjonsson</b:Last>
            <b:First>Gisli</b:First>
          </b:Person>
        </b:NameList>
      </b:Author>
    </b:Author>
    <b:City>Chichester</b:City>
    <b:Publisher>John Wiley &amp; Sons</b:Publisher>
    <b:RefOrder>20</b:RefOrder>
  </b:Source>
  <b:Source>
    <b:Tag>Min20</b:Tag>
    <b:SourceType>DocumentFromInternetSite</b:SourceType>
    <b:Guid>{919FEF1C-18B0-441D-B095-F180E2689ED1}</b:Guid>
    <b:Title>Criminal Procedure and Investigations Act 1996 Code of Practice </b:Title>
    <b:Year>2020</b:Year>
    <b:Author>
      <b:Author>
        <b:Corporate>Ministry of Justice</b:Corporate>
      </b:Author>
    </b:Author>
    <b:YearAccessed>2026</b:YearAccessed>
    <b:MonthAccessed>April</b:MonthAccessed>
    <b:DayAccessed>29</b:DayAccessed>
    <b:URL>https://assets.publishing.service.gov.uk/media/5a80d491e5274a2e8ab5267c/code-of-practice-approved.pdf</b:URL>
    <b:RefOrder>21</b:RefOrder>
  </b:Source>
  <b:Source>
    <b:Tag>Att24</b:Tag>
    <b:SourceType>DocumentFromInternetSite</b:SourceType>
    <b:Guid>{05B56DE5-7141-4749-B926-34F29E20E97D}</b:Guid>
    <b:Author>
      <b:Author>
        <b:Corporate>Attorney Gerneral's Office</b:Corporate>
      </b:Author>
    </b:Author>
    <b:Title>Attorney General's Guidlines on Disclosure 2024</b:Title>
    <b:Year>2024</b:Year>
    <b:YearAccessed>2026</b:YearAccessed>
    <b:MonthAccessed>April</b:MonthAccessed>
    <b:DayAccessed>29</b:DayAccessed>
    <b:URL>https://assets.publishing.service.gov.uk/media/65e1ab9d2f2b3b00117cd803/Attorney_General_s_Guidelines_on_Disclosure_-_2024.pdf</b:URL>
    <b:RefOrder>22</b:RefOrder>
  </b:Source>
  <b:Source>
    <b:Tag>Cro26</b:Tag>
    <b:SourceType>DocumentFromInternetSite</b:SourceType>
    <b:Guid>{26C55706-1312-429F-89C0-C9A7B655A2DF}</b:Guid>
    <b:Author>
      <b:Author>
        <b:Corporate>Crown Prosecution Service</b:Corporate>
      </b:Author>
    </b:Author>
    <b:Title>Third Party Material</b:Title>
    <b:YearAccessed>2026</b:YearAccessed>
    <b:MonthAccessed>May</b:MonthAccessed>
    <b:DayAccessed>1</b:DayAccessed>
    <b:URL>https://www.cps.gov.uk/prosecution-guidance/disclosure-manual-chapter-5-reasonable-lines-enquiry-and-third-parties</b:URL>
    <b:RefOrder>23</b:RefOrder>
  </b:Source>
  <b:Source>
    <b:Tag>UKP18</b:Tag>
    <b:SourceType>DocumentFromInternetSite</b:SourceType>
    <b:Guid>{C47373AE-CB9F-4D0A-AE08-ED95D4AC308B}</b:Guid>
    <b:Author>
      <b:Author>
        <b:Corporate>UK Parliament</b:Corporate>
      </b:Author>
    </b:Author>
    <b:Title>Data Protection Act 2018</b:Title>
    <b:Year>2018</b:Year>
    <b:YearAccessed>2026</b:YearAccessed>
    <b:MonthAccessed>May</b:MonthAccessed>
    <b:DayAccessed>1</b:DayAccessed>
    <b:URL>https://www.legislation.gov.uk/ukpga/2018/12/contents</b:URL>
    <b:RefOrder>24</b:RefOrder>
  </b:Source>
  <b:Source>
    <b:Tag>HMG21</b:Tag>
    <b:SourceType>Report</b:SourceType>
    <b:Guid>{0A59F27D-8032-4243-B8CF-0BA954D91110}</b:Guid>
    <b:Title>The end to end rape review report on findings and actions</b:Title>
    <b:Year>2021</b:Year>
    <b:Author>
      <b:Author>
        <b:Corporate>HM Government </b:Corporate>
      </b:Author>
    </b:Author>
    <b:Publisher>Home Office and Ministry of Justice</b:Publisher>
    <b:City>Londond</b:City>
    <b:RefOrder>25</b:RefOrder>
  </b:Source>
</b:Sourc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B+L7d1Hb+5gtIGG9jTWtSzheh1g==">CgMxLjA4AHIhMUFZWklfWDI1d21pNXViSHJrUkFoSUxxRXJ5QmEyblZ1</go:docsCustomData>
</go:gDocsCustomXmlDataStorage>
</file>

<file path=customXml/itemProps1.xml><?xml version="1.0" encoding="utf-8"?>
<ds:datastoreItem xmlns:ds="http://schemas.openxmlformats.org/officeDocument/2006/customXml" ds:itemID="{AF1F316B-5CF9-426E-B1F5-7114944877B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30</Pages>
  <Words>11488</Words>
  <Characters>65483</Characters>
  <Application>Microsoft Office Word</Application>
  <DocSecurity>0</DocSecurity>
  <Lines>545</Lines>
  <Paragraphs>153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 Andrews</dc:creator>
  <cp:lastModifiedBy>Thomas, David L</cp:lastModifiedBy>
  <cp:revision>12</cp:revision>
  <dcterms:created xsi:type="dcterms:W3CDTF">2026-05-07T16:17:00Z</dcterms:created>
  <dcterms:modified xsi:type="dcterms:W3CDTF">2026-05-08T16:36:00Z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2026-04-23T16:36:09Z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b5ef248b-ad7b-420d-be1d-41e92bbd2f5a</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