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7C5419" w14:textId="175E8069" w:rsidR="00E16BB4" w:rsidRPr="00EB745C" w:rsidRDefault="0009516C" w:rsidP="0009516C">
      <w:pPr>
        <w:spacing w:after="120" w:line="360" w:lineRule="auto"/>
        <w:jc w:val="center"/>
      </w:pPr>
      <w:r>
        <w:rPr>
          <w:noProof/>
        </w:rPr>
        <w:drawing>
          <wp:inline distT="0" distB="0" distL="0" distR="0" wp14:anchorId="469674D3" wp14:editId="1F327DDE">
            <wp:extent cx="3200400" cy="2273300"/>
            <wp:effectExtent l="0" t="0" r="0" b="0"/>
            <wp:docPr id="2938328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00400" cy="2273300"/>
                    </a:xfrm>
                    <a:prstGeom prst="rect">
                      <a:avLst/>
                    </a:prstGeom>
                    <a:noFill/>
                  </pic:spPr>
                </pic:pic>
              </a:graphicData>
            </a:graphic>
          </wp:inline>
        </w:drawing>
      </w:r>
    </w:p>
    <w:p w14:paraId="71B30877" w14:textId="77777777" w:rsidR="00E16BB4" w:rsidRPr="00EB745C" w:rsidRDefault="00E16BB4" w:rsidP="006A3831">
      <w:pPr>
        <w:spacing w:after="120" w:line="360" w:lineRule="auto"/>
        <w:jc w:val="both"/>
      </w:pPr>
    </w:p>
    <w:p w14:paraId="7C589EB5" w14:textId="77777777" w:rsidR="00E16BB4" w:rsidRPr="00EB745C" w:rsidRDefault="00E16BB4" w:rsidP="006A3831">
      <w:pPr>
        <w:spacing w:after="120" w:line="360" w:lineRule="auto"/>
        <w:jc w:val="both"/>
      </w:pPr>
    </w:p>
    <w:p w14:paraId="4F79813F" w14:textId="77777777" w:rsidR="0009516C" w:rsidRPr="0009516C" w:rsidRDefault="0009516C" w:rsidP="0009516C">
      <w:pPr>
        <w:spacing w:after="200" w:line="360" w:lineRule="auto"/>
        <w:jc w:val="center"/>
        <w:rPr>
          <w:sz w:val="28"/>
          <w:szCs w:val="28"/>
        </w:rPr>
      </w:pPr>
      <w:r w:rsidRPr="0009516C">
        <w:rPr>
          <w:b/>
          <w:bCs/>
          <w:sz w:val="28"/>
          <w:szCs w:val="28"/>
        </w:rPr>
        <w:t xml:space="preserve">Assignment Title:  </w:t>
      </w:r>
      <w:r w:rsidRPr="0009516C">
        <w:rPr>
          <w:sz w:val="28"/>
          <w:szCs w:val="28"/>
        </w:rPr>
        <w:t>Component 2: Written Assignment (Report)</w:t>
      </w:r>
    </w:p>
    <w:p w14:paraId="03601E24" w14:textId="77777777" w:rsidR="0009516C" w:rsidRPr="0009516C" w:rsidRDefault="0009516C" w:rsidP="0009516C">
      <w:pPr>
        <w:spacing w:after="200" w:line="360" w:lineRule="auto"/>
        <w:jc w:val="center"/>
        <w:rPr>
          <w:sz w:val="28"/>
          <w:szCs w:val="28"/>
        </w:rPr>
      </w:pPr>
      <w:r w:rsidRPr="0009516C">
        <w:rPr>
          <w:b/>
          <w:bCs/>
          <w:sz w:val="28"/>
          <w:szCs w:val="28"/>
        </w:rPr>
        <w:t xml:space="preserve">Programme: </w:t>
      </w:r>
      <w:r w:rsidRPr="0009516C">
        <w:rPr>
          <w:sz w:val="28"/>
          <w:szCs w:val="28"/>
        </w:rPr>
        <w:t>BSc (Hons) Health and Social Care</w:t>
      </w:r>
    </w:p>
    <w:p w14:paraId="1970ECCC" w14:textId="77777777" w:rsidR="0009516C" w:rsidRPr="0009516C" w:rsidRDefault="0009516C" w:rsidP="0009516C">
      <w:pPr>
        <w:spacing w:after="200" w:line="360" w:lineRule="auto"/>
        <w:jc w:val="center"/>
        <w:rPr>
          <w:sz w:val="28"/>
          <w:szCs w:val="28"/>
        </w:rPr>
      </w:pPr>
      <w:r w:rsidRPr="0009516C">
        <w:rPr>
          <w:b/>
          <w:bCs/>
          <w:sz w:val="28"/>
          <w:szCs w:val="28"/>
        </w:rPr>
        <w:t>Module Title:</w:t>
      </w:r>
      <w:r w:rsidRPr="0009516C">
        <w:rPr>
          <w:sz w:val="28"/>
          <w:szCs w:val="28"/>
        </w:rPr>
        <w:t xml:space="preserve">  Health, Wellbeing and Sustainable Development</w:t>
      </w:r>
    </w:p>
    <w:p w14:paraId="1C391DE9" w14:textId="77777777" w:rsidR="0009516C" w:rsidRPr="0009516C" w:rsidRDefault="0009516C" w:rsidP="0009516C">
      <w:pPr>
        <w:spacing w:after="200" w:line="360" w:lineRule="auto"/>
        <w:jc w:val="center"/>
        <w:rPr>
          <w:sz w:val="28"/>
          <w:szCs w:val="28"/>
        </w:rPr>
      </w:pPr>
      <w:r w:rsidRPr="0009516C">
        <w:rPr>
          <w:b/>
          <w:bCs/>
          <w:sz w:val="28"/>
          <w:szCs w:val="28"/>
        </w:rPr>
        <w:t>Module Code:</w:t>
      </w:r>
      <w:r w:rsidRPr="0009516C">
        <w:rPr>
          <w:sz w:val="28"/>
          <w:szCs w:val="28"/>
        </w:rPr>
        <w:t xml:space="preserve">  BMHP6030</w:t>
      </w:r>
    </w:p>
    <w:p w14:paraId="563D3847" w14:textId="194C43FD" w:rsidR="0009516C" w:rsidRPr="0009516C" w:rsidRDefault="0009516C" w:rsidP="0009516C">
      <w:pPr>
        <w:spacing w:after="200" w:line="360" w:lineRule="auto"/>
        <w:jc w:val="center"/>
        <w:rPr>
          <w:sz w:val="28"/>
          <w:szCs w:val="28"/>
        </w:rPr>
      </w:pPr>
      <w:r w:rsidRPr="0009516C">
        <w:rPr>
          <w:b/>
          <w:bCs/>
          <w:sz w:val="28"/>
          <w:szCs w:val="28"/>
        </w:rPr>
        <w:t>Lecturer:</w:t>
      </w:r>
      <w:r w:rsidRPr="0009516C">
        <w:rPr>
          <w:sz w:val="28"/>
          <w:szCs w:val="28"/>
        </w:rPr>
        <w:t xml:space="preserve">  </w:t>
      </w:r>
      <w:r w:rsidR="00C4309C">
        <w:rPr>
          <w:sz w:val="28"/>
          <w:szCs w:val="28"/>
        </w:rPr>
        <w:t>Hamdi Hussain</w:t>
      </w:r>
    </w:p>
    <w:p w14:paraId="05A4E452" w14:textId="77777777" w:rsidR="0009516C" w:rsidRPr="0009516C" w:rsidRDefault="0009516C" w:rsidP="0009516C">
      <w:pPr>
        <w:spacing w:after="200" w:line="360" w:lineRule="auto"/>
        <w:jc w:val="center"/>
        <w:rPr>
          <w:sz w:val="28"/>
          <w:szCs w:val="28"/>
        </w:rPr>
      </w:pPr>
      <w:r w:rsidRPr="0009516C">
        <w:rPr>
          <w:b/>
          <w:bCs/>
          <w:sz w:val="28"/>
          <w:szCs w:val="28"/>
        </w:rPr>
        <w:t>Student Name:</w:t>
      </w:r>
      <w:r w:rsidRPr="0009516C">
        <w:rPr>
          <w:sz w:val="28"/>
          <w:szCs w:val="28"/>
        </w:rPr>
        <w:t xml:space="preserve">  Naznin Mahmood</w:t>
      </w:r>
    </w:p>
    <w:p w14:paraId="21D7E02D" w14:textId="77777777" w:rsidR="0009516C" w:rsidRPr="0009516C" w:rsidRDefault="0009516C" w:rsidP="0009516C">
      <w:pPr>
        <w:spacing w:after="200" w:line="360" w:lineRule="auto"/>
        <w:jc w:val="center"/>
        <w:rPr>
          <w:sz w:val="28"/>
          <w:szCs w:val="28"/>
        </w:rPr>
      </w:pPr>
      <w:r w:rsidRPr="0009516C">
        <w:rPr>
          <w:b/>
          <w:bCs/>
          <w:sz w:val="28"/>
          <w:szCs w:val="28"/>
        </w:rPr>
        <w:t>Student Number:</w:t>
      </w:r>
      <w:r w:rsidRPr="0009516C">
        <w:rPr>
          <w:sz w:val="28"/>
          <w:szCs w:val="28"/>
        </w:rPr>
        <w:t xml:space="preserve">  2215438</w:t>
      </w:r>
    </w:p>
    <w:p w14:paraId="55CEAF2F" w14:textId="77777777" w:rsidR="00E16BB4" w:rsidRPr="00EB745C" w:rsidRDefault="00E16BB4" w:rsidP="006A3831">
      <w:pPr>
        <w:spacing w:line="360" w:lineRule="auto"/>
        <w:jc w:val="both"/>
        <w:sectPr w:rsidR="00E16BB4" w:rsidRPr="00EB745C">
          <w:pgSz w:w="11906" w:h="16838"/>
          <w:pgMar w:top="1440" w:right="1440" w:bottom="1440" w:left="1440" w:header="708" w:footer="708" w:gutter="0"/>
          <w:cols w:space="720"/>
          <w:docGrid w:linePitch="360"/>
        </w:sectPr>
      </w:pPr>
    </w:p>
    <w:sdt>
      <w:sdtPr>
        <w:rPr>
          <w:rFonts w:ascii="Arial" w:eastAsia="Arial" w:hAnsi="Arial" w:cs="Arial"/>
          <w:color w:val="auto"/>
          <w:sz w:val="22"/>
          <w:szCs w:val="22"/>
          <w:lang w:val="en-GB" w:eastAsia="en-GB"/>
        </w:rPr>
        <w:id w:val="-546294667"/>
        <w:docPartObj>
          <w:docPartGallery w:val="Table of Contents"/>
          <w:docPartUnique/>
        </w:docPartObj>
      </w:sdtPr>
      <w:sdtEndPr>
        <w:rPr>
          <w:b/>
          <w:bCs/>
          <w:noProof/>
        </w:rPr>
      </w:sdtEndPr>
      <w:sdtContent>
        <w:p w14:paraId="463E50A5" w14:textId="3DA4A0C6" w:rsidR="00873991" w:rsidRDefault="00873991">
          <w:pPr>
            <w:pStyle w:val="TOCHeading"/>
          </w:pPr>
          <w:r>
            <w:t>Table of Contents</w:t>
          </w:r>
        </w:p>
        <w:p w14:paraId="14757F48" w14:textId="77FCD73B" w:rsidR="00DF25F5" w:rsidRDefault="00873991">
          <w:pPr>
            <w:pStyle w:val="TOC1"/>
            <w:tabs>
              <w:tab w:val="right" w:leader="dot" w:pos="9016"/>
            </w:tabs>
            <w:rPr>
              <w:rFonts w:asciiTheme="minorHAnsi" w:eastAsiaTheme="minorEastAsia" w:hAnsiTheme="minorHAnsi" w:cstheme="minorBidi"/>
              <w:noProof/>
              <w:kern w:val="2"/>
              <w:sz w:val="24"/>
              <w:szCs w:val="24"/>
              <w14:ligatures w14:val="standardContextual"/>
            </w:rPr>
          </w:pPr>
          <w:r>
            <w:fldChar w:fldCharType="begin"/>
          </w:r>
          <w:r>
            <w:instrText xml:space="preserve"> TOC \o "1-3" \h \z \u </w:instrText>
          </w:r>
          <w:r>
            <w:fldChar w:fldCharType="separate"/>
          </w:r>
          <w:hyperlink w:anchor="_Toc235189744" w:history="1">
            <w:r w:rsidR="00DF25F5" w:rsidRPr="006B4FC5">
              <w:rPr>
                <w:rStyle w:val="Hyperlink"/>
                <w:noProof/>
              </w:rPr>
              <w:t>Introduction</w:t>
            </w:r>
            <w:r w:rsidR="00DF25F5">
              <w:rPr>
                <w:noProof/>
                <w:webHidden/>
              </w:rPr>
              <w:tab/>
            </w:r>
            <w:r w:rsidR="00DF25F5">
              <w:rPr>
                <w:noProof/>
                <w:webHidden/>
              </w:rPr>
              <w:fldChar w:fldCharType="begin"/>
            </w:r>
            <w:r w:rsidR="00DF25F5">
              <w:rPr>
                <w:noProof/>
                <w:webHidden/>
              </w:rPr>
              <w:instrText xml:space="preserve"> PAGEREF _Toc235189744 \h </w:instrText>
            </w:r>
            <w:r w:rsidR="00DF25F5">
              <w:rPr>
                <w:noProof/>
                <w:webHidden/>
              </w:rPr>
            </w:r>
            <w:r w:rsidR="00DF25F5">
              <w:rPr>
                <w:noProof/>
                <w:webHidden/>
              </w:rPr>
              <w:fldChar w:fldCharType="separate"/>
            </w:r>
            <w:r w:rsidR="00DF25F5">
              <w:rPr>
                <w:noProof/>
                <w:webHidden/>
              </w:rPr>
              <w:t>3</w:t>
            </w:r>
            <w:r w:rsidR="00DF25F5">
              <w:rPr>
                <w:noProof/>
                <w:webHidden/>
              </w:rPr>
              <w:fldChar w:fldCharType="end"/>
            </w:r>
          </w:hyperlink>
        </w:p>
        <w:p w14:paraId="7AA0A68C" w14:textId="7A0FFF71" w:rsidR="00DF25F5" w:rsidRDefault="00DF25F5">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35189745" w:history="1">
            <w:r w:rsidRPr="006B4FC5">
              <w:rPr>
                <w:rStyle w:val="Hyperlink"/>
                <w:noProof/>
              </w:rPr>
              <w:t>SDG 3: Good Health and Wellbeing</w:t>
            </w:r>
            <w:r>
              <w:rPr>
                <w:noProof/>
                <w:webHidden/>
              </w:rPr>
              <w:tab/>
            </w:r>
            <w:r>
              <w:rPr>
                <w:noProof/>
                <w:webHidden/>
              </w:rPr>
              <w:fldChar w:fldCharType="begin"/>
            </w:r>
            <w:r>
              <w:rPr>
                <w:noProof/>
                <w:webHidden/>
              </w:rPr>
              <w:instrText xml:space="preserve"> PAGEREF _Toc235189745 \h </w:instrText>
            </w:r>
            <w:r>
              <w:rPr>
                <w:noProof/>
                <w:webHidden/>
              </w:rPr>
            </w:r>
            <w:r>
              <w:rPr>
                <w:noProof/>
                <w:webHidden/>
              </w:rPr>
              <w:fldChar w:fldCharType="separate"/>
            </w:r>
            <w:r>
              <w:rPr>
                <w:noProof/>
                <w:webHidden/>
              </w:rPr>
              <w:t>3</w:t>
            </w:r>
            <w:r>
              <w:rPr>
                <w:noProof/>
                <w:webHidden/>
              </w:rPr>
              <w:fldChar w:fldCharType="end"/>
            </w:r>
          </w:hyperlink>
        </w:p>
        <w:p w14:paraId="00224E50" w14:textId="4E1A2FBC" w:rsidR="00DF25F5" w:rsidRDefault="00DF25F5">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5189746" w:history="1">
            <w:r w:rsidRPr="006B4FC5">
              <w:rPr>
                <w:rStyle w:val="Hyperlink"/>
                <w:noProof/>
              </w:rPr>
              <w:t>2.1 Global Impact</w:t>
            </w:r>
            <w:r>
              <w:rPr>
                <w:noProof/>
                <w:webHidden/>
              </w:rPr>
              <w:tab/>
            </w:r>
            <w:r>
              <w:rPr>
                <w:noProof/>
                <w:webHidden/>
              </w:rPr>
              <w:fldChar w:fldCharType="begin"/>
            </w:r>
            <w:r>
              <w:rPr>
                <w:noProof/>
                <w:webHidden/>
              </w:rPr>
              <w:instrText xml:space="preserve"> PAGEREF _Toc235189746 \h </w:instrText>
            </w:r>
            <w:r>
              <w:rPr>
                <w:noProof/>
                <w:webHidden/>
              </w:rPr>
            </w:r>
            <w:r>
              <w:rPr>
                <w:noProof/>
                <w:webHidden/>
              </w:rPr>
              <w:fldChar w:fldCharType="separate"/>
            </w:r>
            <w:r>
              <w:rPr>
                <w:noProof/>
                <w:webHidden/>
              </w:rPr>
              <w:t>3</w:t>
            </w:r>
            <w:r>
              <w:rPr>
                <w:noProof/>
                <w:webHidden/>
              </w:rPr>
              <w:fldChar w:fldCharType="end"/>
            </w:r>
          </w:hyperlink>
        </w:p>
        <w:p w14:paraId="3F22F382" w14:textId="49D131DC" w:rsidR="00DF25F5" w:rsidRDefault="00DF25F5">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35189747" w:history="1">
            <w:r w:rsidRPr="006B4FC5">
              <w:rPr>
                <w:rStyle w:val="Hyperlink"/>
                <w:noProof/>
              </w:rPr>
              <w:t>National Impact: The United Kingdom</w:t>
            </w:r>
            <w:r>
              <w:rPr>
                <w:noProof/>
                <w:webHidden/>
              </w:rPr>
              <w:tab/>
            </w:r>
            <w:r>
              <w:rPr>
                <w:noProof/>
                <w:webHidden/>
              </w:rPr>
              <w:fldChar w:fldCharType="begin"/>
            </w:r>
            <w:r>
              <w:rPr>
                <w:noProof/>
                <w:webHidden/>
              </w:rPr>
              <w:instrText xml:space="preserve"> PAGEREF _Toc235189747 \h </w:instrText>
            </w:r>
            <w:r>
              <w:rPr>
                <w:noProof/>
                <w:webHidden/>
              </w:rPr>
            </w:r>
            <w:r>
              <w:rPr>
                <w:noProof/>
                <w:webHidden/>
              </w:rPr>
              <w:fldChar w:fldCharType="separate"/>
            </w:r>
            <w:r>
              <w:rPr>
                <w:noProof/>
                <w:webHidden/>
              </w:rPr>
              <w:t>4</w:t>
            </w:r>
            <w:r>
              <w:rPr>
                <w:noProof/>
                <w:webHidden/>
              </w:rPr>
              <w:fldChar w:fldCharType="end"/>
            </w:r>
          </w:hyperlink>
        </w:p>
        <w:p w14:paraId="3AE48EA8" w14:textId="3BEB5FE7" w:rsidR="00DF25F5" w:rsidRDefault="00DF25F5">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5189748" w:history="1">
            <w:r w:rsidRPr="006B4FC5">
              <w:rPr>
                <w:rStyle w:val="Hyperlink"/>
                <w:noProof/>
              </w:rPr>
              <w:t>Target 3.4: Mental Health and Wellbeing</w:t>
            </w:r>
            <w:r>
              <w:rPr>
                <w:noProof/>
                <w:webHidden/>
              </w:rPr>
              <w:tab/>
            </w:r>
            <w:r>
              <w:rPr>
                <w:noProof/>
                <w:webHidden/>
              </w:rPr>
              <w:fldChar w:fldCharType="begin"/>
            </w:r>
            <w:r>
              <w:rPr>
                <w:noProof/>
                <w:webHidden/>
              </w:rPr>
              <w:instrText xml:space="preserve"> PAGEREF _Toc235189748 \h </w:instrText>
            </w:r>
            <w:r>
              <w:rPr>
                <w:noProof/>
                <w:webHidden/>
              </w:rPr>
            </w:r>
            <w:r>
              <w:rPr>
                <w:noProof/>
                <w:webHidden/>
              </w:rPr>
              <w:fldChar w:fldCharType="separate"/>
            </w:r>
            <w:r>
              <w:rPr>
                <w:noProof/>
                <w:webHidden/>
              </w:rPr>
              <w:t>4</w:t>
            </w:r>
            <w:r>
              <w:rPr>
                <w:noProof/>
                <w:webHidden/>
              </w:rPr>
              <w:fldChar w:fldCharType="end"/>
            </w:r>
          </w:hyperlink>
        </w:p>
        <w:p w14:paraId="6D418F61" w14:textId="37B54527" w:rsidR="00DF25F5" w:rsidRDefault="00DF25F5">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35189749" w:history="1">
            <w:r w:rsidRPr="006B4FC5">
              <w:rPr>
                <w:rStyle w:val="Hyperlink"/>
                <w:noProof/>
              </w:rPr>
              <w:t>SDG 10: Reduced Inequalities</w:t>
            </w:r>
            <w:r>
              <w:rPr>
                <w:noProof/>
                <w:webHidden/>
              </w:rPr>
              <w:tab/>
            </w:r>
            <w:r>
              <w:rPr>
                <w:noProof/>
                <w:webHidden/>
              </w:rPr>
              <w:fldChar w:fldCharType="begin"/>
            </w:r>
            <w:r>
              <w:rPr>
                <w:noProof/>
                <w:webHidden/>
              </w:rPr>
              <w:instrText xml:space="preserve"> PAGEREF _Toc235189749 \h </w:instrText>
            </w:r>
            <w:r>
              <w:rPr>
                <w:noProof/>
                <w:webHidden/>
              </w:rPr>
            </w:r>
            <w:r>
              <w:rPr>
                <w:noProof/>
                <w:webHidden/>
              </w:rPr>
              <w:fldChar w:fldCharType="separate"/>
            </w:r>
            <w:r>
              <w:rPr>
                <w:noProof/>
                <w:webHidden/>
              </w:rPr>
              <w:t>4</w:t>
            </w:r>
            <w:r>
              <w:rPr>
                <w:noProof/>
                <w:webHidden/>
              </w:rPr>
              <w:fldChar w:fldCharType="end"/>
            </w:r>
          </w:hyperlink>
        </w:p>
        <w:p w14:paraId="07267FF7" w14:textId="405D59DE" w:rsidR="00DF25F5" w:rsidRDefault="00DF25F5">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5189750" w:history="1">
            <w:r w:rsidRPr="006B4FC5">
              <w:rPr>
                <w:rStyle w:val="Hyperlink"/>
                <w:noProof/>
              </w:rPr>
              <w:t>Global and National Impact</w:t>
            </w:r>
            <w:r>
              <w:rPr>
                <w:noProof/>
                <w:webHidden/>
              </w:rPr>
              <w:tab/>
            </w:r>
            <w:r>
              <w:rPr>
                <w:noProof/>
                <w:webHidden/>
              </w:rPr>
              <w:fldChar w:fldCharType="begin"/>
            </w:r>
            <w:r>
              <w:rPr>
                <w:noProof/>
                <w:webHidden/>
              </w:rPr>
              <w:instrText xml:space="preserve"> PAGEREF _Toc235189750 \h </w:instrText>
            </w:r>
            <w:r>
              <w:rPr>
                <w:noProof/>
                <w:webHidden/>
              </w:rPr>
            </w:r>
            <w:r>
              <w:rPr>
                <w:noProof/>
                <w:webHidden/>
              </w:rPr>
              <w:fldChar w:fldCharType="separate"/>
            </w:r>
            <w:r>
              <w:rPr>
                <w:noProof/>
                <w:webHidden/>
              </w:rPr>
              <w:t>4</w:t>
            </w:r>
            <w:r>
              <w:rPr>
                <w:noProof/>
                <w:webHidden/>
              </w:rPr>
              <w:fldChar w:fldCharType="end"/>
            </w:r>
          </w:hyperlink>
        </w:p>
        <w:p w14:paraId="6B07E6CB" w14:textId="2FF24176" w:rsidR="00DF25F5" w:rsidRDefault="00DF25F5">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35189751" w:history="1">
            <w:r w:rsidRPr="006B4FC5">
              <w:rPr>
                <w:rStyle w:val="Hyperlink"/>
                <w:noProof/>
              </w:rPr>
              <w:t>Talk about how SDG 3 intersects with SDG 10.</w:t>
            </w:r>
            <w:r>
              <w:rPr>
                <w:noProof/>
                <w:webHidden/>
              </w:rPr>
              <w:tab/>
            </w:r>
            <w:r>
              <w:rPr>
                <w:noProof/>
                <w:webHidden/>
              </w:rPr>
              <w:fldChar w:fldCharType="begin"/>
            </w:r>
            <w:r>
              <w:rPr>
                <w:noProof/>
                <w:webHidden/>
              </w:rPr>
              <w:instrText xml:space="preserve"> PAGEREF _Toc235189751 \h </w:instrText>
            </w:r>
            <w:r>
              <w:rPr>
                <w:noProof/>
                <w:webHidden/>
              </w:rPr>
            </w:r>
            <w:r>
              <w:rPr>
                <w:noProof/>
                <w:webHidden/>
              </w:rPr>
              <w:fldChar w:fldCharType="separate"/>
            </w:r>
            <w:r>
              <w:rPr>
                <w:noProof/>
                <w:webHidden/>
              </w:rPr>
              <w:t>5</w:t>
            </w:r>
            <w:r>
              <w:rPr>
                <w:noProof/>
                <w:webHidden/>
              </w:rPr>
              <w:fldChar w:fldCharType="end"/>
            </w:r>
          </w:hyperlink>
        </w:p>
        <w:p w14:paraId="292DDF33" w14:textId="78DE423D" w:rsidR="00DF25F5" w:rsidRDefault="00DF25F5">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35189752" w:history="1">
            <w:r w:rsidRPr="006B4FC5">
              <w:rPr>
                <w:rStyle w:val="Hyperlink"/>
                <w:noProof/>
              </w:rPr>
              <w:t>Social Prescribing: National and Local Evaluation of Initiative</w:t>
            </w:r>
            <w:r>
              <w:rPr>
                <w:noProof/>
                <w:webHidden/>
              </w:rPr>
              <w:tab/>
            </w:r>
            <w:r>
              <w:rPr>
                <w:noProof/>
                <w:webHidden/>
              </w:rPr>
              <w:fldChar w:fldCharType="begin"/>
            </w:r>
            <w:r>
              <w:rPr>
                <w:noProof/>
                <w:webHidden/>
              </w:rPr>
              <w:instrText xml:space="preserve"> PAGEREF _Toc235189752 \h </w:instrText>
            </w:r>
            <w:r>
              <w:rPr>
                <w:noProof/>
                <w:webHidden/>
              </w:rPr>
            </w:r>
            <w:r>
              <w:rPr>
                <w:noProof/>
                <w:webHidden/>
              </w:rPr>
              <w:fldChar w:fldCharType="separate"/>
            </w:r>
            <w:r>
              <w:rPr>
                <w:noProof/>
                <w:webHidden/>
              </w:rPr>
              <w:t>5</w:t>
            </w:r>
            <w:r>
              <w:rPr>
                <w:noProof/>
                <w:webHidden/>
              </w:rPr>
              <w:fldChar w:fldCharType="end"/>
            </w:r>
          </w:hyperlink>
        </w:p>
        <w:p w14:paraId="5FD87F44" w14:textId="735B4E54" w:rsidR="00DF25F5" w:rsidRDefault="00DF25F5">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5189753" w:history="1">
            <w:r w:rsidRPr="006B4FC5">
              <w:rPr>
                <w:rStyle w:val="Hyperlink"/>
                <w:noProof/>
              </w:rPr>
              <w:t>Overview and Theoretical Basis</w:t>
            </w:r>
            <w:r>
              <w:rPr>
                <w:noProof/>
                <w:webHidden/>
              </w:rPr>
              <w:tab/>
            </w:r>
            <w:r>
              <w:rPr>
                <w:noProof/>
                <w:webHidden/>
              </w:rPr>
              <w:fldChar w:fldCharType="begin"/>
            </w:r>
            <w:r>
              <w:rPr>
                <w:noProof/>
                <w:webHidden/>
              </w:rPr>
              <w:instrText xml:space="preserve"> PAGEREF _Toc235189753 \h </w:instrText>
            </w:r>
            <w:r>
              <w:rPr>
                <w:noProof/>
                <w:webHidden/>
              </w:rPr>
            </w:r>
            <w:r>
              <w:rPr>
                <w:noProof/>
                <w:webHidden/>
              </w:rPr>
              <w:fldChar w:fldCharType="separate"/>
            </w:r>
            <w:r>
              <w:rPr>
                <w:noProof/>
                <w:webHidden/>
              </w:rPr>
              <w:t>5</w:t>
            </w:r>
            <w:r>
              <w:rPr>
                <w:noProof/>
                <w:webHidden/>
              </w:rPr>
              <w:fldChar w:fldCharType="end"/>
            </w:r>
          </w:hyperlink>
        </w:p>
        <w:p w14:paraId="0F974872" w14:textId="6985F404" w:rsidR="00DF25F5" w:rsidRDefault="00DF25F5">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5189754" w:history="1">
            <w:r w:rsidRPr="006B4FC5">
              <w:rPr>
                <w:rStyle w:val="Hyperlink"/>
                <w:noProof/>
              </w:rPr>
              <w:t>Effectiveness: Evidence and Outcomes.</w:t>
            </w:r>
            <w:r>
              <w:rPr>
                <w:noProof/>
                <w:webHidden/>
              </w:rPr>
              <w:tab/>
            </w:r>
            <w:r>
              <w:rPr>
                <w:noProof/>
                <w:webHidden/>
              </w:rPr>
              <w:fldChar w:fldCharType="begin"/>
            </w:r>
            <w:r>
              <w:rPr>
                <w:noProof/>
                <w:webHidden/>
              </w:rPr>
              <w:instrText xml:space="preserve"> PAGEREF _Toc235189754 \h </w:instrText>
            </w:r>
            <w:r>
              <w:rPr>
                <w:noProof/>
                <w:webHidden/>
              </w:rPr>
            </w:r>
            <w:r>
              <w:rPr>
                <w:noProof/>
                <w:webHidden/>
              </w:rPr>
              <w:fldChar w:fldCharType="separate"/>
            </w:r>
            <w:r>
              <w:rPr>
                <w:noProof/>
                <w:webHidden/>
              </w:rPr>
              <w:t>6</w:t>
            </w:r>
            <w:r>
              <w:rPr>
                <w:noProof/>
                <w:webHidden/>
              </w:rPr>
              <w:fldChar w:fldCharType="end"/>
            </w:r>
          </w:hyperlink>
        </w:p>
        <w:p w14:paraId="39C2F0BE" w14:textId="3A407FB4" w:rsidR="00DF25F5" w:rsidRDefault="00DF25F5">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35189755" w:history="1">
            <w:r w:rsidRPr="006B4FC5">
              <w:rPr>
                <w:rStyle w:val="Hyperlink"/>
                <w:noProof/>
              </w:rPr>
              <w:t>Limitations and Critical Evaluation</w:t>
            </w:r>
            <w:r>
              <w:rPr>
                <w:noProof/>
                <w:webHidden/>
              </w:rPr>
              <w:tab/>
            </w:r>
            <w:r>
              <w:rPr>
                <w:noProof/>
                <w:webHidden/>
              </w:rPr>
              <w:fldChar w:fldCharType="begin"/>
            </w:r>
            <w:r>
              <w:rPr>
                <w:noProof/>
                <w:webHidden/>
              </w:rPr>
              <w:instrText xml:space="preserve"> PAGEREF _Toc235189755 \h </w:instrText>
            </w:r>
            <w:r>
              <w:rPr>
                <w:noProof/>
                <w:webHidden/>
              </w:rPr>
            </w:r>
            <w:r>
              <w:rPr>
                <w:noProof/>
                <w:webHidden/>
              </w:rPr>
              <w:fldChar w:fldCharType="separate"/>
            </w:r>
            <w:r>
              <w:rPr>
                <w:noProof/>
                <w:webHidden/>
              </w:rPr>
              <w:t>6</w:t>
            </w:r>
            <w:r>
              <w:rPr>
                <w:noProof/>
                <w:webHidden/>
              </w:rPr>
              <w:fldChar w:fldCharType="end"/>
            </w:r>
          </w:hyperlink>
        </w:p>
        <w:p w14:paraId="069A6CC3" w14:textId="7A690815" w:rsidR="00DF25F5" w:rsidRDefault="00DF25F5">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35189756" w:history="1">
            <w:r w:rsidRPr="006B4FC5">
              <w:rPr>
                <w:rStyle w:val="Hyperlink"/>
                <w:noProof/>
              </w:rPr>
              <w:t>Recommendations</w:t>
            </w:r>
            <w:r>
              <w:rPr>
                <w:noProof/>
                <w:webHidden/>
              </w:rPr>
              <w:tab/>
            </w:r>
            <w:r>
              <w:rPr>
                <w:noProof/>
                <w:webHidden/>
              </w:rPr>
              <w:fldChar w:fldCharType="begin"/>
            </w:r>
            <w:r>
              <w:rPr>
                <w:noProof/>
                <w:webHidden/>
              </w:rPr>
              <w:instrText xml:space="preserve"> PAGEREF _Toc235189756 \h </w:instrText>
            </w:r>
            <w:r>
              <w:rPr>
                <w:noProof/>
                <w:webHidden/>
              </w:rPr>
            </w:r>
            <w:r>
              <w:rPr>
                <w:noProof/>
                <w:webHidden/>
              </w:rPr>
              <w:fldChar w:fldCharType="separate"/>
            </w:r>
            <w:r>
              <w:rPr>
                <w:noProof/>
                <w:webHidden/>
              </w:rPr>
              <w:t>7</w:t>
            </w:r>
            <w:r>
              <w:rPr>
                <w:noProof/>
                <w:webHidden/>
              </w:rPr>
              <w:fldChar w:fldCharType="end"/>
            </w:r>
          </w:hyperlink>
        </w:p>
        <w:p w14:paraId="6D4B301B" w14:textId="71583F32" w:rsidR="00DF25F5" w:rsidRDefault="00DF25F5">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35189757" w:history="1">
            <w:r w:rsidRPr="006B4FC5">
              <w:rPr>
                <w:rStyle w:val="Hyperlink"/>
                <w:noProof/>
              </w:rPr>
              <w:t>Conclusion</w:t>
            </w:r>
            <w:r>
              <w:rPr>
                <w:noProof/>
                <w:webHidden/>
              </w:rPr>
              <w:tab/>
            </w:r>
            <w:r>
              <w:rPr>
                <w:noProof/>
                <w:webHidden/>
              </w:rPr>
              <w:fldChar w:fldCharType="begin"/>
            </w:r>
            <w:r>
              <w:rPr>
                <w:noProof/>
                <w:webHidden/>
              </w:rPr>
              <w:instrText xml:space="preserve"> PAGEREF _Toc235189757 \h </w:instrText>
            </w:r>
            <w:r>
              <w:rPr>
                <w:noProof/>
                <w:webHidden/>
              </w:rPr>
            </w:r>
            <w:r>
              <w:rPr>
                <w:noProof/>
                <w:webHidden/>
              </w:rPr>
              <w:fldChar w:fldCharType="separate"/>
            </w:r>
            <w:r>
              <w:rPr>
                <w:noProof/>
                <w:webHidden/>
              </w:rPr>
              <w:t>8</w:t>
            </w:r>
            <w:r>
              <w:rPr>
                <w:noProof/>
                <w:webHidden/>
              </w:rPr>
              <w:fldChar w:fldCharType="end"/>
            </w:r>
          </w:hyperlink>
        </w:p>
        <w:p w14:paraId="78816FA5" w14:textId="1EA06C6B" w:rsidR="00DF25F5" w:rsidRDefault="00DF25F5">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35189758" w:history="1">
            <w:r w:rsidRPr="006B4FC5">
              <w:rPr>
                <w:rStyle w:val="Hyperlink"/>
                <w:noProof/>
              </w:rPr>
              <w:t>References</w:t>
            </w:r>
            <w:r>
              <w:rPr>
                <w:noProof/>
                <w:webHidden/>
              </w:rPr>
              <w:tab/>
            </w:r>
            <w:r>
              <w:rPr>
                <w:noProof/>
                <w:webHidden/>
              </w:rPr>
              <w:fldChar w:fldCharType="begin"/>
            </w:r>
            <w:r>
              <w:rPr>
                <w:noProof/>
                <w:webHidden/>
              </w:rPr>
              <w:instrText xml:space="preserve"> PAGEREF _Toc235189758 \h </w:instrText>
            </w:r>
            <w:r>
              <w:rPr>
                <w:noProof/>
                <w:webHidden/>
              </w:rPr>
            </w:r>
            <w:r>
              <w:rPr>
                <w:noProof/>
                <w:webHidden/>
              </w:rPr>
              <w:fldChar w:fldCharType="separate"/>
            </w:r>
            <w:r>
              <w:rPr>
                <w:noProof/>
                <w:webHidden/>
              </w:rPr>
              <w:t>9</w:t>
            </w:r>
            <w:r>
              <w:rPr>
                <w:noProof/>
                <w:webHidden/>
              </w:rPr>
              <w:fldChar w:fldCharType="end"/>
            </w:r>
          </w:hyperlink>
        </w:p>
        <w:p w14:paraId="5FA8947E" w14:textId="18A50641" w:rsidR="00873991" w:rsidRDefault="00873991">
          <w:r>
            <w:rPr>
              <w:b/>
              <w:bCs/>
              <w:noProof/>
            </w:rPr>
            <w:fldChar w:fldCharType="end"/>
          </w:r>
        </w:p>
      </w:sdtContent>
    </w:sdt>
    <w:p w14:paraId="6C103E98" w14:textId="77777777" w:rsidR="00873991" w:rsidRDefault="00873991" w:rsidP="00873991"/>
    <w:p w14:paraId="34CCE91D" w14:textId="77777777" w:rsidR="00873991" w:rsidRDefault="00873991">
      <w:r>
        <w:br w:type="page"/>
      </w:r>
    </w:p>
    <w:p w14:paraId="75238A58" w14:textId="5B4658E3" w:rsidR="00E16BB4" w:rsidRPr="0009516C" w:rsidRDefault="00000000" w:rsidP="0009516C">
      <w:pPr>
        <w:pStyle w:val="Heading1"/>
        <w:spacing w:line="360" w:lineRule="auto"/>
        <w:jc w:val="both"/>
        <w:rPr>
          <w:sz w:val="22"/>
          <w:szCs w:val="22"/>
        </w:rPr>
      </w:pPr>
      <w:bookmarkStart w:id="0" w:name="_Toc235189744"/>
      <w:r w:rsidRPr="0009516C">
        <w:rPr>
          <w:sz w:val="22"/>
          <w:szCs w:val="22"/>
        </w:rPr>
        <w:lastRenderedPageBreak/>
        <w:t>Introduction</w:t>
      </w:r>
      <w:bookmarkEnd w:id="0"/>
    </w:p>
    <w:p w14:paraId="64D8F38E" w14:textId="3559376C" w:rsidR="00DC5B03" w:rsidRPr="0009516C" w:rsidRDefault="00DC5B03" w:rsidP="0009516C">
      <w:pPr>
        <w:spacing w:line="360" w:lineRule="auto"/>
        <w:jc w:val="both"/>
      </w:pPr>
      <w:r w:rsidRPr="0009516C">
        <w:t xml:space="preserve">There is growing awareness of the interconnectedness between health, wellbeing and sustainable development as priorities for the world. In 2015, the United Nations (UN) set out with ambitious goals to eliminate poverty, reduce inequality and improve health by 2030, through a universal framework known as the Sustainable Development Goals (SDGs) (Sachs </w:t>
      </w:r>
      <w:r w:rsidRPr="00F55C88">
        <w:rPr>
          <w:i/>
          <w:iCs/>
        </w:rPr>
        <w:t>et al.,</w:t>
      </w:r>
      <w:r w:rsidRPr="0009516C">
        <w:t xml:space="preserve"> 2022). This report critically looks at the effects of SDG 3 (Good Health and Wellbeing) and SDG 10 (Reduced Inequalities) on citizens across the globe, nationally and at </w:t>
      </w:r>
      <w:r w:rsidR="0009516C">
        <w:t xml:space="preserve">the </w:t>
      </w:r>
      <w:r w:rsidRPr="0009516C">
        <w:t>local level. Health inequalities are one of the most stubborn challenges to meeting SDG 3</w:t>
      </w:r>
      <w:r w:rsidR="0009516C">
        <w:t>;</w:t>
      </w:r>
      <w:r w:rsidRPr="0009516C">
        <w:t xml:space="preserve"> hence, the choice of SDG 10. Marmot </w:t>
      </w:r>
      <w:r w:rsidRPr="00F55C88">
        <w:rPr>
          <w:i/>
          <w:iCs/>
        </w:rPr>
        <w:t>et al.</w:t>
      </w:r>
      <w:r w:rsidRPr="0009516C">
        <w:t xml:space="preserve"> (2020, p.4) say that health inequalities are 'not inevitable but the product of social and economic policies and conditions in which people are born, grow, live, work, and </w:t>
      </w:r>
      <w:r w:rsidR="0009516C">
        <w:t>age '</w:t>
      </w:r>
      <w:r w:rsidRPr="0009516C">
        <w:t xml:space="preserve">. In their article, Wuyts and Mold (2022) suggest that the SDGs offer a useful, but </w:t>
      </w:r>
      <w:r w:rsidR="0009516C">
        <w:t xml:space="preserve">not </w:t>
      </w:r>
      <w:r w:rsidR="0009516C" w:rsidRPr="0009516C">
        <w:t>consensual</w:t>
      </w:r>
      <w:r w:rsidRPr="0009516C">
        <w:t>, framework – both with a strong visionary element and inequalities in the implementation potential between countries. This report assesses the success of social prescribing in the UK and then offers policy recommendations based on the evidence.</w:t>
      </w:r>
    </w:p>
    <w:p w14:paraId="72046F8A" w14:textId="77777777" w:rsidR="00DC5B03" w:rsidRPr="0009516C" w:rsidRDefault="00DC5B03" w:rsidP="0009516C">
      <w:pPr>
        <w:pStyle w:val="Heading1"/>
        <w:spacing w:line="360" w:lineRule="auto"/>
        <w:jc w:val="both"/>
        <w:rPr>
          <w:sz w:val="22"/>
          <w:szCs w:val="22"/>
        </w:rPr>
      </w:pPr>
      <w:bookmarkStart w:id="1" w:name="_Toc235189745"/>
      <w:r w:rsidRPr="0009516C">
        <w:rPr>
          <w:sz w:val="22"/>
          <w:szCs w:val="22"/>
        </w:rPr>
        <w:t>SDG 3: Good Health and Wellbeing</w:t>
      </w:r>
      <w:bookmarkEnd w:id="1"/>
    </w:p>
    <w:p w14:paraId="2F3802FC" w14:textId="77777777" w:rsidR="00DC5B03" w:rsidRPr="0009516C" w:rsidRDefault="00DC5B03" w:rsidP="0009516C">
      <w:pPr>
        <w:pStyle w:val="Heading2"/>
        <w:spacing w:line="360" w:lineRule="auto"/>
        <w:jc w:val="both"/>
        <w:rPr>
          <w:sz w:val="22"/>
          <w:szCs w:val="22"/>
        </w:rPr>
      </w:pPr>
      <w:bookmarkStart w:id="2" w:name="_Toc235189746"/>
      <w:r w:rsidRPr="0009516C">
        <w:rPr>
          <w:sz w:val="22"/>
          <w:szCs w:val="22"/>
        </w:rPr>
        <w:t>2.1 Global Impact</w:t>
      </w:r>
      <w:bookmarkEnd w:id="2"/>
    </w:p>
    <w:p w14:paraId="3EADBBB9" w14:textId="1531DA55" w:rsidR="00003589" w:rsidRPr="0009516C" w:rsidRDefault="00DC5B03" w:rsidP="0009516C">
      <w:pPr>
        <w:spacing w:line="360" w:lineRule="auto"/>
        <w:jc w:val="both"/>
      </w:pPr>
      <w:r w:rsidRPr="0009516C">
        <w:t xml:space="preserve">SDG 3 focuses on 'Healthy lives and promoting wellbeing at all ages' with thirteen targets ranging from communicable disease control to mental health and universal health coverage (Lim </w:t>
      </w:r>
      <w:r w:rsidRPr="007B1FC6">
        <w:rPr>
          <w:i/>
          <w:iCs/>
        </w:rPr>
        <w:t>et al.,</w:t>
      </w:r>
      <w:r w:rsidRPr="0009516C">
        <w:t xml:space="preserve"> 2022). Much has been done at the international level. The authors of the study found that under-5 mortality rates in low- and middle-income countries had dropped by 59% from 1990 to 2019, due to progress in </w:t>
      </w:r>
      <w:r w:rsidR="005849E6">
        <w:t>the provision of maternal and child health services</w:t>
      </w:r>
      <w:r w:rsidRPr="0009516C">
        <w:t xml:space="preserve">. But there has been significant unevenness in progress. The COVID-19 pandemic resulted in a 25% rise in anxiety and depression globally, and disrupted vital health care services (Santomauro </w:t>
      </w:r>
      <w:r w:rsidRPr="00A0022F">
        <w:rPr>
          <w:i/>
          <w:iCs/>
        </w:rPr>
        <w:t>et al</w:t>
      </w:r>
      <w:r w:rsidRPr="0009516C">
        <w:t xml:space="preserve">., 2021). Lim </w:t>
      </w:r>
      <w:r w:rsidRPr="007B1FC6">
        <w:rPr>
          <w:i/>
          <w:iCs/>
        </w:rPr>
        <w:t>et al</w:t>
      </w:r>
      <w:r w:rsidRPr="0009516C">
        <w:t xml:space="preserve">. (2022) also determined that none of the countries </w:t>
      </w:r>
      <w:r w:rsidR="0009516C">
        <w:t>was</w:t>
      </w:r>
      <w:r w:rsidRPr="0009516C">
        <w:t xml:space="preserve"> on course to meet all SDG 3 targets by 2030, and that </w:t>
      </w:r>
      <w:r w:rsidR="005849E6">
        <w:t xml:space="preserve">low-income countries faced a higher risk of missing the targets </w:t>
      </w:r>
      <w:r w:rsidRPr="0009516C">
        <w:t xml:space="preserve">with respect to health system capacity and financing. </w:t>
      </w:r>
      <w:r w:rsidR="00003589" w:rsidRPr="0009516C">
        <w:t xml:space="preserve">Global policy commitments and service delivery have supported progress towards SDG 3. The WHO Global Action Plan for Healthy Lives and Well-being for All (2019) was a commitment to support financing, data and delivery systems to be aligned around the SDG 3 targets. The 2018 Astana Declaration recognised universal health coverage (UHC) as the main pathway to achieve these goals. Kruk </w:t>
      </w:r>
      <w:r w:rsidR="00003589" w:rsidRPr="00A01B88">
        <w:rPr>
          <w:i/>
          <w:iCs/>
        </w:rPr>
        <w:t>et al.</w:t>
      </w:r>
      <w:r w:rsidR="00003589" w:rsidRPr="0009516C">
        <w:t xml:space="preserve"> (2018), however, contend that political will is not matched by similar efforts to invest in quality health systems, especially in low-income countries, where many countries provide access to health care without ensuring its effectiveness. This policy-practice </w:t>
      </w:r>
      <w:r w:rsidR="00003589" w:rsidRPr="0009516C">
        <w:lastRenderedPageBreak/>
        <w:t>disconnect contributes to the universal aspirations, unequal attainability tension identified above.</w:t>
      </w:r>
    </w:p>
    <w:p w14:paraId="690410DC" w14:textId="092D5A3F" w:rsidR="00DC5B03" w:rsidRPr="0009516C" w:rsidRDefault="00DC5B03" w:rsidP="0009516C">
      <w:pPr>
        <w:pStyle w:val="Heading1"/>
        <w:spacing w:line="360" w:lineRule="auto"/>
        <w:jc w:val="both"/>
        <w:rPr>
          <w:sz w:val="22"/>
          <w:szCs w:val="22"/>
        </w:rPr>
      </w:pPr>
      <w:bookmarkStart w:id="3" w:name="_Toc235189747"/>
      <w:r w:rsidRPr="0009516C">
        <w:rPr>
          <w:sz w:val="22"/>
          <w:szCs w:val="22"/>
        </w:rPr>
        <w:t>National Impact: The United Kingdom</w:t>
      </w:r>
      <w:bookmarkEnd w:id="3"/>
    </w:p>
    <w:p w14:paraId="0C03AEA0" w14:textId="441C7A37" w:rsidR="00003589" w:rsidRPr="0009516C" w:rsidRDefault="00DC5B03" w:rsidP="0009516C">
      <w:pPr>
        <w:spacing w:line="360" w:lineRule="auto"/>
        <w:jc w:val="both"/>
      </w:pPr>
      <w:r w:rsidRPr="0009516C">
        <w:t xml:space="preserve">As part of SDG 3, there are a variety of national policies and strategies in place in the UK. To achieve health for all, it is necessary to </w:t>
      </w:r>
      <w:r w:rsidR="0009516C" w:rsidRPr="0009516C">
        <w:t>act</w:t>
      </w:r>
      <w:r w:rsidRPr="0009516C">
        <w:t xml:space="preserve"> on the social determinants of health: the structural conditions of income, education, housing and employment that have a much greater impact on health outcomes than clinical interventions alone (Dahlgren and Whitehead, 2021). </w:t>
      </w:r>
      <w:r w:rsidR="0009516C" w:rsidRPr="0009516C">
        <w:t>Mental</w:t>
      </w:r>
      <w:r w:rsidRPr="0009516C">
        <w:t xml:space="preserve"> health services provision in the UK has been a major concern. Psychological therapy waiting times are more than eighteen weeks</w:t>
      </w:r>
      <w:r w:rsidR="0009516C">
        <w:t>,</w:t>
      </w:r>
      <w:r w:rsidRPr="0009516C">
        <w:t xml:space="preserve"> and mental health services only make up 13% of the NHS budget, despite making up 28% of the total disease burden (Thornicroft </w:t>
      </w:r>
      <w:r w:rsidRPr="00D00B22">
        <w:rPr>
          <w:i/>
          <w:iCs/>
        </w:rPr>
        <w:t>et al.,</w:t>
      </w:r>
      <w:r w:rsidRPr="0009516C">
        <w:t xml:space="preserve"> 2022). </w:t>
      </w:r>
      <w:r w:rsidR="00003589" w:rsidRPr="0009516C">
        <w:t xml:space="preserve">The UK's main policy response is the NHS Long Term Plan (NHS England, 2019), which will fund the allocation of resources based on need, focusing on areas of highest health inequalities. This will have measurable targets to reduce inequalities by 2028/ 2029. While in practice, however, an analysis of local health systems' responses to the </w:t>
      </w:r>
      <w:r w:rsidR="0009516C" w:rsidRPr="0009516C">
        <w:t>Long-Term</w:t>
      </w:r>
      <w:r w:rsidR="00003589" w:rsidRPr="0009516C">
        <w:t xml:space="preserve"> Plan revealed that health inequalities were discussed </w:t>
      </w:r>
      <w:r w:rsidR="0009516C">
        <w:t>vaguely and inconsistently</w:t>
      </w:r>
      <w:r w:rsidR="00003589" w:rsidRPr="0009516C">
        <w:t xml:space="preserve"> (Olivera</w:t>
      </w:r>
      <w:r w:rsidR="00003589" w:rsidRPr="00D00B22">
        <w:rPr>
          <w:i/>
          <w:iCs/>
        </w:rPr>
        <w:t xml:space="preserve"> et al</w:t>
      </w:r>
      <w:r w:rsidR="00003589" w:rsidRPr="0009516C">
        <w:t xml:space="preserve">., 2022). This indicates a certain degree of national policy architecture, but the implementation of consistent local actions </w:t>
      </w:r>
      <w:r w:rsidR="00486F37" w:rsidRPr="0009516C">
        <w:t>is</w:t>
      </w:r>
      <w:r w:rsidR="00003589" w:rsidRPr="0009516C">
        <w:t xml:space="preserve"> restricted (Kapur </w:t>
      </w:r>
      <w:r w:rsidR="00003589" w:rsidRPr="00D00B22">
        <w:rPr>
          <w:i/>
          <w:iCs/>
        </w:rPr>
        <w:t>et al</w:t>
      </w:r>
      <w:r w:rsidR="00003589" w:rsidRPr="0009516C">
        <w:t>., 2022).</w:t>
      </w:r>
    </w:p>
    <w:p w14:paraId="3075D23B" w14:textId="194D1EA6" w:rsidR="00DC5B03" w:rsidRPr="0009516C" w:rsidRDefault="00DC5B03" w:rsidP="0009516C">
      <w:pPr>
        <w:pStyle w:val="Heading2"/>
        <w:spacing w:line="360" w:lineRule="auto"/>
        <w:jc w:val="both"/>
        <w:rPr>
          <w:sz w:val="22"/>
          <w:szCs w:val="22"/>
        </w:rPr>
      </w:pPr>
      <w:bookmarkStart w:id="4" w:name="_Toc235189748"/>
      <w:r w:rsidRPr="0009516C">
        <w:rPr>
          <w:sz w:val="22"/>
          <w:szCs w:val="22"/>
        </w:rPr>
        <w:t>Target 3.4: Mental Health and Wellbeing</w:t>
      </w:r>
      <w:bookmarkEnd w:id="4"/>
    </w:p>
    <w:p w14:paraId="5F3DCFF2" w14:textId="0D3335F5" w:rsidR="00DC5B03" w:rsidRPr="0009516C" w:rsidRDefault="00DC5B03" w:rsidP="0009516C">
      <w:pPr>
        <w:spacing w:line="360" w:lineRule="auto"/>
        <w:jc w:val="both"/>
      </w:pPr>
      <w:r w:rsidRPr="0009516C">
        <w:t xml:space="preserve">The main thrust of Target 3.4 is to reduce premature mortality due to non-communicable diseases and promote mental health and wellbeing. Around a quarter of adults in England (1 in 4) have a mental health problem over the course of a year (McManus </w:t>
      </w:r>
      <w:r w:rsidRPr="00D00B22">
        <w:rPr>
          <w:i/>
          <w:iCs/>
        </w:rPr>
        <w:t>et al.,</w:t>
      </w:r>
      <w:r w:rsidRPr="0009516C">
        <w:t xml:space="preserve"> 2022). Williams and Etkins (2021) highlight the numerous barriers</w:t>
      </w:r>
      <w:r w:rsidR="0009516C">
        <w:t>,</w:t>
      </w:r>
      <w:r w:rsidRPr="0009516C">
        <w:t xml:space="preserve"> such as stigma, structural racism in health services and culturally insensitive provision</w:t>
      </w:r>
      <w:r w:rsidR="0009516C">
        <w:t>,</w:t>
      </w:r>
      <w:r w:rsidRPr="0009516C">
        <w:t xml:space="preserve"> faced by the Black, Asian and Minority Ethnic (BAME) communities, where national progress on Target 3.4 falls far short of what is </w:t>
      </w:r>
      <w:r w:rsidR="0009516C" w:rsidRPr="0009516C">
        <w:t>experienced</w:t>
      </w:r>
      <w:r w:rsidRPr="0009516C">
        <w:t xml:space="preserve"> by these communities. To achieve Target 3.4, targeted, culturally competent provision needs to be disaggregated by ethnicity, deprivation and geography to ensure that equitable outcomes are achieved (Patel </w:t>
      </w:r>
      <w:r w:rsidRPr="00D00B22">
        <w:rPr>
          <w:i/>
          <w:iCs/>
        </w:rPr>
        <w:t>et al</w:t>
      </w:r>
      <w:r w:rsidRPr="0009516C">
        <w:t>., 2022).</w:t>
      </w:r>
    </w:p>
    <w:p w14:paraId="615F6FEC" w14:textId="0B626472" w:rsidR="00DC5B03" w:rsidRPr="0009516C" w:rsidRDefault="00DC5B03" w:rsidP="0009516C">
      <w:pPr>
        <w:pStyle w:val="Heading1"/>
        <w:spacing w:line="360" w:lineRule="auto"/>
        <w:jc w:val="both"/>
        <w:rPr>
          <w:sz w:val="22"/>
          <w:szCs w:val="22"/>
        </w:rPr>
      </w:pPr>
      <w:bookmarkStart w:id="5" w:name="_Toc235189749"/>
      <w:r w:rsidRPr="0009516C">
        <w:rPr>
          <w:sz w:val="22"/>
          <w:szCs w:val="22"/>
        </w:rPr>
        <w:t>SDG 10: Reduced Inequalities</w:t>
      </w:r>
      <w:bookmarkEnd w:id="5"/>
    </w:p>
    <w:p w14:paraId="255597FD" w14:textId="4A4C0B83" w:rsidR="00DC5B03" w:rsidRPr="0009516C" w:rsidRDefault="00DC5B03" w:rsidP="0009516C">
      <w:pPr>
        <w:pStyle w:val="Heading2"/>
        <w:spacing w:line="360" w:lineRule="auto"/>
        <w:jc w:val="both"/>
        <w:rPr>
          <w:sz w:val="22"/>
          <w:szCs w:val="22"/>
        </w:rPr>
      </w:pPr>
      <w:bookmarkStart w:id="6" w:name="_Toc235189750"/>
      <w:r w:rsidRPr="0009516C">
        <w:rPr>
          <w:sz w:val="22"/>
          <w:szCs w:val="22"/>
        </w:rPr>
        <w:t>Global and National Impact</w:t>
      </w:r>
      <w:bookmarkEnd w:id="6"/>
    </w:p>
    <w:p w14:paraId="5FB483EC" w14:textId="36DBF64F" w:rsidR="00DC5B03" w:rsidRPr="0009516C" w:rsidRDefault="00DC5B03" w:rsidP="0009516C">
      <w:pPr>
        <w:spacing w:line="360" w:lineRule="auto"/>
        <w:jc w:val="both"/>
      </w:pPr>
      <w:r w:rsidRPr="0009516C">
        <w:t xml:space="preserve">SDG 10 seeks to cut inequality within and between countries, as inequality is a major constraint to the achievement of SDGs (Chetty </w:t>
      </w:r>
      <w:r w:rsidRPr="00C12269">
        <w:rPr>
          <w:i/>
          <w:iCs/>
        </w:rPr>
        <w:t>et al.,</w:t>
      </w:r>
      <w:r w:rsidRPr="0009516C">
        <w:t xml:space="preserve"> 2022). There is a relationship between health inequality and social inequality, and they are both shaped by and are drivers of that social inequality. Among other factors, disparities in access to clean water, nutrition, education </w:t>
      </w:r>
      <w:r w:rsidRPr="0009516C">
        <w:lastRenderedPageBreak/>
        <w:t xml:space="preserve">and healthcare (Lim </w:t>
      </w:r>
      <w:r w:rsidRPr="00C12269">
        <w:rPr>
          <w:i/>
          <w:iCs/>
        </w:rPr>
        <w:t>et al.,</w:t>
      </w:r>
      <w:r w:rsidRPr="0009516C">
        <w:t xml:space="preserve"> 2022) contribute to the fact that in </w:t>
      </w:r>
      <w:r w:rsidR="0009516C">
        <w:t>low-income</w:t>
      </w:r>
      <w:r w:rsidRPr="0009516C">
        <w:t xml:space="preserve"> countries life expectancy can be 30 years lower than in </w:t>
      </w:r>
      <w:r w:rsidR="0009516C">
        <w:t>high-income</w:t>
      </w:r>
      <w:r w:rsidRPr="0009516C">
        <w:t xml:space="preserve"> countries globally. In the UK, residents of the most deprived communities experience 9.5 fewer HEYs than those in the least deprived communities (Marmot </w:t>
      </w:r>
      <w:r w:rsidRPr="00C12269">
        <w:rPr>
          <w:i/>
          <w:iCs/>
        </w:rPr>
        <w:t>et al.,</w:t>
      </w:r>
      <w:r w:rsidRPr="0009516C">
        <w:t xml:space="preserve"> 2020). Since 2010, when austerity measures were introduced, life expectancy improvements in England have come to a standstill, with life expectancy in the most deprived communities </w:t>
      </w:r>
      <w:r w:rsidR="0009516C" w:rsidRPr="0009516C">
        <w:t>falling</w:t>
      </w:r>
      <w:r w:rsidRPr="0009516C">
        <w:t xml:space="preserve"> for women, according to Marmot </w:t>
      </w:r>
      <w:r w:rsidRPr="00C12269">
        <w:rPr>
          <w:i/>
          <w:iCs/>
        </w:rPr>
        <w:t>et al.</w:t>
      </w:r>
      <w:r w:rsidRPr="0009516C">
        <w:t xml:space="preserve"> (2020). This is an example of public spending decisions as health policy, regardless of their actual health policy heading.</w:t>
      </w:r>
    </w:p>
    <w:p w14:paraId="2B35EBB9" w14:textId="77777777" w:rsidR="00DC5B03" w:rsidRPr="0009516C" w:rsidRDefault="00DC5B03" w:rsidP="0009516C">
      <w:pPr>
        <w:pStyle w:val="Heading1"/>
        <w:spacing w:line="360" w:lineRule="auto"/>
        <w:jc w:val="both"/>
        <w:rPr>
          <w:sz w:val="22"/>
          <w:szCs w:val="22"/>
        </w:rPr>
      </w:pPr>
      <w:bookmarkStart w:id="7" w:name="_Toc235189751"/>
      <w:r w:rsidRPr="0009516C">
        <w:rPr>
          <w:sz w:val="22"/>
          <w:szCs w:val="22"/>
        </w:rPr>
        <w:t>Talk about how SDG 3 intersects with SDG 10.</w:t>
      </w:r>
      <w:bookmarkEnd w:id="7"/>
    </w:p>
    <w:p w14:paraId="0C422CC3" w14:textId="792E91AB" w:rsidR="00DC5B03" w:rsidRPr="0009516C" w:rsidRDefault="00DC5B03" w:rsidP="0009516C">
      <w:pPr>
        <w:spacing w:line="360" w:lineRule="auto"/>
        <w:jc w:val="both"/>
      </w:pPr>
      <w:r w:rsidRPr="0009516C">
        <w:t>SDG 3 and SDG 10 are intrinsically linked. Bad health perpetuates poverty</w:t>
      </w:r>
      <w:r w:rsidR="0009516C">
        <w:t>,</w:t>
      </w:r>
      <w:r w:rsidRPr="0009516C">
        <w:t xml:space="preserve"> and poverty drives bad health, as Marmot </w:t>
      </w:r>
      <w:r w:rsidRPr="003379CC">
        <w:rPr>
          <w:i/>
          <w:iCs/>
        </w:rPr>
        <w:t>et al</w:t>
      </w:r>
      <w:r w:rsidRPr="0009516C">
        <w:t xml:space="preserve"> (2020) describe as the social gradient of health. Bambra et al. (2021) show how the COVID-19 pandemic increased the socioeconomic health inequalities that already existed in England</w:t>
      </w:r>
      <w:r w:rsidR="003379CC">
        <w:t>,</w:t>
      </w:r>
      <w:r w:rsidRPr="0009516C">
        <w:t xml:space="preserve"> with the death rate in the most deprived areas of England being more than double that in the least deprived areas. This is an indicator of the structural inequalities in housing, work, health services and the like, which cannot be resolved by any one clinical intervention. In line with the principle of ‘proportionate universalism', which calls for the most investment where the need is the greatest, Chetty </w:t>
      </w:r>
      <w:r w:rsidRPr="003379CC">
        <w:rPr>
          <w:i/>
          <w:iCs/>
        </w:rPr>
        <w:t>et al.</w:t>
      </w:r>
      <w:r w:rsidRPr="0009516C">
        <w:t xml:space="preserve"> (2022) state that a coordinated effort in education, income support, and housing and employment is required to reduce health inequality. If not adopted across sectors, health programs could improve the average result at the expense of exacerbating inequality, especially among youth, who are a priority because their digital and social contexts have a long-term impact on wellbeing (Viner </w:t>
      </w:r>
      <w:r w:rsidRPr="003379CC">
        <w:rPr>
          <w:i/>
          <w:iCs/>
        </w:rPr>
        <w:t>et al</w:t>
      </w:r>
      <w:r w:rsidRPr="0009516C">
        <w:t>., 2022).</w:t>
      </w:r>
    </w:p>
    <w:p w14:paraId="61BBFB58" w14:textId="48CA1275" w:rsidR="00DC5B03" w:rsidRPr="0009516C" w:rsidRDefault="00DC5B03" w:rsidP="0009516C">
      <w:pPr>
        <w:pStyle w:val="Heading1"/>
        <w:spacing w:line="360" w:lineRule="auto"/>
        <w:jc w:val="both"/>
        <w:rPr>
          <w:sz w:val="22"/>
          <w:szCs w:val="22"/>
        </w:rPr>
      </w:pPr>
      <w:bookmarkStart w:id="8" w:name="_Toc235189752"/>
      <w:r w:rsidRPr="0009516C">
        <w:rPr>
          <w:sz w:val="22"/>
          <w:szCs w:val="22"/>
        </w:rPr>
        <w:t>Social Prescribing: National and Local Evaluation of Initiative</w:t>
      </w:r>
      <w:bookmarkEnd w:id="8"/>
    </w:p>
    <w:p w14:paraId="03A65C41" w14:textId="26BBF047" w:rsidR="00DC5B03" w:rsidRPr="0009516C" w:rsidRDefault="00DC5B03" w:rsidP="0009516C">
      <w:pPr>
        <w:pStyle w:val="Heading2"/>
        <w:spacing w:line="360" w:lineRule="auto"/>
        <w:jc w:val="both"/>
        <w:rPr>
          <w:sz w:val="22"/>
          <w:szCs w:val="22"/>
        </w:rPr>
      </w:pPr>
      <w:bookmarkStart w:id="9" w:name="_Toc235189753"/>
      <w:r w:rsidRPr="0009516C">
        <w:rPr>
          <w:sz w:val="22"/>
          <w:szCs w:val="22"/>
        </w:rPr>
        <w:t>Overview and Theoretical Basis</w:t>
      </w:r>
      <w:bookmarkEnd w:id="9"/>
    </w:p>
    <w:p w14:paraId="202DD1B4" w14:textId="15925407" w:rsidR="00DC5B03" w:rsidRDefault="00DC5B03" w:rsidP="0009516C">
      <w:pPr>
        <w:spacing w:line="360" w:lineRule="auto"/>
        <w:jc w:val="both"/>
      </w:pPr>
      <w:r w:rsidRPr="0009516C">
        <w:t xml:space="preserve">Social prescribing, a person-centred initiative that helps health practitioners link people with community-based, non-clinical social determinants of health (SDOH) interventions and activities, helps patients find services they need beyond medical care (Chatterjee </w:t>
      </w:r>
      <w:r w:rsidRPr="00FD2DD9">
        <w:rPr>
          <w:i/>
          <w:iCs/>
        </w:rPr>
        <w:t>et al.,</w:t>
      </w:r>
      <w:r w:rsidRPr="0009516C">
        <w:t xml:space="preserve"> 2023). Usually involve arts and crafts, physical activity, gardening, debt advice, befriending and volunteering. Theoretically, Social prescribing is based on the biopsychosocial model</w:t>
      </w:r>
      <w:r w:rsidR="0009516C">
        <w:t>,</w:t>
      </w:r>
      <w:r w:rsidRPr="0009516C">
        <w:t xml:space="preserve"> which acknowledges that physical, psychological and social factors are inextricably intertwined in shaping health and wellbeing (Engel, 1977 cited in Husk </w:t>
      </w:r>
      <w:r w:rsidRPr="00FD2DD9">
        <w:rPr>
          <w:i/>
          <w:iCs/>
        </w:rPr>
        <w:t>et al.,</w:t>
      </w:r>
      <w:r w:rsidRPr="0009516C">
        <w:t xml:space="preserve"> 2022). It stands in direct opposition to the reductionist approach of the biomedical model to treating </w:t>
      </w:r>
      <w:r w:rsidR="0009516C" w:rsidRPr="0009516C">
        <w:t>disease and</w:t>
      </w:r>
      <w:r w:rsidRPr="0009516C">
        <w:t xml:space="preserve"> instead asks what can happen upstream to create ill health. Social prescribing is integrated into </w:t>
      </w:r>
      <w:r w:rsidRPr="0009516C">
        <w:lastRenderedPageBreak/>
        <w:t>Primary Care Networks in the UK and has a National Target of 900,000 referrals per year (Kimberlee, 2023).</w:t>
      </w:r>
    </w:p>
    <w:p w14:paraId="71CBB443" w14:textId="77777777" w:rsidR="00C1512D" w:rsidRPr="0009516C" w:rsidRDefault="00C1512D" w:rsidP="0009516C">
      <w:pPr>
        <w:spacing w:line="360" w:lineRule="auto"/>
        <w:jc w:val="both"/>
      </w:pPr>
    </w:p>
    <w:p w14:paraId="7E7D34C4" w14:textId="7E62D5A5" w:rsidR="00EB745C" w:rsidRPr="0009516C" w:rsidRDefault="00EB745C" w:rsidP="0009516C">
      <w:pPr>
        <w:spacing w:line="360" w:lineRule="auto"/>
        <w:jc w:val="both"/>
      </w:pPr>
      <w:r w:rsidRPr="0009516C">
        <w:t xml:space="preserve">Social prescribing also serves as a vehicle </w:t>
      </w:r>
      <w:r w:rsidR="00277B9C">
        <w:t>for advancing the SDG10 policy</w:t>
      </w:r>
      <w:r w:rsidRPr="0009516C">
        <w:t xml:space="preserve">. Social prescribing is also specifically mentioned as a measure to tackle health inequalities in the NHS Long Term Plan (NHS England, 2019), with Primary Care Networks (PCN) being asked to focus on referrals to the most deprived neighbourhoods as part of the broader inequalities funding formula outlined above. This places social prescribing not just as a wellbeing intervention but as a form of proportionate universalism in action in which non-clinical support should be targeted at individuals in the highest social need (Chetty </w:t>
      </w:r>
      <w:r w:rsidRPr="00C71F01">
        <w:rPr>
          <w:i/>
          <w:iCs/>
        </w:rPr>
        <w:t>et al.,</w:t>
      </w:r>
      <w:r w:rsidRPr="0009516C">
        <w:t xml:space="preserve"> 2022).</w:t>
      </w:r>
    </w:p>
    <w:p w14:paraId="18D2A0B0" w14:textId="78BDD478" w:rsidR="00DC5B03" w:rsidRPr="0009516C" w:rsidRDefault="00DC5B03" w:rsidP="0009516C">
      <w:pPr>
        <w:pStyle w:val="Heading2"/>
        <w:spacing w:line="360" w:lineRule="auto"/>
        <w:jc w:val="both"/>
        <w:rPr>
          <w:sz w:val="22"/>
          <w:szCs w:val="22"/>
        </w:rPr>
      </w:pPr>
      <w:bookmarkStart w:id="10" w:name="_Toc235189754"/>
      <w:r w:rsidRPr="0009516C">
        <w:rPr>
          <w:sz w:val="22"/>
          <w:szCs w:val="22"/>
        </w:rPr>
        <w:t>Effectiveness: Evidence and Outcomes.</w:t>
      </w:r>
      <w:bookmarkEnd w:id="10"/>
    </w:p>
    <w:p w14:paraId="636B3F8D" w14:textId="02F8D70F" w:rsidR="00DC5B03" w:rsidRDefault="00DC5B03" w:rsidP="0009516C">
      <w:pPr>
        <w:spacing w:line="360" w:lineRule="auto"/>
        <w:jc w:val="both"/>
      </w:pPr>
      <w:r w:rsidRPr="0009516C">
        <w:t xml:space="preserve">The evidence base for social prescribing is expanding but has some methodological variety. Chatterjee </w:t>
      </w:r>
      <w:r w:rsidRPr="00C71F01">
        <w:rPr>
          <w:i/>
          <w:iCs/>
        </w:rPr>
        <w:t>et al</w:t>
      </w:r>
      <w:r w:rsidRPr="0009516C">
        <w:t xml:space="preserve"> (2023) performed a systematic review and identified the consistent relationship between social prescribing and the measurable benefits on mental wellbeing, loneliness and self-reported quality of life in a variety of UK populations. A </w:t>
      </w:r>
      <w:r w:rsidR="0009516C">
        <w:t>large-scale</w:t>
      </w:r>
      <w:r w:rsidRPr="0009516C">
        <w:t xml:space="preserve"> evaluation of link worker schemes in England also identified positive impacts on social isolation and anxiety for participants from deprived communities (Husk </w:t>
      </w:r>
      <w:r w:rsidRPr="00C71F01">
        <w:rPr>
          <w:i/>
          <w:iCs/>
        </w:rPr>
        <w:t>et al</w:t>
      </w:r>
      <w:r w:rsidRPr="0009516C">
        <w:t>. 2022).</w:t>
      </w:r>
    </w:p>
    <w:p w14:paraId="0E16008F" w14:textId="77777777" w:rsidR="007E76F8" w:rsidRPr="0009516C" w:rsidRDefault="007E76F8" w:rsidP="0009516C">
      <w:pPr>
        <w:spacing w:line="360" w:lineRule="auto"/>
        <w:jc w:val="both"/>
      </w:pPr>
    </w:p>
    <w:p w14:paraId="1F219E72" w14:textId="1EE93381" w:rsidR="00EB745C" w:rsidRPr="0009516C" w:rsidRDefault="00EB745C" w:rsidP="0009516C">
      <w:pPr>
        <w:spacing w:line="360" w:lineRule="auto"/>
        <w:jc w:val="both"/>
      </w:pPr>
      <w:r w:rsidRPr="0009516C">
        <w:t>Social prescribing is also explained by use of the Health Belief Model (HBM)</w:t>
      </w:r>
      <w:r w:rsidR="0009516C">
        <w:t>,</w:t>
      </w:r>
      <w:r w:rsidRPr="0009516C">
        <w:t xml:space="preserve"> which posits that a person's involvement in a health behaviour is a function of one's beliefs about susceptibility, severity, benefits and barriers to a behaviour (Rosenstock, 1974). In this context, a patient's motivation to participate in a community activity is influenced by clinical need, but also whether they think it will make a positive difference to their wellbeing, and whether practical barriers such as cost, transport and stigma are manageable. Bandura's (2004) Social Cognitive Theory also </w:t>
      </w:r>
      <w:r w:rsidR="0009516C">
        <w:t>emphasises</w:t>
      </w:r>
      <w:r w:rsidRPr="0009516C">
        <w:t xml:space="preserve"> the self-efficacy level of self-confidence in </w:t>
      </w:r>
      <w:r w:rsidR="0009516C">
        <w:t>performing</w:t>
      </w:r>
      <w:r w:rsidRPr="0009516C">
        <w:t xml:space="preserve"> a </w:t>
      </w:r>
      <w:r w:rsidR="0009516C" w:rsidRPr="0009516C">
        <w:t>behaviour</w:t>
      </w:r>
      <w:r w:rsidRPr="0009516C">
        <w:t xml:space="preserve"> </w:t>
      </w:r>
      <w:r w:rsidR="00C71F01">
        <w:t>and</w:t>
      </w:r>
      <w:r w:rsidRPr="0009516C">
        <w:t xml:space="preserve"> maintaining the </w:t>
      </w:r>
      <w:r w:rsidR="0009516C">
        <w:t>behaviour</w:t>
      </w:r>
      <w:r w:rsidRPr="0009516C">
        <w:t xml:space="preserve"> over time. These models show that to be successful, social prescribing needs more than referral. This relies on link workers being active to build patients' confidence and overcome perceived barriers, which may account for the variability in engagement and drop-off in the evidence base (Chatterjee </w:t>
      </w:r>
      <w:r w:rsidRPr="00C71F01">
        <w:rPr>
          <w:i/>
          <w:iCs/>
        </w:rPr>
        <w:t>et al</w:t>
      </w:r>
      <w:r w:rsidRPr="0009516C">
        <w:t>., 2023).</w:t>
      </w:r>
    </w:p>
    <w:p w14:paraId="2471E63B" w14:textId="51FD997D" w:rsidR="00DC5B03" w:rsidRPr="0009516C" w:rsidRDefault="00DC5B03" w:rsidP="0009516C">
      <w:pPr>
        <w:pStyle w:val="Heading1"/>
        <w:spacing w:line="360" w:lineRule="auto"/>
        <w:jc w:val="both"/>
        <w:rPr>
          <w:sz w:val="22"/>
          <w:szCs w:val="22"/>
        </w:rPr>
      </w:pPr>
      <w:bookmarkStart w:id="11" w:name="_Toc235189755"/>
      <w:r w:rsidRPr="0009516C">
        <w:rPr>
          <w:sz w:val="22"/>
          <w:szCs w:val="22"/>
        </w:rPr>
        <w:t>Limitations and Critical Evaluation</w:t>
      </w:r>
      <w:bookmarkEnd w:id="11"/>
    </w:p>
    <w:p w14:paraId="409A2F63" w14:textId="6314D585" w:rsidR="00DC5B03" w:rsidRPr="0009516C" w:rsidRDefault="00DC5B03" w:rsidP="0009516C">
      <w:pPr>
        <w:spacing w:line="360" w:lineRule="auto"/>
        <w:jc w:val="both"/>
      </w:pPr>
      <w:r w:rsidRPr="0009516C">
        <w:t xml:space="preserve">Social prescribing has huge potential with </w:t>
      </w:r>
      <w:r w:rsidR="0009516C">
        <w:t xml:space="preserve">a </w:t>
      </w:r>
      <w:r w:rsidRPr="0009516C">
        <w:t>robust evidence base but has big barriers that need to be explored. Firstly, methodological inconsistencies reduce the evidence base. There are large differences between various outcome measures, durations of follow-up, and control conditions in the studies, making comparisons and generali</w:t>
      </w:r>
      <w:r w:rsidR="006A3831" w:rsidRPr="0009516C">
        <w:t>s</w:t>
      </w:r>
      <w:r w:rsidRPr="0009516C">
        <w:t xml:space="preserve">ations difficult (Chatterjee </w:t>
      </w:r>
      <w:r w:rsidRPr="00C71F01">
        <w:rPr>
          <w:i/>
          <w:iCs/>
        </w:rPr>
        <w:t xml:space="preserve">et al., </w:t>
      </w:r>
      <w:r w:rsidRPr="0009516C">
        <w:lastRenderedPageBreak/>
        <w:t xml:space="preserve">2023). Self-reports of outcomes, often in </w:t>
      </w:r>
      <w:r w:rsidR="0009516C">
        <w:t xml:space="preserve">the </w:t>
      </w:r>
      <w:r w:rsidRPr="0009516C">
        <w:t xml:space="preserve">absence of control groups, create weak causal inferences. Secondly, there is an uneven geographic distribution of provision. Husk </w:t>
      </w:r>
      <w:r w:rsidRPr="00C71F01">
        <w:rPr>
          <w:i/>
          <w:iCs/>
        </w:rPr>
        <w:t>et al</w:t>
      </w:r>
      <w:r w:rsidRPr="0009516C">
        <w:t xml:space="preserve">. (2022) identified </w:t>
      </w:r>
      <w:r w:rsidR="0009516C">
        <w:t xml:space="preserve">that </w:t>
      </w:r>
      <w:r w:rsidRPr="0009516C">
        <w:t>rural communities and areas with less developed third-sector infrastructure have significantly less access to social prescribing activities, which could create a ‘</w:t>
      </w:r>
      <w:r w:rsidR="00C71F01">
        <w:t>postcode</w:t>
      </w:r>
      <w:r w:rsidRPr="0009516C">
        <w:t xml:space="preserve"> lottery’ in that they receive the intervention where it is least needed. Third, Marmot </w:t>
      </w:r>
      <w:r w:rsidRPr="00C71F01">
        <w:rPr>
          <w:i/>
          <w:iCs/>
        </w:rPr>
        <w:t>et al</w:t>
      </w:r>
      <w:r w:rsidRPr="0009516C">
        <w:t xml:space="preserve">. (2020) make the point that if the upstream structural factors affecting poverty insecure work and inadequate housing are not addressed, then </w:t>
      </w:r>
      <w:r w:rsidR="006A3831" w:rsidRPr="0009516C">
        <w:t>community-based</w:t>
      </w:r>
      <w:r w:rsidRPr="0009516C">
        <w:t xml:space="preserve"> interventions can only partially address the social determinants of poor health. Social prescribing does not tackle the root causes of inequality. Fourth, Morse </w:t>
      </w:r>
      <w:r w:rsidRPr="00C71F01">
        <w:rPr>
          <w:i/>
          <w:iCs/>
        </w:rPr>
        <w:t>et al</w:t>
      </w:r>
      <w:r w:rsidRPr="0009516C">
        <w:t>. (2022) reported that link workers often have burdensome caseloads and little training and supervision, which is a concern for service quality and retention. While these are restrictions on the value of social prescribing, they highlight the need for investment, standardisation and equity-based commissioning, which is systematic.</w:t>
      </w:r>
    </w:p>
    <w:p w14:paraId="7618CD84" w14:textId="77777777" w:rsidR="00DC5B03" w:rsidRPr="0009516C" w:rsidRDefault="00DC5B03" w:rsidP="0009516C">
      <w:pPr>
        <w:spacing w:line="360" w:lineRule="auto"/>
        <w:jc w:val="both"/>
        <w:rPr>
          <w:b/>
          <w:bCs/>
        </w:rPr>
      </w:pPr>
    </w:p>
    <w:p w14:paraId="30913804" w14:textId="4A39FAE0" w:rsidR="00DC5B03" w:rsidRPr="0009516C" w:rsidRDefault="00DC5B03" w:rsidP="0009516C">
      <w:pPr>
        <w:pStyle w:val="Heading1"/>
        <w:spacing w:line="360" w:lineRule="auto"/>
        <w:jc w:val="both"/>
        <w:rPr>
          <w:sz w:val="22"/>
          <w:szCs w:val="22"/>
        </w:rPr>
      </w:pPr>
      <w:bookmarkStart w:id="12" w:name="_Toc235189756"/>
      <w:r w:rsidRPr="0009516C">
        <w:rPr>
          <w:sz w:val="22"/>
          <w:szCs w:val="22"/>
        </w:rPr>
        <w:t>Recommendations</w:t>
      </w:r>
      <w:bookmarkEnd w:id="12"/>
    </w:p>
    <w:p w14:paraId="4E1EBD0E" w14:textId="77777777" w:rsidR="00DC5B03" w:rsidRPr="0009516C" w:rsidRDefault="00DC5B03" w:rsidP="0009516C">
      <w:pPr>
        <w:spacing w:line="360" w:lineRule="auto"/>
        <w:jc w:val="both"/>
      </w:pPr>
      <w:r w:rsidRPr="0009516C">
        <w:t>The following evidence-based recommendations are made to reinforce existing policies and initiatives.</w:t>
      </w:r>
    </w:p>
    <w:p w14:paraId="0C47A67E" w14:textId="77D1B0D5" w:rsidR="00DC5B03" w:rsidRPr="0009516C" w:rsidRDefault="00DC5B03" w:rsidP="0009516C">
      <w:pPr>
        <w:spacing w:line="360" w:lineRule="auto"/>
        <w:jc w:val="both"/>
      </w:pPr>
      <w:r w:rsidRPr="0009516C">
        <w:rPr>
          <w:b/>
          <w:bCs/>
        </w:rPr>
        <w:t>Recommendation 1:</w:t>
      </w:r>
      <w:r w:rsidRPr="0009516C">
        <w:t xml:space="preserve"> Introduce a system of fee-for-service payments for social prescribing providers. Ethnic, deprivation and geographical outcomes and referral information must be disaggregated to ensure inequities in access are identified and tackled. This is a direct contribution to SDG 10, and the principle of proportionate universalism (Chetty </w:t>
      </w:r>
      <w:r w:rsidRPr="003507CC">
        <w:rPr>
          <w:i/>
          <w:iCs/>
        </w:rPr>
        <w:t>et al.,</w:t>
      </w:r>
      <w:r w:rsidRPr="0009516C">
        <w:t xml:space="preserve"> 2022).</w:t>
      </w:r>
    </w:p>
    <w:p w14:paraId="33CAF289" w14:textId="77777777" w:rsidR="00DC5B03" w:rsidRPr="0009516C" w:rsidRDefault="00DC5B03" w:rsidP="0009516C">
      <w:pPr>
        <w:spacing w:line="360" w:lineRule="auto"/>
        <w:jc w:val="both"/>
      </w:pPr>
      <w:r w:rsidRPr="0009516C">
        <w:rPr>
          <w:b/>
          <w:bCs/>
        </w:rPr>
        <w:t>Recommendation 2</w:t>
      </w:r>
      <w:r w:rsidRPr="0009516C">
        <w:t xml:space="preserve">: Make investments in community infrastructure in deprived areas. There needs to be specific funding for third sector organisations in the most deprived communities alongside national roll-out of social prescribing. If there is no investment in the supply side, demand will not be fulfilled (Marmot </w:t>
      </w:r>
      <w:r w:rsidRPr="003507CC">
        <w:rPr>
          <w:i/>
          <w:iCs/>
        </w:rPr>
        <w:t>et al.,</w:t>
      </w:r>
      <w:r w:rsidRPr="0009516C">
        <w:t xml:space="preserve"> 2020).</w:t>
      </w:r>
    </w:p>
    <w:p w14:paraId="0BC7458B" w14:textId="77777777" w:rsidR="00DC5B03" w:rsidRPr="0009516C" w:rsidRDefault="00DC5B03" w:rsidP="0009516C">
      <w:pPr>
        <w:spacing w:line="360" w:lineRule="auto"/>
        <w:jc w:val="both"/>
      </w:pPr>
      <w:r w:rsidRPr="0009516C">
        <w:rPr>
          <w:b/>
          <w:bCs/>
        </w:rPr>
        <w:t>Recommendation 3:</w:t>
      </w:r>
      <w:r w:rsidRPr="0009516C">
        <w:t xml:space="preserve"> Create a standardised outcomes framework. There should be a nationally standardised framework for the social prescribing outcomes measure for robust evaluation and comparison between sites by NHS England. This would enhance commissioning decisions and evidence base (Chatterjee </w:t>
      </w:r>
      <w:r w:rsidRPr="003507CC">
        <w:rPr>
          <w:i/>
          <w:iCs/>
        </w:rPr>
        <w:t>et al</w:t>
      </w:r>
      <w:r w:rsidRPr="0009516C">
        <w:t>., 2023).</w:t>
      </w:r>
    </w:p>
    <w:p w14:paraId="76C39BD1" w14:textId="20EB11C4" w:rsidR="00DC5B03" w:rsidRPr="0009516C" w:rsidRDefault="00DC5B03" w:rsidP="0009516C">
      <w:pPr>
        <w:spacing w:line="360" w:lineRule="auto"/>
        <w:jc w:val="both"/>
      </w:pPr>
      <w:r w:rsidRPr="0009516C">
        <w:rPr>
          <w:b/>
          <w:bCs/>
        </w:rPr>
        <w:t>Recommendation 4</w:t>
      </w:r>
      <w:r w:rsidRPr="0009516C">
        <w:t>: Seek to tackle the gap in mental health treatment. Funding for mental health should be proportionate to its 28% contribution to disease burden</w:t>
      </w:r>
      <w:r w:rsidR="0009516C">
        <w:t>,</w:t>
      </w:r>
      <w:r w:rsidRPr="0009516C">
        <w:t xml:space="preserve"> and services need to be co-designed with BAME communities to </w:t>
      </w:r>
      <w:r w:rsidR="0009516C">
        <w:t>address</w:t>
      </w:r>
      <w:r w:rsidRPr="0009516C">
        <w:t xml:space="preserve"> structural barriers (Thornicroft </w:t>
      </w:r>
      <w:r w:rsidRPr="003507CC">
        <w:rPr>
          <w:i/>
          <w:iCs/>
        </w:rPr>
        <w:t>et al.,</w:t>
      </w:r>
      <w:r w:rsidRPr="0009516C">
        <w:t xml:space="preserve"> 2022; Williams and Etkins, 2021).</w:t>
      </w:r>
    </w:p>
    <w:p w14:paraId="493D9537" w14:textId="18E1C1B3" w:rsidR="00DC5B03" w:rsidRPr="0009516C" w:rsidRDefault="00DC5B03" w:rsidP="0009516C">
      <w:pPr>
        <w:spacing w:line="360" w:lineRule="auto"/>
        <w:jc w:val="both"/>
      </w:pPr>
      <w:r w:rsidRPr="0009516C">
        <w:rPr>
          <w:b/>
          <w:bCs/>
        </w:rPr>
        <w:t>Recommendation 5</w:t>
      </w:r>
      <w:r w:rsidR="006A3831" w:rsidRPr="0009516C">
        <w:rPr>
          <w:b/>
          <w:bCs/>
        </w:rPr>
        <w:t>:</w:t>
      </w:r>
      <w:r w:rsidR="006A3831" w:rsidRPr="0009516C">
        <w:t xml:space="preserve"> S</w:t>
      </w:r>
      <w:r w:rsidRPr="0009516C">
        <w:t xml:space="preserve">tructural actions on the social determinants. To achieve SDG 3 and SDG 10, a cross-government approach to poverty, housing and employment is needed. </w:t>
      </w:r>
      <w:r w:rsidRPr="0009516C">
        <w:lastRenderedPageBreak/>
        <w:t xml:space="preserve">Bambra </w:t>
      </w:r>
      <w:r w:rsidRPr="003507CC">
        <w:rPr>
          <w:i/>
          <w:iCs/>
        </w:rPr>
        <w:t>et al</w:t>
      </w:r>
      <w:r w:rsidRPr="0009516C">
        <w:t>. (2021) prove that upstream policy, from all government departments</w:t>
      </w:r>
      <w:r w:rsidR="0009516C">
        <w:t>,</w:t>
      </w:r>
      <w:r w:rsidRPr="0009516C">
        <w:t xml:space="preserve"> is necessary to resolve health inequalities, not just health services.</w:t>
      </w:r>
    </w:p>
    <w:p w14:paraId="43BAA3A2" w14:textId="77777777" w:rsidR="0009516C" w:rsidRPr="0009516C" w:rsidRDefault="0009516C" w:rsidP="0009516C">
      <w:pPr>
        <w:spacing w:line="360" w:lineRule="auto"/>
        <w:jc w:val="both"/>
      </w:pPr>
    </w:p>
    <w:p w14:paraId="186117D8" w14:textId="1F9844BD" w:rsidR="00DC5B03" w:rsidRPr="0009516C" w:rsidRDefault="00DC5B03" w:rsidP="00297BF3">
      <w:pPr>
        <w:pStyle w:val="Heading1"/>
        <w:spacing w:line="360" w:lineRule="auto"/>
        <w:jc w:val="both"/>
        <w:rPr>
          <w:sz w:val="22"/>
          <w:szCs w:val="22"/>
        </w:rPr>
      </w:pPr>
      <w:bookmarkStart w:id="13" w:name="_Toc235189757"/>
      <w:r w:rsidRPr="0009516C">
        <w:rPr>
          <w:sz w:val="22"/>
          <w:szCs w:val="22"/>
        </w:rPr>
        <w:t>Conclusion</w:t>
      </w:r>
      <w:bookmarkEnd w:id="13"/>
    </w:p>
    <w:p w14:paraId="208B5071" w14:textId="4722FC76" w:rsidR="00DC5B03" w:rsidRPr="0009516C" w:rsidRDefault="00DC5B03" w:rsidP="0009516C">
      <w:pPr>
        <w:spacing w:line="360" w:lineRule="auto"/>
        <w:jc w:val="both"/>
      </w:pPr>
      <w:r w:rsidRPr="0009516C">
        <w:t>This report has examined and critically analysed the impact of SDG 3 and SDG 10 at global, national and local levels on the citizens. There is a deep connection between both goals: inequality can only be addressed if health is improved and health can only be improved if inequality is addressed. The UK has made real progress in terms of reducing child mortality</w:t>
      </w:r>
      <w:r w:rsidR="0009516C">
        <w:t xml:space="preserve"> and</w:t>
      </w:r>
      <w:r w:rsidRPr="0009516C">
        <w:t xml:space="preserve"> investment into mental health. Yet, according to Marmot </w:t>
      </w:r>
      <w:r w:rsidRPr="0009516C">
        <w:rPr>
          <w:i/>
          <w:iCs/>
        </w:rPr>
        <w:t>et al.</w:t>
      </w:r>
      <w:r w:rsidR="0009516C">
        <w:rPr>
          <w:i/>
          <w:iCs/>
        </w:rPr>
        <w:t xml:space="preserve"> (</w:t>
      </w:r>
      <w:r w:rsidRPr="0009516C">
        <w:t>2020</w:t>
      </w:r>
      <w:r w:rsidR="0009516C">
        <w:t>)</w:t>
      </w:r>
      <w:r w:rsidRPr="0009516C">
        <w:t xml:space="preserve">, these gains have been tenuous and unbalanced to date. Social prescribing is a new and exciting model that evokes SDG 3 and SDG 10 values in the local </w:t>
      </w:r>
      <w:r w:rsidR="0009516C" w:rsidRPr="0009516C">
        <w:t>landscape and</w:t>
      </w:r>
      <w:r w:rsidRPr="0009516C">
        <w:t xml:space="preserve"> is </w:t>
      </w:r>
      <w:r w:rsidR="008B6CE0">
        <w:t>truly holistic and cost-effective</w:t>
      </w:r>
      <w:r w:rsidRPr="0009516C">
        <w:t xml:space="preserve">. The limitations found, such as inconsistency of evidence, geographical inequality, stresses on the workforce, and structural inadequacy, need to be systematically addressed through investment, </w:t>
      </w:r>
      <w:r w:rsidR="0009516C">
        <w:t>standardisation</w:t>
      </w:r>
      <w:r w:rsidRPr="0009516C">
        <w:t xml:space="preserve">, and political commitment. The fact is that, according to Bambra </w:t>
      </w:r>
      <w:r w:rsidRPr="00130358">
        <w:rPr>
          <w:i/>
          <w:iCs/>
        </w:rPr>
        <w:t>et al</w:t>
      </w:r>
      <w:r w:rsidRPr="0009516C">
        <w:t>. (2021), health inequalities need not be inevitable</w:t>
      </w:r>
      <w:r w:rsidR="006A3831" w:rsidRPr="0009516C">
        <w:t xml:space="preserve">, </w:t>
      </w:r>
      <w:r w:rsidRPr="0009516C">
        <w:t xml:space="preserve">it is a product of policy choices. It's equally determined that it will come to a </w:t>
      </w:r>
      <w:r w:rsidR="0009516C">
        <w:t>reversal</w:t>
      </w:r>
      <w:r w:rsidRPr="0009516C">
        <w:t>.</w:t>
      </w:r>
    </w:p>
    <w:p w14:paraId="4ACC5742" w14:textId="77777777" w:rsidR="000817FA" w:rsidRPr="0009516C" w:rsidRDefault="000817FA" w:rsidP="0009516C">
      <w:pPr>
        <w:spacing w:line="360" w:lineRule="auto"/>
        <w:jc w:val="both"/>
        <w:rPr>
          <w:b/>
          <w:bCs/>
          <w:color w:val="000000"/>
        </w:rPr>
      </w:pPr>
      <w:r w:rsidRPr="0009516C">
        <w:br w:type="page"/>
      </w:r>
    </w:p>
    <w:p w14:paraId="35DE1EE7" w14:textId="7D1FDF74" w:rsidR="00E16BB4" w:rsidRPr="00873991" w:rsidRDefault="00000000" w:rsidP="00873991">
      <w:pPr>
        <w:pStyle w:val="Heading1"/>
      </w:pPr>
      <w:bookmarkStart w:id="14" w:name="_Toc235189758"/>
      <w:r w:rsidRPr="00873991">
        <w:lastRenderedPageBreak/>
        <w:t>References</w:t>
      </w:r>
      <w:bookmarkEnd w:id="14"/>
    </w:p>
    <w:p w14:paraId="0B746477" w14:textId="77777777" w:rsidR="00EB745C" w:rsidRPr="00EB745C" w:rsidRDefault="00EB745C" w:rsidP="00EB745C">
      <w:pPr>
        <w:spacing w:after="160" w:line="360" w:lineRule="auto"/>
        <w:jc w:val="both"/>
      </w:pPr>
      <w:r w:rsidRPr="00EB745C">
        <w:t xml:space="preserve">Bambra, C. </w:t>
      </w:r>
      <w:r w:rsidRPr="0009516C">
        <w:rPr>
          <w:i/>
          <w:iCs/>
        </w:rPr>
        <w:t>et al</w:t>
      </w:r>
      <w:r w:rsidRPr="00EB745C">
        <w:t xml:space="preserve">. (2021) </w:t>
      </w:r>
      <w:r w:rsidRPr="0009516C">
        <w:rPr>
          <w:i/>
          <w:iCs/>
        </w:rPr>
        <w:t>'The COVID-19 pandemic and health inequalities',</w:t>
      </w:r>
      <w:r w:rsidRPr="00EB745C">
        <w:t xml:space="preserve"> </w:t>
      </w:r>
      <w:r w:rsidRPr="00EB745C">
        <w:rPr>
          <w:i/>
          <w:iCs/>
        </w:rPr>
        <w:t>Journal of Epidemiology and Community Health</w:t>
      </w:r>
      <w:r w:rsidRPr="00EB745C">
        <w:t>, 75(10), pp. 964–968.</w:t>
      </w:r>
    </w:p>
    <w:p w14:paraId="0B3EF0DE" w14:textId="4A1A0AC1" w:rsidR="00EB745C" w:rsidRPr="00EB745C" w:rsidRDefault="00EB745C" w:rsidP="00873991">
      <w:pPr>
        <w:spacing w:after="160" w:line="360" w:lineRule="auto"/>
      </w:pPr>
      <w:r w:rsidRPr="00EB745C">
        <w:t xml:space="preserve">Bandura, A. (2004) </w:t>
      </w:r>
      <w:r w:rsidRPr="00835C3A">
        <w:rPr>
          <w:i/>
          <w:iCs/>
        </w:rPr>
        <w:t xml:space="preserve">'Health promotion by social cognitive means', Health Education &amp; </w:t>
      </w:r>
      <w:r w:rsidR="00835C3A" w:rsidRPr="00835C3A">
        <w:rPr>
          <w:i/>
          <w:iCs/>
        </w:rPr>
        <w:t>Behaviour</w:t>
      </w:r>
      <w:r w:rsidRPr="00835C3A">
        <w:rPr>
          <w:i/>
          <w:iCs/>
        </w:rPr>
        <w:t>,</w:t>
      </w:r>
      <w:r w:rsidRPr="00EB745C">
        <w:t xml:space="preserve"> 31(2), pp. 143–164.</w:t>
      </w:r>
    </w:p>
    <w:p w14:paraId="08AB1AA4" w14:textId="77777777" w:rsidR="00EB745C" w:rsidRPr="00EB745C" w:rsidRDefault="00EB745C" w:rsidP="00EB745C">
      <w:pPr>
        <w:spacing w:after="160" w:line="360" w:lineRule="auto"/>
        <w:ind w:left="720" w:hanging="720"/>
        <w:jc w:val="both"/>
      </w:pPr>
      <w:r w:rsidRPr="0009516C">
        <w:rPr>
          <w:lang w:val="nl-NL"/>
        </w:rPr>
        <w:t xml:space="preserve">Chatterjee, H.J. </w:t>
      </w:r>
      <w:r w:rsidRPr="00835C3A">
        <w:rPr>
          <w:i/>
          <w:iCs/>
          <w:lang w:val="nl-NL"/>
        </w:rPr>
        <w:t>et al.</w:t>
      </w:r>
      <w:r w:rsidRPr="0009516C">
        <w:rPr>
          <w:lang w:val="nl-NL"/>
        </w:rPr>
        <w:t xml:space="preserve"> </w:t>
      </w:r>
      <w:r w:rsidRPr="00EB745C">
        <w:t xml:space="preserve">(2023) </w:t>
      </w:r>
      <w:r w:rsidRPr="00835C3A">
        <w:rPr>
          <w:i/>
          <w:iCs/>
        </w:rPr>
        <w:t>'Social prescribing: a review of the evidence'</w:t>
      </w:r>
      <w:r w:rsidRPr="00EB745C">
        <w:t xml:space="preserve">, </w:t>
      </w:r>
      <w:r w:rsidRPr="00EB745C">
        <w:rPr>
          <w:i/>
          <w:iCs/>
        </w:rPr>
        <w:t>British Journal of General Practice</w:t>
      </w:r>
      <w:r w:rsidRPr="00EB745C">
        <w:t>, 73(729), pp. 180–188.</w:t>
      </w:r>
    </w:p>
    <w:p w14:paraId="2729BC94" w14:textId="77777777" w:rsidR="00EB745C" w:rsidRPr="00EB745C" w:rsidRDefault="00EB745C" w:rsidP="00EB745C">
      <w:pPr>
        <w:spacing w:after="160" w:line="360" w:lineRule="auto"/>
        <w:ind w:left="720" w:hanging="720"/>
        <w:jc w:val="both"/>
      </w:pPr>
      <w:r w:rsidRPr="00EB745C">
        <w:t xml:space="preserve">Chetty, R. </w:t>
      </w:r>
      <w:r w:rsidRPr="00835C3A">
        <w:rPr>
          <w:i/>
          <w:iCs/>
        </w:rPr>
        <w:t>et al</w:t>
      </w:r>
      <w:r w:rsidRPr="00EB745C">
        <w:t xml:space="preserve">. (2022) </w:t>
      </w:r>
      <w:r w:rsidRPr="00835C3A">
        <w:rPr>
          <w:i/>
          <w:iCs/>
        </w:rPr>
        <w:t>'The association between income and life expectancy in the United States',</w:t>
      </w:r>
      <w:r w:rsidRPr="00EB745C">
        <w:t xml:space="preserve"> </w:t>
      </w:r>
      <w:r w:rsidRPr="00EB745C">
        <w:rPr>
          <w:i/>
          <w:iCs/>
        </w:rPr>
        <w:t>Journal of the American Medical Association</w:t>
      </w:r>
      <w:r w:rsidRPr="00EB745C">
        <w:t>, 315(16), pp. 1750–1766.</w:t>
      </w:r>
    </w:p>
    <w:p w14:paraId="073439AF" w14:textId="77777777" w:rsidR="00EB745C" w:rsidRPr="00EB745C" w:rsidRDefault="00EB745C" w:rsidP="00873991">
      <w:pPr>
        <w:spacing w:after="160" w:line="360" w:lineRule="auto"/>
      </w:pPr>
      <w:r w:rsidRPr="00EB745C">
        <w:t xml:space="preserve">Clark, D.M. (2011) </w:t>
      </w:r>
      <w:r w:rsidRPr="00835C3A">
        <w:rPr>
          <w:i/>
          <w:iCs/>
        </w:rPr>
        <w:t>'Implementing NICE guidelines for the psychological treatment of depression and anxiety disorders: the IAPT experience'</w:t>
      </w:r>
      <w:r w:rsidRPr="00EB745C">
        <w:t>, International Review of Psychiatry, 23(4), pp. 318–327.</w:t>
      </w:r>
    </w:p>
    <w:p w14:paraId="79959FB9" w14:textId="77777777" w:rsidR="00EB745C" w:rsidRPr="00EB745C" w:rsidRDefault="00EB745C" w:rsidP="00EB745C">
      <w:pPr>
        <w:spacing w:after="160" w:line="360" w:lineRule="auto"/>
        <w:ind w:left="720" w:hanging="720"/>
        <w:jc w:val="both"/>
      </w:pPr>
      <w:r w:rsidRPr="00EB745C">
        <w:t xml:space="preserve">Dahlgren, G. and Whitehead, M. (2021) </w:t>
      </w:r>
      <w:r w:rsidRPr="00CD6D9D">
        <w:rPr>
          <w:i/>
          <w:iCs/>
        </w:rPr>
        <w:t xml:space="preserve">'The Dahlgren-Whitehead model of health determinants: 30 years on and still chasing rainbows', </w:t>
      </w:r>
      <w:r w:rsidRPr="00EB745C">
        <w:rPr>
          <w:i/>
          <w:iCs/>
        </w:rPr>
        <w:t>Public Health</w:t>
      </w:r>
      <w:r w:rsidRPr="00EB745C">
        <w:t>, 199, pp. 20–24.</w:t>
      </w:r>
    </w:p>
    <w:p w14:paraId="7C1D8266" w14:textId="77777777" w:rsidR="00EB745C" w:rsidRPr="00EB745C" w:rsidRDefault="00EB745C" w:rsidP="00EB745C">
      <w:pPr>
        <w:spacing w:after="160" w:line="360" w:lineRule="auto"/>
        <w:ind w:left="720" w:hanging="720"/>
        <w:jc w:val="both"/>
      </w:pPr>
      <w:r w:rsidRPr="00EB745C">
        <w:t xml:space="preserve">Husk, K. </w:t>
      </w:r>
      <w:r w:rsidRPr="00D200D0">
        <w:rPr>
          <w:i/>
          <w:iCs/>
        </w:rPr>
        <w:t>et al.</w:t>
      </w:r>
      <w:r w:rsidRPr="00EB745C">
        <w:t xml:space="preserve"> (2022) </w:t>
      </w:r>
      <w:r w:rsidRPr="00D200D0">
        <w:rPr>
          <w:i/>
          <w:iCs/>
        </w:rPr>
        <w:t xml:space="preserve">'What approaches to social prescribing work, for whom, and in what circumstances?', </w:t>
      </w:r>
      <w:r w:rsidRPr="00D200D0">
        <w:t>Health and Social Care in the Community</w:t>
      </w:r>
      <w:r w:rsidRPr="00EB745C">
        <w:t>, 30(2), pp. 624–636.</w:t>
      </w:r>
    </w:p>
    <w:p w14:paraId="13208F8C" w14:textId="77777777" w:rsidR="00EB745C" w:rsidRPr="00EB745C" w:rsidRDefault="00EB745C" w:rsidP="00EB745C">
      <w:pPr>
        <w:spacing w:after="160" w:line="360" w:lineRule="auto"/>
        <w:ind w:left="720" w:hanging="720"/>
        <w:jc w:val="both"/>
      </w:pPr>
      <w:r w:rsidRPr="00EB745C">
        <w:t xml:space="preserve">Kapur, N. </w:t>
      </w:r>
      <w:r w:rsidRPr="00D200D0">
        <w:rPr>
          <w:i/>
          <w:iCs/>
        </w:rPr>
        <w:t>et al.</w:t>
      </w:r>
      <w:r w:rsidRPr="00EB745C">
        <w:t xml:space="preserve"> (2022) </w:t>
      </w:r>
      <w:r w:rsidRPr="00D200D0">
        <w:rPr>
          <w:i/>
          <w:iCs/>
        </w:rPr>
        <w:t>'Suicide in England: national trends and policy implications</w:t>
      </w:r>
      <w:r w:rsidRPr="00EB745C">
        <w:t xml:space="preserve">', </w:t>
      </w:r>
      <w:r w:rsidRPr="00EB745C">
        <w:rPr>
          <w:i/>
          <w:iCs/>
        </w:rPr>
        <w:t>The Lancet Regional Health — Europe</w:t>
      </w:r>
      <w:r w:rsidRPr="00EB745C">
        <w:t>, 18, 100398.</w:t>
      </w:r>
    </w:p>
    <w:p w14:paraId="632FB783" w14:textId="77777777" w:rsidR="00EB745C" w:rsidRPr="00EB745C" w:rsidRDefault="00EB745C" w:rsidP="00EB745C">
      <w:pPr>
        <w:spacing w:after="160" w:line="360" w:lineRule="auto"/>
        <w:ind w:left="720" w:hanging="720"/>
        <w:jc w:val="both"/>
      </w:pPr>
      <w:r w:rsidRPr="00EB745C">
        <w:t xml:space="preserve">Kimberlee, R. (2023) </w:t>
      </w:r>
      <w:r w:rsidRPr="00D200D0">
        <w:rPr>
          <w:i/>
          <w:iCs/>
        </w:rPr>
        <w:t>'What is social prescribing</w:t>
      </w:r>
      <w:r w:rsidRPr="00EB745C">
        <w:t xml:space="preserve">?', </w:t>
      </w:r>
      <w:r w:rsidRPr="00EB745C">
        <w:rPr>
          <w:i/>
          <w:iCs/>
        </w:rPr>
        <w:t>Advances in Social Work</w:t>
      </w:r>
      <w:r w:rsidRPr="00EB745C">
        <w:t>, 18(1), pp. 1–15.</w:t>
      </w:r>
    </w:p>
    <w:p w14:paraId="38A00BA2" w14:textId="77777777" w:rsidR="00EB745C" w:rsidRPr="00EB745C" w:rsidRDefault="00EB745C" w:rsidP="00873991">
      <w:pPr>
        <w:spacing w:after="160" w:line="360" w:lineRule="auto"/>
      </w:pPr>
      <w:r w:rsidRPr="0009516C">
        <w:rPr>
          <w:lang w:val="nl-NL"/>
        </w:rPr>
        <w:t xml:space="preserve">Kruk, M.E. </w:t>
      </w:r>
      <w:r w:rsidRPr="00246174">
        <w:rPr>
          <w:i/>
          <w:iCs/>
          <w:lang w:val="nl-NL"/>
        </w:rPr>
        <w:t>et al.</w:t>
      </w:r>
      <w:r w:rsidRPr="0009516C">
        <w:rPr>
          <w:lang w:val="nl-NL"/>
        </w:rPr>
        <w:t xml:space="preserve"> </w:t>
      </w:r>
      <w:r w:rsidRPr="00EB745C">
        <w:t>(2018) '</w:t>
      </w:r>
      <w:r w:rsidRPr="00246174">
        <w:rPr>
          <w:i/>
          <w:iCs/>
        </w:rPr>
        <w:t xml:space="preserve">High-quality health systems in the Sustainable Development Goals era: time for a revolution', </w:t>
      </w:r>
      <w:r w:rsidRPr="00EB745C">
        <w:t>The Lancet Global Health, 6(11), pp. e1196–e1252.</w:t>
      </w:r>
    </w:p>
    <w:p w14:paraId="6EEB2708" w14:textId="0458D506" w:rsidR="00EB745C" w:rsidRPr="00EB745C" w:rsidRDefault="00EB745C" w:rsidP="00EB745C">
      <w:pPr>
        <w:spacing w:after="160" w:line="360" w:lineRule="auto"/>
        <w:ind w:left="720" w:hanging="720"/>
        <w:jc w:val="both"/>
      </w:pPr>
      <w:r w:rsidRPr="00EB745C">
        <w:t xml:space="preserve">Lim, S.S. </w:t>
      </w:r>
      <w:r w:rsidRPr="00246174">
        <w:rPr>
          <w:i/>
          <w:iCs/>
        </w:rPr>
        <w:t>et al.</w:t>
      </w:r>
      <w:r w:rsidRPr="00EB745C">
        <w:t xml:space="preserve"> (2022) </w:t>
      </w:r>
      <w:r w:rsidRPr="00246174">
        <w:rPr>
          <w:i/>
          <w:iCs/>
        </w:rPr>
        <w:t xml:space="preserve">'Measuring progress and projecting attainment </w:t>
      </w:r>
      <w:r w:rsidR="00246174" w:rsidRPr="00246174">
        <w:rPr>
          <w:i/>
          <w:iCs/>
        </w:rPr>
        <w:t>based on</w:t>
      </w:r>
      <w:r w:rsidRPr="00246174">
        <w:rPr>
          <w:i/>
          <w:iCs/>
        </w:rPr>
        <w:t xml:space="preserve"> past trends of the health-related Sustainable Development Goals in 188 countries'</w:t>
      </w:r>
      <w:r w:rsidRPr="00EB745C">
        <w:t xml:space="preserve">, </w:t>
      </w:r>
      <w:r w:rsidRPr="00EB745C">
        <w:rPr>
          <w:i/>
          <w:iCs/>
        </w:rPr>
        <w:t>The Lancet</w:t>
      </w:r>
      <w:r w:rsidRPr="00EB745C">
        <w:t>, 390(10100), pp. 1423–1459.</w:t>
      </w:r>
    </w:p>
    <w:p w14:paraId="4E454E4C" w14:textId="1B472741" w:rsidR="00EB745C" w:rsidRPr="00EB745C" w:rsidRDefault="00EB745C" w:rsidP="00EB745C">
      <w:pPr>
        <w:spacing w:after="160" w:line="360" w:lineRule="auto"/>
        <w:ind w:left="720" w:hanging="720"/>
        <w:jc w:val="both"/>
      </w:pPr>
      <w:r w:rsidRPr="00EB745C">
        <w:t>Marmot, M</w:t>
      </w:r>
      <w:r w:rsidRPr="00246174">
        <w:rPr>
          <w:i/>
          <w:iCs/>
        </w:rPr>
        <w:t xml:space="preserve">. et al. </w:t>
      </w:r>
      <w:r w:rsidRPr="00EB745C">
        <w:t xml:space="preserve">(2020) </w:t>
      </w:r>
      <w:r w:rsidRPr="00BA7167">
        <w:rPr>
          <w:i/>
          <w:iCs/>
        </w:rPr>
        <w:t xml:space="preserve">'Health equity in England: </w:t>
      </w:r>
      <w:r w:rsidR="0009516C" w:rsidRPr="00BA7167">
        <w:rPr>
          <w:i/>
          <w:iCs/>
        </w:rPr>
        <w:t>The</w:t>
      </w:r>
      <w:r w:rsidRPr="00BA7167">
        <w:rPr>
          <w:i/>
          <w:iCs/>
        </w:rPr>
        <w:t xml:space="preserve"> Marmot Review 10 years on'</w:t>
      </w:r>
      <w:r w:rsidRPr="00EB745C">
        <w:t xml:space="preserve">, </w:t>
      </w:r>
      <w:r w:rsidRPr="00EB745C">
        <w:rPr>
          <w:i/>
          <w:iCs/>
        </w:rPr>
        <w:t>BMJ</w:t>
      </w:r>
      <w:r w:rsidRPr="00EB745C">
        <w:t>, 368, m693.</w:t>
      </w:r>
    </w:p>
    <w:p w14:paraId="53D9A521" w14:textId="77777777" w:rsidR="00EB745C" w:rsidRPr="00EB745C" w:rsidRDefault="00EB745C" w:rsidP="00EB745C">
      <w:pPr>
        <w:spacing w:after="160" w:line="360" w:lineRule="auto"/>
        <w:ind w:left="720" w:hanging="720"/>
        <w:jc w:val="both"/>
      </w:pPr>
      <w:r w:rsidRPr="00EB745C">
        <w:t xml:space="preserve">McManus, S. </w:t>
      </w:r>
      <w:r w:rsidRPr="00BA7167">
        <w:rPr>
          <w:i/>
          <w:iCs/>
        </w:rPr>
        <w:t>et al.</w:t>
      </w:r>
      <w:r w:rsidRPr="00EB745C">
        <w:t xml:space="preserve"> (2022) </w:t>
      </w:r>
      <w:r w:rsidRPr="00BA7167">
        <w:rPr>
          <w:i/>
          <w:iCs/>
        </w:rPr>
        <w:t>'Mental health and wellbeing in England: Adult Psychiatric Morbidity Survey 2022',</w:t>
      </w:r>
      <w:r w:rsidRPr="00EB745C">
        <w:t xml:space="preserve"> </w:t>
      </w:r>
      <w:r w:rsidRPr="00EB745C">
        <w:rPr>
          <w:i/>
          <w:iCs/>
        </w:rPr>
        <w:t>NHS Digital Journal of Mental Health</w:t>
      </w:r>
      <w:r w:rsidRPr="00EB745C">
        <w:t>, 31(4), pp. 294–302.</w:t>
      </w:r>
    </w:p>
    <w:p w14:paraId="5FA0D5ED" w14:textId="77777777" w:rsidR="00EB745C" w:rsidRPr="00EB745C" w:rsidRDefault="00EB745C" w:rsidP="00EB745C">
      <w:pPr>
        <w:spacing w:after="160" w:line="360" w:lineRule="auto"/>
        <w:ind w:left="720" w:hanging="720"/>
        <w:jc w:val="both"/>
      </w:pPr>
      <w:r w:rsidRPr="0009516C">
        <w:rPr>
          <w:lang w:val="nl-NL"/>
        </w:rPr>
        <w:t xml:space="preserve">Morse, D.F. </w:t>
      </w:r>
      <w:r w:rsidRPr="00D34D41">
        <w:rPr>
          <w:i/>
          <w:iCs/>
          <w:lang w:val="nl-NL"/>
        </w:rPr>
        <w:t>et al.</w:t>
      </w:r>
      <w:r w:rsidRPr="0009516C">
        <w:rPr>
          <w:lang w:val="nl-NL"/>
        </w:rPr>
        <w:t xml:space="preserve"> </w:t>
      </w:r>
      <w:r w:rsidRPr="00EB745C">
        <w:t xml:space="preserve">(2022) </w:t>
      </w:r>
      <w:r w:rsidRPr="00D34D41">
        <w:rPr>
          <w:i/>
          <w:iCs/>
        </w:rPr>
        <w:t>'Social prescribing in 44 low-, middle- and high-income countries: a cross-sectional survey of implementation', H</w:t>
      </w:r>
      <w:r w:rsidRPr="00EB745C">
        <w:rPr>
          <w:i/>
          <w:iCs/>
        </w:rPr>
        <w:t>ealth Policy</w:t>
      </w:r>
      <w:r w:rsidRPr="00EB745C">
        <w:t>, 126(1), pp. 48–56.</w:t>
      </w:r>
    </w:p>
    <w:p w14:paraId="383BD75D" w14:textId="77777777" w:rsidR="00EB745C" w:rsidRPr="00EB745C" w:rsidRDefault="00EB745C" w:rsidP="00873991">
      <w:pPr>
        <w:spacing w:after="160" w:line="360" w:lineRule="auto"/>
      </w:pPr>
      <w:r w:rsidRPr="00EB745C">
        <w:t xml:space="preserve">NHS England (2019) </w:t>
      </w:r>
      <w:r w:rsidRPr="00D34D41">
        <w:rPr>
          <w:i/>
          <w:iCs/>
        </w:rPr>
        <w:t>The NHS Long Term Plan</w:t>
      </w:r>
      <w:r w:rsidRPr="00EB745C">
        <w:t>. London: NHS England.</w:t>
      </w:r>
    </w:p>
    <w:p w14:paraId="6AC1E4B2" w14:textId="77777777" w:rsidR="00EB745C" w:rsidRPr="00EB745C" w:rsidRDefault="00EB745C" w:rsidP="00873991">
      <w:pPr>
        <w:spacing w:after="160" w:line="360" w:lineRule="auto"/>
      </w:pPr>
      <w:r w:rsidRPr="00EB745C">
        <w:lastRenderedPageBreak/>
        <w:t xml:space="preserve">Olivera, J.N., Ford, J. </w:t>
      </w:r>
      <w:r w:rsidRPr="007208BE">
        <w:rPr>
          <w:i/>
          <w:iCs/>
        </w:rPr>
        <w:t xml:space="preserve">et al. </w:t>
      </w:r>
      <w:r w:rsidRPr="00EB745C">
        <w:t>(2022) '</w:t>
      </w:r>
      <w:r w:rsidRPr="007208BE">
        <w:rPr>
          <w:i/>
          <w:iCs/>
        </w:rPr>
        <w:t>Conceptualisation of health inequalities by local healthcare systems: a document analysis',</w:t>
      </w:r>
      <w:r w:rsidRPr="00EB745C">
        <w:t xml:space="preserve"> Health &amp; Social Care in the Community, 30, pp. e3977–e3984.</w:t>
      </w:r>
    </w:p>
    <w:p w14:paraId="2B6F7FAB" w14:textId="77777777" w:rsidR="00EB745C" w:rsidRPr="00EB745C" w:rsidRDefault="00EB745C" w:rsidP="00EB745C">
      <w:pPr>
        <w:spacing w:after="160" w:line="360" w:lineRule="auto"/>
        <w:ind w:left="720" w:hanging="720"/>
        <w:jc w:val="both"/>
      </w:pPr>
      <w:r w:rsidRPr="00EB745C">
        <w:t xml:space="preserve">Patel, V. </w:t>
      </w:r>
      <w:r w:rsidRPr="007208BE">
        <w:rPr>
          <w:i/>
          <w:iCs/>
        </w:rPr>
        <w:t>et al</w:t>
      </w:r>
      <w:r w:rsidRPr="00EB745C">
        <w:t xml:space="preserve">. (2022) </w:t>
      </w:r>
      <w:r w:rsidRPr="007208BE">
        <w:rPr>
          <w:i/>
          <w:iCs/>
        </w:rPr>
        <w:t xml:space="preserve">'Transforming large-scale mental health services in low- and middle-income countries', </w:t>
      </w:r>
      <w:r w:rsidRPr="00EB745C">
        <w:rPr>
          <w:i/>
          <w:iCs/>
        </w:rPr>
        <w:t>The Lancet Psychiatry</w:t>
      </w:r>
      <w:r w:rsidRPr="00EB745C">
        <w:t>, 9(10), pp. 836–845.</w:t>
      </w:r>
    </w:p>
    <w:p w14:paraId="6F819863" w14:textId="77777777" w:rsidR="00EB745C" w:rsidRPr="00EB745C" w:rsidRDefault="00EB745C" w:rsidP="00873991">
      <w:pPr>
        <w:spacing w:after="160" w:line="360" w:lineRule="auto"/>
      </w:pPr>
      <w:r w:rsidRPr="00EB745C">
        <w:t xml:space="preserve">Rosenstock, I.M. (1974) </w:t>
      </w:r>
      <w:r w:rsidRPr="007208BE">
        <w:rPr>
          <w:i/>
          <w:iCs/>
        </w:rPr>
        <w:t>'Historical origins of the health belief model'</w:t>
      </w:r>
      <w:r w:rsidRPr="00EB745C">
        <w:t>, Health Education Monographs, 2(4), pp. 328–335.</w:t>
      </w:r>
    </w:p>
    <w:p w14:paraId="59C002ED" w14:textId="77777777" w:rsidR="00EB745C" w:rsidRPr="00EB745C" w:rsidRDefault="00EB745C" w:rsidP="00EB745C">
      <w:pPr>
        <w:spacing w:after="160" w:line="360" w:lineRule="auto"/>
        <w:ind w:left="720" w:hanging="720"/>
        <w:jc w:val="both"/>
      </w:pPr>
      <w:r w:rsidRPr="0009516C">
        <w:rPr>
          <w:lang w:val="nl-NL"/>
        </w:rPr>
        <w:t xml:space="preserve">Sachs, J.D. </w:t>
      </w:r>
      <w:r w:rsidRPr="007208BE">
        <w:rPr>
          <w:i/>
          <w:iCs/>
          <w:lang w:val="nl-NL"/>
        </w:rPr>
        <w:t>et al</w:t>
      </w:r>
      <w:r w:rsidRPr="0009516C">
        <w:rPr>
          <w:lang w:val="nl-NL"/>
        </w:rPr>
        <w:t xml:space="preserve">. </w:t>
      </w:r>
      <w:r w:rsidRPr="00EB745C">
        <w:t xml:space="preserve">(2022) </w:t>
      </w:r>
      <w:r w:rsidRPr="007208BE">
        <w:rPr>
          <w:i/>
          <w:iCs/>
        </w:rPr>
        <w:t>'Sustainable Development Report 2022: from crisis to sustainable development',</w:t>
      </w:r>
      <w:r w:rsidRPr="00EB745C">
        <w:t xml:space="preserve"> </w:t>
      </w:r>
      <w:r w:rsidRPr="00EB745C">
        <w:rPr>
          <w:i/>
          <w:iCs/>
        </w:rPr>
        <w:t>Cambridge University Press</w:t>
      </w:r>
      <w:r w:rsidRPr="00EB745C">
        <w:t>, pp. 1–524.</w:t>
      </w:r>
    </w:p>
    <w:p w14:paraId="363D2CC5" w14:textId="77777777" w:rsidR="00EB745C" w:rsidRPr="00EB745C" w:rsidRDefault="00EB745C" w:rsidP="00EB745C">
      <w:pPr>
        <w:spacing w:after="160" w:line="360" w:lineRule="auto"/>
        <w:ind w:left="720" w:hanging="720"/>
        <w:jc w:val="both"/>
      </w:pPr>
      <w:r w:rsidRPr="0009516C">
        <w:rPr>
          <w:lang w:val="nl-NL"/>
        </w:rPr>
        <w:t xml:space="preserve">Salomon, J.A. </w:t>
      </w:r>
      <w:r w:rsidRPr="006A26E1">
        <w:rPr>
          <w:i/>
          <w:iCs/>
          <w:lang w:val="nl-NL"/>
        </w:rPr>
        <w:t>et al</w:t>
      </w:r>
      <w:r w:rsidRPr="0009516C">
        <w:rPr>
          <w:lang w:val="nl-NL"/>
        </w:rPr>
        <w:t xml:space="preserve">. </w:t>
      </w:r>
      <w:r w:rsidRPr="00EB745C">
        <w:t xml:space="preserve">(2022) </w:t>
      </w:r>
      <w:r w:rsidRPr="006A26E1">
        <w:rPr>
          <w:i/>
          <w:iCs/>
        </w:rPr>
        <w:t>'Global trends in under-5 mortality rates and causes of death 1990–2019'</w:t>
      </w:r>
      <w:r w:rsidRPr="00EB745C">
        <w:t xml:space="preserve">, </w:t>
      </w:r>
      <w:r w:rsidRPr="00EB745C">
        <w:rPr>
          <w:i/>
          <w:iCs/>
        </w:rPr>
        <w:t>The Lancet Global Health</w:t>
      </w:r>
      <w:r w:rsidRPr="00EB745C">
        <w:t>, 10(10), pp. e1409–e1418.</w:t>
      </w:r>
    </w:p>
    <w:p w14:paraId="63EB3FE8" w14:textId="77777777" w:rsidR="00EB745C" w:rsidRPr="00EB745C" w:rsidRDefault="00EB745C" w:rsidP="00EB745C">
      <w:pPr>
        <w:spacing w:after="160" w:line="360" w:lineRule="auto"/>
        <w:ind w:left="720" w:hanging="720"/>
        <w:jc w:val="both"/>
      </w:pPr>
      <w:r w:rsidRPr="0009516C">
        <w:rPr>
          <w:lang w:val="nl-NL"/>
        </w:rPr>
        <w:t xml:space="preserve">Santomauro, D.F. </w:t>
      </w:r>
      <w:r w:rsidRPr="006A26E1">
        <w:rPr>
          <w:i/>
          <w:iCs/>
          <w:lang w:val="nl-NL"/>
        </w:rPr>
        <w:t xml:space="preserve">et al. </w:t>
      </w:r>
      <w:r w:rsidRPr="00EB745C">
        <w:t xml:space="preserve">(2021) </w:t>
      </w:r>
      <w:r w:rsidRPr="00255731">
        <w:rPr>
          <w:i/>
          <w:iCs/>
        </w:rPr>
        <w:t>'Global prevalence and burden of depressive and anxiety disorders in 204 countries and territories in 2020 due to the COVID-19 pandemic'</w:t>
      </w:r>
      <w:r w:rsidRPr="00EB745C">
        <w:t xml:space="preserve">, </w:t>
      </w:r>
      <w:r w:rsidRPr="00EB745C">
        <w:rPr>
          <w:i/>
          <w:iCs/>
        </w:rPr>
        <w:t>The Lancet</w:t>
      </w:r>
      <w:r w:rsidRPr="00EB745C">
        <w:t>, 398(10312), pp. 1700–1712.</w:t>
      </w:r>
    </w:p>
    <w:p w14:paraId="52FF85EA" w14:textId="77777777" w:rsidR="00EB745C" w:rsidRPr="00EB745C" w:rsidRDefault="00EB745C" w:rsidP="00EB745C">
      <w:pPr>
        <w:spacing w:after="160" w:line="360" w:lineRule="auto"/>
        <w:ind w:left="720" w:hanging="720"/>
        <w:jc w:val="both"/>
      </w:pPr>
      <w:r w:rsidRPr="00EB745C">
        <w:t xml:space="preserve">Thornicroft, G. </w:t>
      </w:r>
      <w:r w:rsidRPr="00255731">
        <w:rPr>
          <w:i/>
          <w:iCs/>
        </w:rPr>
        <w:t>et al.</w:t>
      </w:r>
      <w:r w:rsidRPr="00EB745C">
        <w:t xml:space="preserve"> (2022) </w:t>
      </w:r>
      <w:r w:rsidRPr="00255731">
        <w:rPr>
          <w:i/>
          <w:iCs/>
        </w:rPr>
        <w:t>'Evidence for effective interventions to reduce mental-health-related stigma and discrimination'</w:t>
      </w:r>
      <w:r w:rsidRPr="00EB745C">
        <w:t xml:space="preserve">, </w:t>
      </w:r>
      <w:r w:rsidRPr="00EB745C">
        <w:rPr>
          <w:i/>
          <w:iCs/>
        </w:rPr>
        <w:t>The Lancet</w:t>
      </w:r>
      <w:r w:rsidRPr="00EB745C">
        <w:t>, 387(10023), pp. 1123–1132.</w:t>
      </w:r>
    </w:p>
    <w:p w14:paraId="2FC14BA8" w14:textId="77777777" w:rsidR="00EB745C" w:rsidRPr="00EB745C" w:rsidRDefault="00EB745C" w:rsidP="00EB745C">
      <w:pPr>
        <w:spacing w:after="160" w:line="360" w:lineRule="auto"/>
        <w:ind w:left="720" w:hanging="720"/>
        <w:jc w:val="both"/>
      </w:pPr>
      <w:r w:rsidRPr="0009516C">
        <w:rPr>
          <w:lang w:val="nl-NL"/>
        </w:rPr>
        <w:t xml:space="preserve">Viner, R.M. </w:t>
      </w:r>
      <w:r w:rsidRPr="00255731">
        <w:rPr>
          <w:i/>
          <w:iCs/>
          <w:lang w:val="nl-NL"/>
        </w:rPr>
        <w:t xml:space="preserve">et al. </w:t>
      </w:r>
      <w:r w:rsidRPr="00EB745C">
        <w:t>(2022</w:t>
      </w:r>
      <w:r w:rsidRPr="00255731">
        <w:rPr>
          <w:i/>
          <w:iCs/>
        </w:rPr>
        <w:t xml:space="preserve">) 'Roles of cyberbullying, sleep, and physical activity in mediating the effects of social media use on mental health and wellbeing among young people in England', </w:t>
      </w:r>
      <w:r w:rsidRPr="00EB745C">
        <w:rPr>
          <w:i/>
          <w:iCs/>
        </w:rPr>
        <w:t>The Lancet Child and Adolescent Health</w:t>
      </w:r>
      <w:r w:rsidRPr="00EB745C">
        <w:t>, 3(10), pp. 685–696.</w:t>
      </w:r>
    </w:p>
    <w:p w14:paraId="25804A38" w14:textId="77777777" w:rsidR="00EB745C" w:rsidRPr="00EB745C" w:rsidRDefault="00EB745C" w:rsidP="00EB745C">
      <w:pPr>
        <w:spacing w:after="160" w:line="360" w:lineRule="auto"/>
        <w:ind w:left="720" w:hanging="720"/>
        <w:jc w:val="both"/>
      </w:pPr>
      <w:r w:rsidRPr="00EB745C">
        <w:t xml:space="preserve">Whitehead, M. and Dahlgren, G. (2021) </w:t>
      </w:r>
      <w:r w:rsidRPr="00255731">
        <w:rPr>
          <w:i/>
          <w:iCs/>
        </w:rPr>
        <w:t xml:space="preserve">'Levelling up health: a policy guide to addressing inequalities in England', </w:t>
      </w:r>
      <w:r w:rsidRPr="00EB745C">
        <w:rPr>
          <w:i/>
          <w:iCs/>
        </w:rPr>
        <w:t>Journal of Public Health</w:t>
      </w:r>
      <w:r w:rsidRPr="00EB745C">
        <w:t>, 43(2), pp. e247–e256.</w:t>
      </w:r>
    </w:p>
    <w:p w14:paraId="45AC062F" w14:textId="77777777" w:rsidR="00EB745C" w:rsidRPr="00EB745C" w:rsidRDefault="00EB745C" w:rsidP="00EB745C">
      <w:pPr>
        <w:spacing w:after="160" w:line="360" w:lineRule="auto"/>
        <w:ind w:left="720" w:hanging="720"/>
        <w:jc w:val="both"/>
      </w:pPr>
      <w:r w:rsidRPr="00EB745C">
        <w:t xml:space="preserve">Williams, D.R. and Etkins, O.S. (2021) 'Racism and mental health', </w:t>
      </w:r>
      <w:r w:rsidRPr="00EB745C">
        <w:rPr>
          <w:i/>
          <w:iCs/>
        </w:rPr>
        <w:t>World Psychiatry</w:t>
      </w:r>
      <w:r w:rsidRPr="00EB745C">
        <w:t>, 20(2), pp. 194–195.</w:t>
      </w:r>
    </w:p>
    <w:p w14:paraId="7376099F" w14:textId="0663AA45" w:rsidR="00EB745C" w:rsidRPr="00EB745C" w:rsidRDefault="00EB745C" w:rsidP="00873991">
      <w:pPr>
        <w:spacing w:after="160" w:line="360" w:lineRule="auto"/>
      </w:pPr>
      <w:r w:rsidRPr="00EB745C">
        <w:t xml:space="preserve">World Health </w:t>
      </w:r>
      <w:r w:rsidR="0009516C">
        <w:t>Organisation</w:t>
      </w:r>
      <w:r w:rsidRPr="00EB745C">
        <w:t xml:space="preserve"> (2019) </w:t>
      </w:r>
      <w:r w:rsidRPr="00D8340A">
        <w:rPr>
          <w:i/>
          <w:iCs/>
        </w:rPr>
        <w:t>Global Action Plan for Healthy Lives and Well-being for All.</w:t>
      </w:r>
      <w:r w:rsidRPr="00EB745C">
        <w:t xml:space="preserve"> Geneva: WHO.</w:t>
      </w:r>
    </w:p>
    <w:p w14:paraId="125BFCB8" w14:textId="70258015" w:rsidR="00EB745C" w:rsidRPr="00EB745C" w:rsidRDefault="00EB745C" w:rsidP="00EB745C">
      <w:pPr>
        <w:spacing w:after="160" w:line="360" w:lineRule="auto"/>
        <w:ind w:left="720" w:hanging="720"/>
        <w:jc w:val="both"/>
      </w:pPr>
      <w:r w:rsidRPr="00EB745C">
        <w:t xml:space="preserve">Wuyts, M. and Mold, F. (2022) </w:t>
      </w:r>
      <w:r w:rsidRPr="00D8340A">
        <w:rPr>
          <w:i/>
          <w:iCs/>
        </w:rPr>
        <w:t>'The sustainable development goals and global health: a critical review',</w:t>
      </w:r>
      <w:r w:rsidRPr="00EB745C">
        <w:t xml:space="preserve"> </w:t>
      </w:r>
      <w:r w:rsidR="0009516C">
        <w:rPr>
          <w:i/>
          <w:iCs/>
        </w:rPr>
        <w:t>Globalisation</w:t>
      </w:r>
      <w:r w:rsidRPr="00EB745C">
        <w:rPr>
          <w:i/>
          <w:iCs/>
        </w:rPr>
        <w:t xml:space="preserve"> and Health</w:t>
      </w:r>
      <w:r w:rsidRPr="00EB745C">
        <w:t>, 18(1), pp. 1–12.</w:t>
      </w:r>
    </w:p>
    <w:p w14:paraId="3E85EF65" w14:textId="77777777" w:rsidR="00EB745C" w:rsidRPr="00EB745C" w:rsidRDefault="00EB745C" w:rsidP="006A3831">
      <w:pPr>
        <w:spacing w:after="160" w:line="360" w:lineRule="auto"/>
        <w:ind w:left="720" w:hanging="720"/>
        <w:jc w:val="both"/>
      </w:pPr>
    </w:p>
    <w:sectPr w:rsidR="00EB745C" w:rsidRPr="00EB745C">
      <w:headerReference w:type="default" r:id="rId9"/>
      <w:footerReference w:type="default" r:id="rId10"/>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3BD37F" w14:textId="77777777" w:rsidR="00AE6666" w:rsidRDefault="00AE6666">
      <w:r>
        <w:separator/>
      </w:r>
    </w:p>
  </w:endnote>
  <w:endnote w:type="continuationSeparator" w:id="0">
    <w:p w14:paraId="2575FC3F" w14:textId="77777777" w:rsidR="00AE6666" w:rsidRDefault="00AE666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23951013"/>
      <w:docPartObj>
        <w:docPartGallery w:val="Page Numbers (Bottom of Page)"/>
        <w:docPartUnique/>
      </w:docPartObj>
    </w:sdtPr>
    <w:sdtContent>
      <w:p w14:paraId="68F83100" w14:textId="0BBE6269" w:rsidR="0009516C" w:rsidRDefault="0009516C">
        <w:pPr>
          <w:pStyle w:val="Footer"/>
          <w:jc w:val="center"/>
        </w:pPr>
        <w:r>
          <w:fldChar w:fldCharType="begin"/>
        </w:r>
        <w:r>
          <w:instrText>PAGE   \* MERGEFORMAT</w:instrText>
        </w:r>
        <w:r>
          <w:fldChar w:fldCharType="separate"/>
        </w:r>
        <w:r>
          <w:t>2</w:t>
        </w:r>
        <w:r>
          <w:fldChar w:fldCharType="end"/>
        </w:r>
      </w:p>
    </w:sdtContent>
  </w:sdt>
  <w:p w14:paraId="4BEC404E" w14:textId="5368725D" w:rsidR="00E16BB4" w:rsidRDefault="00E16BB4">
    <w:pP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6347F3" w14:textId="77777777" w:rsidR="00AE6666" w:rsidRDefault="00AE6666">
      <w:r>
        <w:separator/>
      </w:r>
    </w:p>
  </w:footnote>
  <w:footnote w:type="continuationSeparator" w:id="0">
    <w:p w14:paraId="1F72DA55" w14:textId="77777777" w:rsidR="00AE6666" w:rsidRDefault="00AE666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52BDBC9" w14:textId="233E288D" w:rsidR="00E16BB4" w:rsidRDefault="00E16BB4">
    <w:pP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9D7E64"/>
    <w:multiLevelType w:val="hybridMultilevel"/>
    <w:tmpl w:val="312CD99A"/>
    <w:lvl w:ilvl="0" w:tplc="78D63A40">
      <w:start w:val="1"/>
      <w:numFmt w:val="bullet"/>
      <w:lvlText w:val="●"/>
      <w:lvlJc w:val="left"/>
      <w:pPr>
        <w:ind w:left="720" w:hanging="360"/>
      </w:pPr>
    </w:lvl>
    <w:lvl w:ilvl="1" w:tplc="F9780B00">
      <w:start w:val="1"/>
      <w:numFmt w:val="bullet"/>
      <w:lvlText w:val="○"/>
      <w:lvlJc w:val="left"/>
      <w:pPr>
        <w:ind w:left="1440" w:hanging="360"/>
      </w:pPr>
    </w:lvl>
    <w:lvl w:ilvl="2" w:tplc="59DA81AC">
      <w:start w:val="1"/>
      <w:numFmt w:val="bullet"/>
      <w:lvlText w:val="■"/>
      <w:lvlJc w:val="left"/>
      <w:pPr>
        <w:ind w:left="2160" w:hanging="360"/>
      </w:pPr>
    </w:lvl>
    <w:lvl w:ilvl="3" w:tplc="067C2542">
      <w:start w:val="1"/>
      <w:numFmt w:val="bullet"/>
      <w:lvlText w:val="●"/>
      <w:lvlJc w:val="left"/>
      <w:pPr>
        <w:ind w:left="2880" w:hanging="360"/>
      </w:pPr>
    </w:lvl>
    <w:lvl w:ilvl="4" w:tplc="CA664840">
      <w:start w:val="1"/>
      <w:numFmt w:val="bullet"/>
      <w:lvlText w:val="○"/>
      <w:lvlJc w:val="left"/>
      <w:pPr>
        <w:ind w:left="3600" w:hanging="360"/>
      </w:pPr>
    </w:lvl>
    <w:lvl w:ilvl="5" w:tplc="173A4B1E">
      <w:start w:val="1"/>
      <w:numFmt w:val="bullet"/>
      <w:lvlText w:val="■"/>
      <w:lvlJc w:val="left"/>
      <w:pPr>
        <w:ind w:left="4320" w:hanging="360"/>
      </w:pPr>
    </w:lvl>
    <w:lvl w:ilvl="6" w:tplc="23A25C5A">
      <w:start w:val="1"/>
      <w:numFmt w:val="bullet"/>
      <w:lvlText w:val="●"/>
      <w:lvlJc w:val="left"/>
      <w:pPr>
        <w:ind w:left="5040" w:hanging="360"/>
      </w:pPr>
    </w:lvl>
    <w:lvl w:ilvl="7" w:tplc="79BE12FE">
      <w:start w:val="1"/>
      <w:numFmt w:val="bullet"/>
      <w:lvlText w:val="●"/>
      <w:lvlJc w:val="left"/>
      <w:pPr>
        <w:ind w:left="5760" w:hanging="360"/>
      </w:pPr>
    </w:lvl>
    <w:lvl w:ilvl="8" w:tplc="F18ABF44">
      <w:start w:val="1"/>
      <w:numFmt w:val="bullet"/>
      <w:lvlText w:val="●"/>
      <w:lvlJc w:val="left"/>
      <w:pPr>
        <w:ind w:left="6480" w:hanging="360"/>
      </w:pPr>
    </w:lvl>
  </w:abstractNum>
  <w:num w:numId="1" w16cid:durableId="1815641136">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5"/>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16BB4"/>
    <w:rsid w:val="00003589"/>
    <w:rsid w:val="000817FA"/>
    <w:rsid w:val="0009516C"/>
    <w:rsid w:val="000D2325"/>
    <w:rsid w:val="00130358"/>
    <w:rsid w:val="00142604"/>
    <w:rsid w:val="00246174"/>
    <w:rsid w:val="00255731"/>
    <w:rsid w:val="00277B9C"/>
    <w:rsid w:val="00297BF3"/>
    <w:rsid w:val="003379CC"/>
    <w:rsid w:val="003507CC"/>
    <w:rsid w:val="003561DA"/>
    <w:rsid w:val="00486F37"/>
    <w:rsid w:val="004E5F42"/>
    <w:rsid w:val="005849E6"/>
    <w:rsid w:val="005B0119"/>
    <w:rsid w:val="005B1FBB"/>
    <w:rsid w:val="0064509F"/>
    <w:rsid w:val="00646C5D"/>
    <w:rsid w:val="006A26E1"/>
    <w:rsid w:val="006A3831"/>
    <w:rsid w:val="007208BE"/>
    <w:rsid w:val="007A420E"/>
    <w:rsid w:val="007B1FC6"/>
    <w:rsid w:val="007E76F8"/>
    <w:rsid w:val="00835C3A"/>
    <w:rsid w:val="00873991"/>
    <w:rsid w:val="008B6CE0"/>
    <w:rsid w:val="009D5667"/>
    <w:rsid w:val="00A0022F"/>
    <w:rsid w:val="00A01B88"/>
    <w:rsid w:val="00A067B5"/>
    <w:rsid w:val="00A12579"/>
    <w:rsid w:val="00AE6666"/>
    <w:rsid w:val="00BA7167"/>
    <w:rsid w:val="00C12269"/>
    <w:rsid w:val="00C1512D"/>
    <w:rsid w:val="00C4309C"/>
    <w:rsid w:val="00C71F01"/>
    <w:rsid w:val="00CD6D9D"/>
    <w:rsid w:val="00D00B22"/>
    <w:rsid w:val="00D200D0"/>
    <w:rsid w:val="00D34D41"/>
    <w:rsid w:val="00D8340A"/>
    <w:rsid w:val="00DC5B03"/>
    <w:rsid w:val="00DF25F5"/>
    <w:rsid w:val="00E16321"/>
    <w:rsid w:val="00E16BB4"/>
    <w:rsid w:val="00EB745C"/>
    <w:rsid w:val="00F55C88"/>
    <w:rsid w:val="00FD2D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A1F54E"/>
  <w15:docId w15:val="{BB3AB9EB-12CD-4BE7-B018-DB68377805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320" w:after="160"/>
      <w:outlineLvl w:val="0"/>
    </w:pPr>
    <w:rPr>
      <w:b/>
      <w:bCs/>
      <w:color w:val="000000"/>
      <w:sz w:val="26"/>
      <w:szCs w:val="26"/>
    </w:rPr>
  </w:style>
  <w:style w:type="paragraph" w:styleId="Heading2">
    <w:name w:val="heading 2"/>
    <w:uiPriority w:val="9"/>
    <w:unhideWhenUsed/>
    <w:qFormat/>
    <w:pPr>
      <w:spacing w:before="240" w:after="120"/>
      <w:outlineLvl w:val="1"/>
    </w:pPr>
    <w:rPr>
      <w:b/>
      <w:bCs/>
      <w:color w:val="000000"/>
      <w:sz w:val="24"/>
      <w:szCs w:val="24"/>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TOCHeading">
    <w:name w:val="TOC Heading"/>
    <w:basedOn w:val="Heading1"/>
    <w:next w:val="Normal"/>
    <w:uiPriority w:val="39"/>
    <w:unhideWhenUsed/>
    <w:qFormat/>
    <w:rsid w:val="00873991"/>
    <w:pPr>
      <w:keepNext/>
      <w:keepLines/>
      <w:spacing w:before="240" w:after="0" w:line="259" w:lineRule="auto"/>
      <w:outlineLvl w:val="9"/>
    </w:pPr>
    <w:rPr>
      <w:rFonts w:asciiTheme="majorHAnsi" w:eastAsiaTheme="majorEastAsia" w:hAnsiTheme="majorHAnsi" w:cstheme="majorBidi"/>
      <w:b w:val="0"/>
      <w:bCs w:val="0"/>
      <w:color w:val="2F5496" w:themeColor="accent1" w:themeShade="BF"/>
      <w:sz w:val="32"/>
      <w:szCs w:val="32"/>
      <w:lang w:val="en-US" w:eastAsia="en-US"/>
    </w:rPr>
  </w:style>
  <w:style w:type="paragraph" w:styleId="TOC1">
    <w:name w:val="toc 1"/>
    <w:basedOn w:val="Normal"/>
    <w:next w:val="Normal"/>
    <w:autoRedefine/>
    <w:uiPriority w:val="39"/>
    <w:unhideWhenUsed/>
    <w:rsid w:val="00873991"/>
    <w:pPr>
      <w:spacing w:after="100"/>
    </w:pPr>
  </w:style>
  <w:style w:type="paragraph" w:styleId="TOC2">
    <w:name w:val="toc 2"/>
    <w:basedOn w:val="Normal"/>
    <w:next w:val="Normal"/>
    <w:autoRedefine/>
    <w:uiPriority w:val="39"/>
    <w:unhideWhenUsed/>
    <w:rsid w:val="00873991"/>
    <w:pPr>
      <w:spacing w:after="100"/>
      <w:ind w:left="220"/>
    </w:pPr>
  </w:style>
  <w:style w:type="paragraph" w:styleId="Header">
    <w:name w:val="header"/>
    <w:basedOn w:val="Normal"/>
    <w:link w:val="HeaderChar"/>
    <w:uiPriority w:val="99"/>
    <w:unhideWhenUsed/>
    <w:rsid w:val="0009516C"/>
    <w:pPr>
      <w:tabs>
        <w:tab w:val="center" w:pos="4513"/>
        <w:tab w:val="right" w:pos="9026"/>
      </w:tabs>
    </w:pPr>
  </w:style>
  <w:style w:type="character" w:customStyle="1" w:styleId="HeaderChar">
    <w:name w:val="Header Char"/>
    <w:basedOn w:val="DefaultParagraphFont"/>
    <w:link w:val="Header"/>
    <w:uiPriority w:val="99"/>
    <w:rsid w:val="0009516C"/>
  </w:style>
  <w:style w:type="paragraph" w:styleId="Footer">
    <w:name w:val="footer"/>
    <w:basedOn w:val="Normal"/>
    <w:link w:val="FooterChar"/>
    <w:uiPriority w:val="99"/>
    <w:unhideWhenUsed/>
    <w:rsid w:val="0009516C"/>
    <w:pPr>
      <w:tabs>
        <w:tab w:val="center" w:pos="4513"/>
        <w:tab w:val="right" w:pos="9026"/>
      </w:tabs>
    </w:pPr>
  </w:style>
  <w:style w:type="character" w:customStyle="1" w:styleId="FooterChar">
    <w:name w:val="Footer Char"/>
    <w:basedOn w:val="DefaultParagraphFont"/>
    <w:link w:val="Footer"/>
    <w:uiPriority w:val="99"/>
    <w:rsid w:val="000951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85EA27B-E78C-43F1-826B-E6AC9333A3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3296</TotalTime>
  <Pages>10</Pages>
  <Words>3095</Words>
  <Characters>17645</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Naznin Mahmood (2215438)</cp:lastModifiedBy>
  <cp:revision>33</cp:revision>
  <dcterms:created xsi:type="dcterms:W3CDTF">2026-07-15T06:29:00Z</dcterms:created>
  <dcterms:modified xsi:type="dcterms:W3CDTF">2026-07-17T13:38:00Z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91eab2a9-19e8-421e-acac-c0e8b31f0dc5</vt:lpwstr>
  </property>
</Properties>
</file>