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DD98B" w14:textId="548C0210" w:rsidR="00396B14" w:rsidRDefault="00985C8F" w:rsidP="00985C8F">
      <w:pPr>
        <w:spacing w:line="360" w:lineRule="auto"/>
        <w:jc w:val="both"/>
        <w:rPr>
          <w:rFonts w:cstheme="minorHAnsi"/>
          <w:b/>
          <w:bCs/>
          <w:sz w:val="24"/>
          <w:szCs w:val="24"/>
        </w:rPr>
      </w:pPr>
      <w:r w:rsidRPr="00985C8F">
        <w:rPr>
          <w:rFonts w:cstheme="minorHAnsi"/>
          <w:b/>
          <w:bCs/>
          <w:sz w:val="24"/>
          <w:szCs w:val="24"/>
        </w:rPr>
        <w:t xml:space="preserve"> </w:t>
      </w:r>
    </w:p>
    <w:p w14:paraId="73A5D44A" w14:textId="1A38027F" w:rsidR="00772F82" w:rsidRDefault="00772F82" w:rsidP="00985C8F">
      <w:pPr>
        <w:spacing w:line="360" w:lineRule="auto"/>
        <w:jc w:val="both"/>
        <w:rPr>
          <w:rFonts w:cstheme="minorHAnsi"/>
          <w:b/>
          <w:bCs/>
          <w:sz w:val="24"/>
          <w:szCs w:val="24"/>
        </w:rPr>
      </w:pPr>
      <w:r>
        <w:rPr>
          <w:noProof/>
        </w:rPr>
        <w:drawing>
          <wp:anchor distT="0" distB="0" distL="114300" distR="114300" simplePos="0" relativeHeight="251659264" behindDoc="1" locked="0" layoutInCell="1" allowOverlap="1" wp14:anchorId="1FB8873A" wp14:editId="71C47E14">
            <wp:simplePos x="0" y="0"/>
            <wp:positionH relativeFrom="margin">
              <wp:align>center</wp:align>
            </wp:positionH>
            <wp:positionV relativeFrom="paragraph">
              <wp:posOffset>10160</wp:posOffset>
            </wp:positionV>
            <wp:extent cx="3496945" cy="3381375"/>
            <wp:effectExtent l="0" t="0" r="8255" b="9525"/>
            <wp:wrapTight wrapText="bothSides">
              <wp:wrapPolygon edited="0">
                <wp:start x="0" y="0"/>
                <wp:lineTo x="0" y="122"/>
                <wp:lineTo x="6825" y="1947"/>
                <wp:lineTo x="6589" y="2799"/>
                <wp:lineTo x="6589" y="3651"/>
                <wp:lineTo x="4001" y="6085"/>
                <wp:lineTo x="2589" y="8640"/>
                <wp:lineTo x="2353" y="8883"/>
                <wp:lineTo x="2471" y="9735"/>
                <wp:lineTo x="1059" y="10344"/>
                <wp:lineTo x="588" y="10830"/>
                <wp:lineTo x="941" y="13629"/>
                <wp:lineTo x="235" y="14481"/>
                <wp:lineTo x="0" y="15090"/>
                <wp:lineTo x="118" y="15576"/>
                <wp:lineTo x="1294" y="17523"/>
                <wp:lineTo x="1530" y="19470"/>
                <wp:lineTo x="1765" y="20079"/>
                <wp:lineTo x="8001" y="21417"/>
                <wp:lineTo x="0" y="21539"/>
                <wp:lineTo x="21533" y="21539"/>
                <wp:lineTo x="13532" y="21417"/>
                <wp:lineTo x="19415" y="19957"/>
                <wp:lineTo x="19298" y="19470"/>
                <wp:lineTo x="20004" y="19470"/>
                <wp:lineTo x="20239" y="18619"/>
                <wp:lineTo x="20004" y="17523"/>
                <wp:lineTo x="21180" y="15576"/>
                <wp:lineTo x="21298" y="12656"/>
                <wp:lineTo x="20592" y="11682"/>
                <wp:lineTo x="21063" y="11682"/>
                <wp:lineTo x="21416" y="9127"/>
                <wp:lineTo x="20474" y="8397"/>
                <wp:lineTo x="17180" y="7788"/>
                <wp:lineTo x="17886" y="6571"/>
                <wp:lineTo x="17886" y="5963"/>
                <wp:lineTo x="17062" y="5111"/>
                <wp:lineTo x="14238" y="3772"/>
                <wp:lineTo x="13767" y="2434"/>
                <wp:lineTo x="13414" y="1947"/>
                <wp:lineTo x="21533" y="122"/>
                <wp:lineTo x="21533" y="0"/>
                <wp:lineTo x="0" y="0"/>
              </wp:wrapPolygon>
            </wp:wrapTight>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96945" cy="3381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B33230" w14:textId="1A99447D" w:rsidR="00772F82" w:rsidRDefault="00772F82" w:rsidP="00985C8F">
      <w:pPr>
        <w:spacing w:line="360" w:lineRule="auto"/>
        <w:jc w:val="both"/>
        <w:rPr>
          <w:rFonts w:cstheme="minorHAnsi"/>
          <w:b/>
          <w:bCs/>
          <w:sz w:val="24"/>
          <w:szCs w:val="24"/>
        </w:rPr>
      </w:pPr>
    </w:p>
    <w:p w14:paraId="04E53C37" w14:textId="6943C46C" w:rsidR="00772F82" w:rsidRDefault="00772F82" w:rsidP="00985C8F">
      <w:pPr>
        <w:spacing w:line="360" w:lineRule="auto"/>
        <w:jc w:val="both"/>
        <w:rPr>
          <w:rFonts w:cstheme="minorHAnsi"/>
          <w:b/>
          <w:bCs/>
          <w:sz w:val="24"/>
          <w:szCs w:val="24"/>
        </w:rPr>
      </w:pPr>
    </w:p>
    <w:p w14:paraId="67D35725" w14:textId="31C32692" w:rsidR="00772F82" w:rsidRDefault="00772F82" w:rsidP="00985C8F">
      <w:pPr>
        <w:spacing w:line="360" w:lineRule="auto"/>
        <w:jc w:val="both"/>
        <w:rPr>
          <w:rFonts w:cstheme="minorHAnsi"/>
          <w:b/>
          <w:bCs/>
          <w:sz w:val="24"/>
          <w:szCs w:val="24"/>
        </w:rPr>
      </w:pPr>
    </w:p>
    <w:p w14:paraId="26AB79BF" w14:textId="1B6A4B89" w:rsidR="00772F82" w:rsidRDefault="00772F82" w:rsidP="00985C8F">
      <w:pPr>
        <w:spacing w:line="360" w:lineRule="auto"/>
        <w:jc w:val="both"/>
        <w:rPr>
          <w:rFonts w:cstheme="minorHAnsi"/>
          <w:b/>
          <w:bCs/>
          <w:sz w:val="24"/>
          <w:szCs w:val="24"/>
        </w:rPr>
      </w:pPr>
    </w:p>
    <w:p w14:paraId="57E0949E" w14:textId="5DB26709" w:rsidR="00772F82" w:rsidRDefault="00772F82" w:rsidP="00985C8F">
      <w:pPr>
        <w:spacing w:line="360" w:lineRule="auto"/>
        <w:jc w:val="both"/>
        <w:rPr>
          <w:rFonts w:cstheme="minorHAnsi"/>
          <w:b/>
          <w:bCs/>
          <w:sz w:val="24"/>
          <w:szCs w:val="24"/>
        </w:rPr>
      </w:pPr>
    </w:p>
    <w:p w14:paraId="2027A4DB" w14:textId="2BEC1E35" w:rsidR="00772F82" w:rsidRDefault="00772F82" w:rsidP="00985C8F">
      <w:pPr>
        <w:spacing w:line="360" w:lineRule="auto"/>
        <w:jc w:val="both"/>
        <w:rPr>
          <w:rFonts w:cstheme="minorHAnsi"/>
          <w:b/>
          <w:bCs/>
          <w:sz w:val="24"/>
          <w:szCs w:val="24"/>
        </w:rPr>
      </w:pPr>
    </w:p>
    <w:p w14:paraId="1C4F9705" w14:textId="34616466" w:rsidR="00772F82" w:rsidRDefault="00772F82" w:rsidP="00985C8F">
      <w:pPr>
        <w:spacing w:line="360" w:lineRule="auto"/>
        <w:jc w:val="both"/>
        <w:rPr>
          <w:rFonts w:cstheme="minorHAnsi"/>
          <w:b/>
          <w:bCs/>
          <w:sz w:val="24"/>
          <w:szCs w:val="24"/>
        </w:rPr>
      </w:pPr>
    </w:p>
    <w:p w14:paraId="17555EC5" w14:textId="41216A82" w:rsidR="00772F82" w:rsidRDefault="00772F82" w:rsidP="00985C8F">
      <w:pPr>
        <w:spacing w:line="360" w:lineRule="auto"/>
        <w:jc w:val="both"/>
        <w:rPr>
          <w:rFonts w:cstheme="minorHAnsi"/>
          <w:b/>
          <w:bCs/>
          <w:sz w:val="24"/>
          <w:szCs w:val="24"/>
        </w:rPr>
      </w:pPr>
    </w:p>
    <w:p w14:paraId="39FFC6E2" w14:textId="247D94C9" w:rsidR="00772F82" w:rsidRDefault="00772F82" w:rsidP="00985C8F">
      <w:pPr>
        <w:spacing w:line="360" w:lineRule="auto"/>
        <w:jc w:val="both"/>
        <w:rPr>
          <w:rFonts w:cstheme="minorHAnsi"/>
          <w:b/>
          <w:bCs/>
          <w:sz w:val="24"/>
          <w:szCs w:val="24"/>
        </w:rPr>
      </w:pPr>
    </w:p>
    <w:p w14:paraId="0C446F97" w14:textId="3879ABAE" w:rsidR="00772F82" w:rsidRDefault="00772F82" w:rsidP="00985C8F">
      <w:pPr>
        <w:spacing w:line="360" w:lineRule="auto"/>
        <w:jc w:val="both"/>
        <w:rPr>
          <w:rFonts w:cstheme="minorHAnsi"/>
          <w:b/>
          <w:bCs/>
          <w:sz w:val="24"/>
          <w:szCs w:val="24"/>
        </w:rPr>
      </w:pPr>
    </w:p>
    <w:p w14:paraId="73011831" w14:textId="77777777" w:rsidR="00772F82" w:rsidRPr="00772F82" w:rsidRDefault="00772F82" w:rsidP="00772F82">
      <w:pPr>
        <w:pStyle w:val="NormalWeb"/>
        <w:spacing w:before="0" w:beforeAutospacing="0" w:after="0" w:afterAutospacing="0"/>
        <w:jc w:val="mediumKashida"/>
        <w:rPr>
          <w:noProof/>
        </w:rPr>
      </w:pPr>
    </w:p>
    <w:p w14:paraId="0C0A109B" w14:textId="20317C19" w:rsidR="00772F82" w:rsidRPr="00772F82" w:rsidRDefault="00772F82" w:rsidP="00772F82">
      <w:pPr>
        <w:ind w:firstLine="720"/>
        <w:rPr>
          <w:rFonts w:cstheme="minorHAnsi"/>
          <w:b/>
          <w:caps/>
          <w:sz w:val="28"/>
          <w:szCs w:val="28"/>
        </w:rPr>
      </w:pPr>
      <w:r w:rsidRPr="00772F82">
        <w:rPr>
          <w:rFonts w:cstheme="minorHAnsi"/>
          <w:b/>
          <w:caps/>
          <w:sz w:val="28"/>
          <w:szCs w:val="28"/>
        </w:rPr>
        <w:t xml:space="preserve">MODULE NAME:         </w:t>
      </w:r>
      <w:r>
        <w:rPr>
          <w:rFonts w:cstheme="minorHAnsi"/>
          <w:b/>
          <w:caps/>
          <w:sz w:val="28"/>
          <w:szCs w:val="28"/>
        </w:rPr>
        <w:t>Contract Law</w:t>
      </w:r>
      <w:r w:rsidRPr="00772F82">
        <w:rPr>
          <w:rFonts w:cstheme="minorHAnsi"/>
          <w:b/>
          <w:caps/>
          <w:sz w:val="28"/>
          <w:szCs w:val="28"/>
        </w:rPr>
        <w:t xml:space="preserve">          </w:t>
      </w:r>
    </w:p>
    <w:p w14:paraId="792BC713" w14:textId="63C35FFD" w:rsidR="00772F82" w:rsidRPr="00772F82" w:rsidRDefault="00772F82" w:rsidP="00772F82">
      <w:pPr>
        <w:ind w:firstLine="720"/>
        <w:rPr>
          <w:rFonts w:cstheme="minorHAnsi"/>
          <w:b/>
          <w:caps/>
          <w:sz w:val="28"/>
          <w:szCs w:val="28"/>
        </w:rPr>
      </w:pPr>
      <w:r>
        <w:rPr>
          <w:rFonts w:cstheme="minorHAnsi"/>
          <w:b/>
          <w:caps/>
          <w:sz w:val="28"/>
          <w:szCs w:val="28"/>
        </w:rPr>
        <w:t xml:space="preserve">Mondela </w:t>
      </w:r>
      <w:r w:rsidR="00E46731">
        <w:rPr>
          <w:rFonts w:cstheme="minorHAnsi"/>
          <w:b/>
          <w:caps/>
          <w:sz w:val="28"/>
          <w:szCs w:val="28"/>
        </w:rPr>
        <w:t>Code:         BMLW5006</w:t>
      </w:r>
    </w:p>
    <w:p w14:paraId="1F8109A8" w14:textId="72239009" w:rsidR="00772F82" w:rsidRPr="00772F82" w:rsidRDefault="00E46731" w:rsidP="00772F82">
      <w:pPr>
        <w:ind w:firstLine="720"/>
        <w:rPr>
          <w:rFonts w:cstheme="minorHAnsi"/>
          <w:b/>
          <w:caps/>
          <w:sz w:val="28"/>
          <w:szCs w:val="28"/>
        </w:rPr>
      </w:pPr>
      <w:r>
        <w:rPr>
          <w:rFonts w:cstheme="minorHAnsi"/>
          <w:b/>
          <w:caps/>
          <w:sz w:val="28"/>
          <w:szCs w:val="28"/>
        </w:rPr>
        <w:t>LECTURE NAME</w:t>
      </w:r>
      <w:r w:rsidR="00772F82" w:rsidRPr="00772F82">
        <w:rPr>
          <w:rFonts w:cstheme="minorHAnsi"/>
          <w:b/>
          <w:caps/>
          <w:sz w:val="28"/>
          <w:szCs w:val="28"/>
        </w:rPr>
        <w:t xml:space="preserve">: </w:t>
      </w:r>
      <w:r w:rsidR="00772F82" w:rsidRPr="00772F82">
        <w:rPr>
          <w:rFonts w:cstheme="minorHAnsi"/>
          <w:b/>
          <w:caps/>
          <w:sz w:val="28"/>
          <w:szCs w:val="28"/>
        </w:rPr>
        <w:tab/>
        <w:t xml:space="preserve">      </w:t>
      </w:r>
      <w:r>
        <w:rPr>
          <w:rFonts w:cstheme="minorHAnsi"/>
          <w:b/>
          <w:caps/>
          <w:sz w:val="28"/>
          <w:szCs w:val="28"/>
        </w:rPr>
        <w:t xml:space="preserve">LOUISE HOLMES </w:t>
      </w:r>
      <w:r w:rsidR="00772F82" w:rsidRPr="00772F82">
        <w:rPr>
          <w:rFonts w:cstheme="minorHAnsi"/>
          <w:b/>
          <w:caps/>
          <w:sz w:val="28"/>
          <w:szCs w:val="28"/>
        </w:rPr>
        <w:t xml:space="preserve">   </w:t>
      </w:r>
    </w:p>
    <w:p w14:paraId="345C3F49" w14:textId="50DDEE37" w:rsidR="00772F82" w:rsidRPr="00772F82" w:rsidRDefault="00772F82" w:rsidP="00772F82">
      <w:pPr>
        <w:ind w:firstLine="720"/>
        <w:rPr>
          <w:rFonts w:cstheme="minorHAnsi"/>
          <w:b/>
          <w:caps/>
          <w:sz w:val="28"/>
          <w:szCs w:val="28"/>
        </w:rPr>
      </w:pPr>
      <w:r w:rsidRPr="00772F82">
        <w:rPr>
          <w:rFonts w:cstheme="minorHAnsi"/>
          <w:b/>
          <w:caps/>
          <w:sz w:val="28"/>
          <w:szCs w:val="28"/>
        </w:rPr>
        <w:t xml:space="preserve">Student </w:t>
      </w:r>
      <w:r w:rsidR="00E46731">
        <w:rPr>
          <w:rFonts w:cstheme="minorHAnsi"/>
          <w:b/>
          <w:caps/>
          <w:sz w:val="28"/>
          <w:szCs w:val="28"/>
        </w:rPr>
        <w:t>NAME</w:t>
      </w:r>
      <w:r w:rsidRPr="00772F82">
        <w:rPr>
          <w:rFonts w:cstheme="minorHAnsi"/>
          <w:b/>
          <w:caps/>
          <w:sz w:val="28"/>
          <w:szCs w:val="28"/>
        </w:rPr>
        <w:t xml:space="preserve">:   </w:t>
      </w:r>
      <w:r w:rsidR="00E46731">
        <w:rPr>
          <w:rFonts w:cstheme="minorHAnsi"/>
          <w:b/>
          <w:caps/>
          <w:sz w:val="28"/>
          <w:szCs w:val="28"/>
        </w:rPr>
        <w:t xml:space="preserve">      IBRAHIM MOHAMMD</w:t>
      </w:r>
    </w:p>
    <w:p w14:paraId="51F49169" w14:textId="367EEDCF" w:rsidR="00772F82" w:rsidRPr="00772F82" w:rsidRDefault="00E46731" w:rsidP="00772F82">
      <w:pPr>
        <w:ind w:firstLine="720"/>
        <w:rPr>
          <w:rStyle w:val="normaltextrun"/>
          <w:rFonts w:cstheme="minorHAnsi"/>
          <w:bCs/>
          <w:caps/>
          <w:sz w:val="28"/>
          <w:szCs w:val="28"/>
        </w:rPr>
      </w:pPr>
      <w:r>
        <w:rPr>
          <w:rFonts w:cstheme="minorHAnsi"/>
          <w:b/>
          <w:caps/>
          <w:sz w:val="28"/>
          <w:szCs w:val="28"/>
        </w:rPr>
        <w:t>STUDENT NUMBER</w:t>
      </w:r>
      <w:r w:rsidR="00772F82" w:rsidRPr="00772F82">
        <w:rPr>
          <w:rFonts w:cstheme="minorHAnsi"/>
          <w:b/>
          <w:sz w:val="28"/>
          <w:szCs w:val="28"/>
        </w:rPr>
        <w:t>:</w:t>
      </w:r>
      <w:r w:rsidR="00772F82" w:rsidRPr="00772F82">
        <w:rPr>
          <w:rFonts w:cstheme="minorHAnsi"/>
          <w:bCs/>
          <w:sz w:val="28"/>
          <w:szCs w:val="28"/>
        </w:rPr>
        <w:t xml:space="preserve">     </w:t>
      </w:r>
      <w:r w:rsidRPr="00E46731">
        <w:rPr>
          <w:rFonts w:cstheme="minorHAnsi"/>
          <w:b/>
          <w:sz w:val="28"/>
          <w:szCs w:val="28"/>
        </w:rPr>
        <w:t>1705467</w:t>
      </w:r>
      <w:r w:rsidR="00772F82" w:rsidRPr="00E46731">
        <w:rPr>
          <w:rFonts w:cstheme="minorHAnsi"/>
          <w:b/>
          <w:sz w:val="28"/>
          <w:szCs w:val="28"/>
        </w:rPr>
        <w:t xml:space="preserve">     </w:t>
      </w:r>
      <w:r w:rsidR="00772F82" w:rsidRPr="00772F82">
        <w:rPr>
          <w:rFonts w:cstheme="minorHAnsi"/>
          <w:bCs/>
          <w:sz w:val="28"/>
          <w:szCs w:val="28"/>
        </w:rPr>
        <w:t xml:space="preserve">    </w:t>
      </w:r>
    </w:p>
    <w:p w14:paraId="2EBBF20D" w14:textId="4A515163" w:rsidR="00772F82" w:rsidRDefault="00772F82" w:rsidP="00985C8F">
      <w:pPr>
        <w:spacing w:line="360" w:lineRule="auto"/>
        <w:jc w:val="both"/>
        <w:rPr>
          <w:rFonts w:cstheme="minorHAnsi"/>
          <w:b/>
          <w:bCs/>
          <w:sz w:val="24"/>
          <w:szCs w:val="24"/>
        </w:rPr>
      </w:pPr>
    </w:p>
    <w:p w14:paraId="2CAC30E3" w14:textId="64DC39D9" w:rsidR="008A735F" w:rsidRDefault="008A735F" w:rsidP="00985C8F">
      <w:pPr>
        <w:spacing w:line="360" w:lineRule="auto"/>
        <w:jc w:val="both"/>
        <w:rPr>
          <w:rFonts w:cstheme="minorHAnsi"/>
          <w:b/>
          <w:bCs/>
          <w:sz w:val="24"/>
          <w:szCs w:val="24"/>
        </w:rPr>
      </w:pPr>
    </w:p>
    <w:p w14:paraId="6FA41B50" w14:textId="05B8B1F8" w:rsidR="008A735F" w:rsidRDefault="008A735F" w:rsidP="00985C8F">
      <w:pPr>
        <w:spacing w:line="360" w:lineRule="auto"/>
        <w:jc w:val="both"/>
        <w:rPr>
          <w:rFonts w:cstheme="minorHAnsi"/>
          <w:b/>
          <w:bCs/>
          <w:sz w:val="24"/>
          <w:szCs w:val="24"/>
        </w:rPr>
      </w:pPr>
    </w:p>
    <w:p w14:paraId="19902BC5" w14:textId="77777777" w:rsidR="008A735F" w:rsidRDefault="008A735F" w:rsidP="00985C8F">
      <w:pPr>
        <w:spacing w:line="360" w:lineRule="auto"/>
        <w:jc w:val="both"/>
        <w:rPr>
          <w:rFonts w:cstheme="minorHAnsi"/>
          <w:b/>
          <w:bCs/>
          <w:sz w:val="24"/>
          <w:szCs w:val="24"/>
        </w:rPr>
      </w:pPr>
    </w:p>
    <w:p w14:paraId="44DC1F55" w14:textId="4BAAE1A9" w:rsidR="00772F82" w:rsidRDefault="00772F82" w:rsidP="00985C8F">
      <w:pPr>
        <w:spacing w:line="360" w:lineRule="auto"/>
        <w:jc w:val="both"/>
        <w:rPr>
          <w:rFonts w:cstheme="minorHAnsi"/>
          <w:b/>
          <w:bCs/>
          <w:sz w:val="24"/>
          <w:szCs w:val="24"/>
        </w:rPr>
      </w:pPr>
    </w:p>
    <w:p w14:paraId="759FEBCE" w14:textId="13262EC2" w:rsidR="00772F82" w:rsidRDefault="00772F82" w:rsidP="00985C8F">
      <w:pPr>
        <w:spacing w:line="360" w:lineRule="auto"/>
        <w:jc w:val="both"/>
        <w:rPr>
          <w:rFonts w:cstheme="minorHAnsi"/>
          <w:b/>
          <w:bCs/>
          <w:sz w:val="24"/>
          <w:szCs w:val="24"/>
        </w:rPr>
      </w:pPr>
    </w:p>
    <w:p w14:paraId="3ADC71C3" w14:textId="77777777" w:rsidR="00772F82" w:rsidRPr="00985C8F" w:rsidRDefault="00772F82" w:rsidP="00985C8F">
      <w:pPr>
        <w:spacing w:line="360" w:lineRule="auto"/>
        <w:jc w:val="both"/>
        <w:rPr>
          <w:rFonts w:cstheme="minorHAnsi"/>
          <w:b/>
          <w:bCs/>
          <w:sz w:val="24"/>
          <w:szCs w:val="24"/>
        </w:rPr>
      </w:pPr>
    </w:p>
    <w:p w14:paraId="1A6925CE" w14:textId="77777777"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 xml:space="preserve"> </w:t>
      </w:r>
      <w:r w:rsidRPr="00985C8F">
        <w:rPr>
          <w:rFonts w:cstheme="minorHAnsi"/>
          <w:b/>
          <w:bCs/>
          <w:sz w:val="24"/>
          <w:szCs w:val="24"/>
        </w:rPr>
        <w:t>Introduction</w:t>
      </w:r>
      <w:r w:rsidRPr="00985C8F">
        <w:rPr>
          <w:rFonts w:cstheme="minorHAnsi"/>
          <w:b/>
          <w:bCs/>
          <w:sz w:val="24"/>
          <w:szCs w:val="24"/>
        </w:rPr>
        <w:tab/>
      </w:r>
    </w:p>
    <w:p w14:paraId="4EDC046F" w14:textId="77777777" w:rsidR="00985C8F" w:rsidRPr="00985C8F" w:rsidRDefault="00985C8F" w:rsidP="00985C8F">
      <w:pPr>
        <w:spacing w:after="0" w:line="360" w:lineRule="auto"/>
        <w:jc w:val="both"/>
        <w:rPr>
          <w:rFonts w:cstheme="minorHAnsi"/>
          <w:sz w:val="24"/>
          <w:szCs w:val="24"/>
        </w:rPr>
      </w:pPr>
      <w:r w:rsidRPr="00985C8F">
        <w:rPr>
          <w:rFonts w:cstheme="minorHAnsi"/>
          <w:sz w:val="24"/>
          <w:szCs w:val="24"/>
        </w:rPr>
        <w:t>Contract law has witnessed massive jurisprudential intervention from case precedence and statutory law. This position is attributed to the high number of disputes that arise regarding a contract's validity. Notably, a valid contract must have specific requisites: offer, acceptance, competency, consideration, and legal intent. Courts often rely on these elements to test a contract's validity in case of an alleged breach or wrongful termination. In the current case scenario, the advisory to Jack will involve testing whether the fact patterns satisfy the contractual elements established in renowned case laws.</w:t>
      </w:r>
    </w:p>
    <w:p w14:paraId="69A303CB" w14:textId="77777777"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Contract’s Validity between Jack and Kate</w:t>
      </w:r>
    </w:p>
    <w:p w14:paraId="2DD56B0C" w14:textId="4E6A283C"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Indeed, it is essential to address whether an offer and acceptance occurred between Jack and Kate. This process involves conducting an in-depth analysis of the case laws in this regard. </w:t>
      </w:r>
      <w:r w:rsidRPr="00985C8F">
        <w:rPr>
          <w:rFonts w:cstheme="minorHAnsi"/>
          <w:i/>
          <w:iCs/>
          <w:sz w:val="24"/>
          <w:szCs w:val="24"/>
        </w:rPr>
        <w:t>Carlill v Carbolic Smoke Ball Co</w:t>
      </w:r>
      <w:r w:rsidRPr="00985C8F">
        <w:rPr>
          <w:rStyle w:val="FootnoteReference"/>
          <w:rFonts w:cstheme="minorHAnsi"/>
          <w:i/>
          <w:iCs/>
          <w:sz w:val="24"/>
          <w:szCs w:val="24"/>
        </w:rPr>
        <w:footnoteReference w:id="1"/>
      </w:r>
      <w:r w:rsidRPr="00985C8F">
        <w:rPr>
          <w:rFonts w:cstheme="minorHAnsi"/>
          <w:sz w:val="24"/>
          <w:szCs w:val="24"/>
        </w:rPr>
        <w:t xml:space="preserve"> ranks as the </w:t>
      </w:r>
      <w:r w:rsidRPr="00985C8F">
        <w:rPr>
          <w:rFonts w:cstheme="minorHAnsi"/>
          <w:i/>
          <w:iCs/>
          <w:sz w:val="24"/>
          <w:szCs w:val="24"/>
        </w:rPr>
        <w:t xml:space="preserve">locus classicus </w:t>
      </w:r>
      <w:r w:rsidRPr="00985C8F">
        <w:rPr>
          <w:rFonts w:cstheme="minorHAnsi"/>
          <w:sz w:val="24"/>
          <w:szCs w:val="24"/>
        </w:rPr>
        <w:t xml:space="preserve">in establishing a contract's validity. Remarkably, the defendant put up an advertisement stating that using the smoke balls daily would curb influenza and cold. The defendants also averred that they would give out a hundred pounds for any individual who caught influenza while using the smoke balls and that they had deposited a thousand pounds in this regard. Afterwards, the plaintiff bought the product, utilized </w:t>
      </w:r>
      <w:r w:rsidRPr="00985C8F">
        <w:rPr>
          <w:rFonts w:cstheme="minorHAnsi"/>
          <w:sz w:val="24"/>
          <w:szCs w:val="24"/>
        </w:rPr>
        <w:t>it,</w:t>
      </w:r>
      <w:r w:rsidRPr="00985C8F">
        <w:rPr>
          <w:rFonts w:cstheme="minorHAnsi"/>
          <w:sz w:val="24"/>
          <w:szCs w:val="24"/>
        </w:rPr>
        <w:t xml:space="preserve"> and eventually got infected with the flu.</w:t>
      </w:r>
    </w:p>
    <w:p w14:paraId="6F787F34" w14:textId="77777777" w:rsidR="00985C8F" w:rsidRPr="00985C8F" w:rsidRDefault="00985C8F" w:rsidP="00985C8F">
      <w:pPr>
        <w:spacing w:after="0" w:line="360" w:lineRule="auto"/>
        <w:jc w:val="both"/>
        <w:rPr>
          <w:rFonts w:cstheme="minorHAnsi"/>
          <w:sz w:val="24"/>
          <w:szCs w:val="24"/>
        </w:rPr>
      </w:pPr>
      <w:r w:rsidRPr="00985C8F">
        <w:rPr>
          <w:rFonts w:cstheme="minorHAnsi"/>
          <w:sz w:val="24"/>
          <w:szCs w:val="24"/>
        </w:rPr>
        <w:t>As noted by the court of appeals, the main issue was whether the defendant's language constituted an express promise or a sales puff that was meaningless. The court acknowledged that a vague advertisement could be regarded as a sales puff. That notwithstanding, the court noted that the defendant's deposit of a thousand pounds to illustrate sincerity and seriousness made the reward offer a promise. Additionally, the plaintiff's buying and using the smoke balls as directed were deemed as consideration. The case elucidated that an advertising gimmick that displays sincerity and seriousness in its language suffices as an express contractual promise to pay.</w:t>
      </w:r>
    </w:p>
    <w:p w14:paraId="7CB4D18B" w14:textId="77777777"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The position of advertisements and contractual offers ad promises was also set in </w:t>
      </w:r>
      <w:r w:rsidRPr="00985C8F">
        <w:rPr>
          <w:rFonts w:cstheme="minorHAnsi"/>
          <w:i/>
          <w:iCs/>
          <w:sz w:val="24"/>
          <w:szCs w:val="24"/>
        </w:rPr>
        <w:t>Partridge v Crittenden.</w:t>
      </w:r>
      <w:r w:rsidRPr="00985C8F">
        <w:rPr>
          <w:rStyle w:val="FootnoteReference"/>
          <w:rFonts w:cstheme="minorHAnsi"/>
          <w:i/>
          <w:iCs/>
          <w:sz w:val="24"/>
          <w:szCs w:val="24"/>
        </w:rPr>
        <w:footnoteReference w:id="2"/>
      </w:r>
      <w:r w:rsidRPr="00985C8F">
        <w:rPr>
          <w:rFonts w:cstheme="minorHAnsi"/>
          <w:sz w:val="24"/>
          <w:szCs w:val="24"/>
        </w:rPr>
        <w:t>. Here, the defendant placed an advertisement in a magazine that offered bramble finches for sale. He was charged and convicted of breaching the statutory prohibition of offering such birds for sale. Subsequently, he appealed the conviction and was successful. The court stated that not all advertisements should be deemed as a contractual offer, as some may be an invitation to treat.</w:t>
      </w:r>
    </w:p>
    <w:p w14:paraId="3FD7B1D0" w14:textId="77777777" w:rsidR="00985C8F" w:rsidRPr="00985C8F" w:rsidRDefault="00985C8F" w:rsidP="00985C8F">
      <w:pPr>
        <w:spacing w:after="0" w:line="360" w:lineRule="auto"/>
        <w:jc w:val="both"/>
        <w:rPr>
          <w:rFonts w:cstheme="minorHAnsi"/>
          <w:sz w:val="24"/>
          <w:szCs w:val="24"/>
        </w:rPr>
      </w:pPr>
      <w:r w:rsidRPr="00985C8F">
        <w:rPr>
          <w:rFonts w:cstheme="minorHAnsi"/>
          <w:sz w:val="24"/>
          <w:szCs w:val="24"/>
        </w:rPr>
        <w:t>Undoubtedly, it is essential to elucidate an invitation to treat to establish whether Jack made a contractual offer to Kate. An invitation to treat is a statement that expresses negotiation willingness. Consequently, an individual that makes the statement does not bind themselves to a contract upon acceptance by another party. In the case at hand, Jack's statement displays his willingness to make an offer through negotiation. The language does not reveal any intention to find Jack and is, thus, an invitation to treat. Therefore, no valid contract exists between Jack and Kate as he neither responded to Kate's letter nor booked her to perform.</w:t>
      </w:r>
    </w:p>
    <w:p w14:paraId="50CD5D31" w14:textId="77777777"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Contract Validity between Logan and Jack</w:t>
      </w:r>
    </w:p>
    <w:p w14:paraId="717CF877" w14:textId="599660C2"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To establish whether a valid contract existed between Logan and Jack, it is vital to retrospect various case laws that have similar fact patterns. A thin line exists between an offer and an invitation to treat. In </w:t>
      </w:r>
      <w:r w:rsidRPr="00985C8F">
        <w:rPr>
          <w:rFonts w:cstheme="minorHAnsi"/>
          <w:i/>
          <w:iCs/>
          <w:sz w:val="24"/>
          <w:szCs w:val="24"/>
        </w:rPr>
        <w:t>Harvey v Facey</w:t>
      </w:r>
      <w:r w:rsidRPr="00985C8F">
        <w:rPr>
          <w:rStyle w:val="FootnoteReference"/>
          <w:rFonts w:cstheme="minorHAnsi"/>
          <w:i/>
          <w:iCs/>
          <w:sz w:val="24"/>
          <w:szCs w:val="24"/>
        </w:rPr>
        <w:footnoteReference w:id="3"/>
      </w:r>
      <w:r w:rsidRPr="00985C8F">
        <w:rPr>
          <w:rFonts w:cstheme="minorHAnsi"/>
          <w:i/>
          <w:iCs/>
          <w:sz w:val="24"/>
          <w:szCs w:val="24"/>
        </w:rPr>
        <w:t xml:space="preserve">, </w:t>
      </w:r>
      <w:r w:rsidRPr="00985C8F">
        <w:rPr>
          <w:rFonts w:cstheme="minorHAnsi"/>
          <w:sz w:val="24"/>
          <w:szCs w:val="24"/>
        </w:rPr>
        <w:t>the plaintiff sent a telegram to the defendant that stated, “Will you sell us Bumper Hall Pen? Telegraph lowest price.” The defendant replied with a telegram statement saying, "Lowest price for Bumper Hall Pen 900 pounds." The plaintiff then replied, stating that he had agreed to buy the product at the stated price. Afterwards, Facey refused to sell the Bumper hall pen at that price, which led to Harvey's suit. The court held that there was no contract between the parties as the defendant’s statement only gave information and was not a contractual offer.</w:t>
      </w:r>
    </w:p>
    <w:p w14:paraId="6254DB00" w14:textId="35DF964F" w:rsidR="00985C8F" w:rsidRPr="00985C8F" w:rsidRDefault="00985C8F" w:rsidP="00985C8F">
      <w:pPr>
        <w:spacing w:after="0" w:line="360" w:lineRule="auto"/>
        <w:jc w:val="both"/>
        <w:rPr>
          <w:rFonts w:cstheme="minorHAnsi"/>
          <w:sz w:val="24"/>
          <w:szCs w:val="24"/>
        </w:rPr>
      </w:pPr>
      <w:r w:rsidRPr="00985C8F">
        <w:rPr>
          <w:rFonts w:cstheme="minorHAnsi"/>
          <w:i/>
          <w:iCs/>
          <w:sz w:val="24"/>
          <w:szCs w:val="24"/>
        </w:rPr>
        <w:t>Harris v Nickerson</w:t>
      </w:r>
      <w:r w:rsidRPr="00985C8F">
        <w:rPr>
          <w:rStyle w:val="FootnoteReference"/>
          <w:rFonts w:cstheme="minorHAnsi"/>
          <w:i/>
          <w:iCs/>
          <w:sz w:val="24"/>
          <w:szCs w:val="24"/>
        </w:rPr>
        <w:footnoteReference w:id="4"/>
      </w:r>
      <w:r w:rsidRPr="00985C8F">
        <w:rPr>
          <w:rFonts w:cstheme="minorHAnsi"/>
          <w:sz w:val="24"/>
          <w:szCs w:val="24"/>
        </w:rPr>
        <w:t xml:space="preserve"> is a renowned case that set the line between an offer and an invitation to treat. Precisely, the defendant had placed an advertisement for putting a piece of office furniture for auction. The defendant then </w:t>
      </w:r>
      <w:r w:rsidRPr="00985C8F">
        <w:rPr>
          <w:rFonts w:cstheme="minorHAnsi"/>
          <w:sz w:val="24"/>
          <w:szCs w:val="24"/>
        </w:rPr>
        <w:t>travelled</w:t>
      </w:r>
      <w:r w:rsidRPr="00985C8F">
        <w:rPr>
          <w:rFonts w:cstheme="minorHAnsi"/>
          <w:sz w:val="24"/>
          <w:szCs w:val="24"/>
        </w:rPr>
        <w:t xml:space="preserve"> to bid for the furniture, which was withdrawn during the auction. The plaintiff sued for time and expense loss caused by the defendant's actions. Nevertheless, the court stated that the advertisement did not constitute an offer as it was a mere intent declaration. Blackburn J found it startling to render all individuals that placed an advertisement responsible for the sale attendees' traveling expenditures.</w:t>
      </w:r>
    </w:p>
    <w:p w14:paraId="6C626CE2" w14:textId="5D961E81"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In the current case, Jack's advertisement letter is merely an invitation to treat. It represents Jack's intent to make an offer upon negotiation and reaching an agreement. Remarkably, Logan successfully with Jack to pay 750 pounds, a negotiation that Jack agreed with through his response letter. Another issue for determination is whether the postal acceptance rule applies in this case. In </w:t>
      </w:r>
      <w:r w:rsidRPr="00985C8F">
        <w:rPr>
          <w:rFonts w:cstheme="minorHAnsi"/>
          <w:i/>
          <w:iCs/>
          <w:sz w:val="24"/>
          <w:szCs w:val="24"/>
        </w:rPr>
        <w:t>Tinn v Hoffman</w:t>
      </w:r>
      <w:r w:rsidRPr="00985C8F">
        <w:rPr>
          <w:rStyle w:val="FootnoteReference"/>
          <w:rFonts w:cstheme="minorHAnsi"/>
          <w:i/>
          <w:iCs/>
          <w:sz w:val="24"/>
          <w:szCs w:val="24"/>
        </w:rPr>
        <w:footnoteReference w:id="5"/>
      </w:r>
      <w:r w:rsidRPr="00985C8F">
        <w:rPr>
          <w:rFonts w:cstheme="minorHAnsi"/>
          <w:sz w:val="24"/>
          <w:szCs w:val="24"/>
        </w:rPr>
        <w:t xml:space="preserve"> the court stated that where a specific reply method is made, an equally effective communication method suffices as good communication as long as it does not disadvantage the offeror.</w:t>
      </w:r>
    </w:p>
    <w:p w14:paraId="16F80ACC" w14:textId="631D117B"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It is equally vital to assess the legal precedence and position set by case law regarding claiming damages from lost potential profits. In </w:t>
      </w:r>
      <w:r w:rsidRPr="00985C8F">
        <w:rPr>
          <w:rFonts w:cstheme="minorHAnsi"/>
          <w:i/>
          <w:iCs/>
          <w:sz w:val="24"/>
          <w:szCs w:val="24"/>
        </w:rPr>
        <w:t>Hadley v Baxendale</w:t>
      </w:r>
      <w:r w:rsidRPr="00985C8F">
        <w:rPr>
          <w:rStyle w:val="FootnoteReference"/>
          <w:rFonts w:cstheme="minorHAnsi"/>
          <w:i/>
          <w:iCs/>
          <w:sz w:val="24"/>
          <w:szCs w:val="24"/>
        </w:rPr>
        <w:footnoteReference w:id="6"/>
      </w:r>
      <w:r w:rsidRPr="00985C8F">
        <w:rPr>
          <w:rFonts w:cstheme="minorHAnsi"/>
          <w:i/>
          <w:iCs/>
          <w:sz w:val="24"/>
          <w:szCs w:val="24"/>
        </w:rPr>
        <w:t xml:space="preserve"> </w:t>
      </w:r>
      <w:r w:rsidRPr="00985C8F">
        <w:rPr>
          <w:rFonts w:cstheme="minorHAnsi"/>
          <w:sz w:val="24"/>
          <w:szCs w:val="24"/>
        </w:rPr>
        <w:t>the plaintiff operated a mill, which was shut down due to engine breakage. Subsequently, the plaintiff contracted the defendants to transport the machinery to another company in a disparate location. The defendants delayed moving the machinery, which caused the plaintiff's legal action for the recovery of lost profits. The court found that damages are awarded where they arise naturally from the breach and those in reasonable contemplation when entering the contract. In the current scenario, Jack's claim arises directly and naturally from the event's lack of performance. Further, the 500-pound claim is legitimate as it was reasonably contemplated when entering the contract.</w:t>
      </w:r>
    </w:p>
    <w:p w14:paraId="44C2EEC7" w14:textId="7075CA8B"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 xml:space="preserve">Jack’s Legal Obligation to pay DJ </w:t>
      </w:r>
      <w:r w:rsidRPr="00985C8F">
        <w:rPr>
          <w:rFonts w:cstheme="minorHAnsi"/>
          <w:b/>
          <w:bCs/>
          <w:sz w:val="24"/>
          <w:szCs w:val="24"/>
        </w:rPr>
        <w:t>Mason.</w:t>
      </w:r>
    </w:p>
    <w:p w14:paraId="054F2AC1" w14:textId="71E83486"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In this regard, the main query is whether the contract has been performed entirely and whether certain exceptions mitigate this position. In </w:t>
      </w:r>
      <w:r w:rsidRPr="00985C8F">
        <w:rPr>
          <w:rFonts w:cstheme="minorHAnsi"/>
          <w:i/>
          <w:iCs/>
          <w:sz w:val="24"/>
          <w:szCs w:val="24"/>
        </w:rPr>
        <w:t>Hoenig v Isaacs</w:t>
      </w:r>
      <w:r w:rsidRPr="00985C8F">
        <w:rPr>
          <w:rStyle w:val="FootnoteReference"/>
          <w:rFonts w:cstheme="minorHAnsi"/>
          <w:i/>
          <w:iCs/>
          <w:sz w:val="24"/>
          <w:szCs w:val="24"/>
        </w:rPr>
        <w:footnoteReference w:id="7"/>
      </w:r>
      <w:r w:rsidRPr="00985C8F">
        <w:rPr>
          <w:rFonts w:cstheme="minorHAnsi"/>
          <w:i/>
          <w:iCs/>
          <w:sz w:val="24"/>
          <w:szCs w:val="24"/>
        </w:rPr>
        <w:t xml:space="preserve">, </w:t>
      </w:r>
      <w:r w:rsidRPr="00985C8F">
        <w:rPr>
          <w:rFonts w:cstheme="minorHAnsi"/>
          <w:sz w:val="24"/>
          <w:szCs w:val="24"/>
        </w:rPr>
        <w:t>the plaintiff agreed to furnish and decorate the defendant's property for 750 pounds, which would be paid in two instalments and cleared upon completion. Upon completion by the claimant, the defendant was dissatisfied with the furnishings and refused to pay the final instalment payable. The court held that the plaintiff had completed a substantial part of the contract and had to be paid the contractually agreed price less the cost of defects.</w:t>
      </w:r>
    </w:p>
    <w:p w14:paraId="4927D527" w14:textId="7433E699" w:rsidR="00985C8F" w:rsidRPr="00985C8F" w:rsidRDefault="00985C8F" w:rsidP="00985C8F">
      <w:pPr>
        <w:spacing w:after="0" w:line="360" w:lineRule="auto"/>
        <w:jc w:val="both"/>
        <w:rPr>
          <w:rFonts w:cstheme="minorHAnsi"/>
          <w:sz w:val="24"/>
          <w:szCs w:val="24"/>
        </w:rPr>
      </w:pPr>
      <w:r w:rsidRPr="00985C8F">
        <w:rPr>
          <w:rFonts w:cstheme="minorHAnsi"/>
          <w:sz w:val="24"/>
          <w:szCs w:val="24"/>
        </w:rPr>
        <w:t>The preceding reveals the doctrine of substantial performance under contract law regarding the execution of contracts. This doctrine provides that parties should be paid according to a contract and retain such benefits that they technically fully deliver to the agreement's terms. Consequently, substantial performance is enough to determine an agreement's fulfilment as long as there is good faith in performance and the deviation is not a considerable contract's breach.</w:t>
      </w:r>
    </w:p>
    <w:p w14:paraId="18290500" w14:textId="06226768"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Nevertheless, there are specific limitations to substantial performance. The language utilized bears grave significance in determining whether the substantial performance was sufficient. Where a contract has stated explicitly that complete performance is necessary, the substantial performance doctrine is insufficient. This language type means that the parties have negotiated and reached a specific delivery method and style. Another exception to the principle of substantial performance is that it is not used to excuse correctable mistakes. </w:t>
      </w:r>
    </w:p>
    <w:p w14:paraId="78B17D94" w14:textId="77777777" w:rsidR="00985C8F" w:rsidRPr="00985C8F" w:rsidRDefault="00985C8F" w:rsidP="00985C8F">
      <w:pPr>
        <w:spacing w:after="0" w:line="360" w:lineRule="auto"/>
        <w:jc w:val="both"/>
        <w:rPr>
          <w:rFonts w:cstheme="minorHAnsi"/>
          <w:sz w:val="24"/>
          <w:szCs w:val="24"/>
        </w:rPr>
      </w:pPr>
      <w:r w:rsidRPr="00985C8F">
        <w:rPr>
          <w:rFonts w:cstheme="minorHAnsi"/>
          <w:sz w:val="24"/>
          <w:szCs w:val="24"/>
        </w:rPr>
        <w:t>In the current case, the contract between Jack and DJ Mason expressly required him to perform a three-hour session at the student union. However, DJ Mason's performance qualifies as substantial because he did a significant part of the contract. The failure to complete the contract is also not a mere excuse for a correctable mistake caused by the mix-up. Therefore, Jack is legally obliged to pay DJ mason an amount that is equivalent to the hours he performed.</w:t>
      </w:r>
    </w:p>
    <w:p w14:paraId="4C2B99E4" w14:textId="77777777"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The legal relation between Nell and Jack's agreement</w:t>
      </w:r>
    </w:p>
    <w:p w14:paraId="3FBB94DF" w14:textId="70E5C2F1" w:rsidR="00985C8F" w:rsidRPr="00985C8F" w:rsidRDefault="00985C8F" w:rsidP="00985C8F">
      <w:pPr>
        <w:spacing w:after="0" w:line="360" w:lineRule="auto"/>
        <w:jc w:val="both"/>
        <w:rPr>
          <w:rFonts w:cstheme="minorHAnsi"/>
          <w:sz w:val="24"/>
          <w:szCs w:val="24"/>
        </w:rPr>
      </w:pPr>
      <w:r w:rsidRPr="00985C8F">
        <w:rPr>
          <w:rFonts w:cstheme="minorHAnsi"/>
          <w:sz w:val="24"/>
          <w:szCs w:val="24"/>
        </w:rPr>
        <w:t>In determining the relation between Nell and Jack's deal, it is essential to elucidate their contract's status. Precisely, this process involves conducting an in-depth comparative analysis between arrangements made in social and domestic settings against commercial contracts. A domestic contract is an agreement between two parties outlining certain rights and responsibilities. The agreements are made without the intention of establishing enforceability, which makes courts reluctant during enforcement. Overall, the domestic agreement focuses more on the relationship to the subject matter than the parties.</w:t>
      </w:r>
    </w:p>
    <w:p w14:paraId="1A4B0F13" w14:textId="3974804D"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That notwithstanding, some relationships seem to be half-centred between commercial and domestic contracts, which alters the presumption burden. In </w:t>
      </w:r>
      <w:r w:rsidRPr="00985C8F">
        <w:rPr>
          <w:rFonts w:cstheme="minorHAnsi"/>
          <w:i/>
          <w:iCs/>
          <w:sz w:val="24"/>
          <w:szCs w:val="24"/>
        </w:rPr>
        <w:t>Sadler v Reynolds</w:t>
      </w:r>
      <w:r w:rsidRPr="00985C8F">
        <w:rPr>
          <w:rStyle w:val="FootnoteReference"/>
          <w:rFonts w:cstheme="minorHAnsi"/>
          <w:i/>
          <w:iCs/>
          <w:sz w:val="24"/>
          <w:szCs w:val="24"/>
        </w:rPr>
        <w:footnoteReference w:id="8"/>
      </w:r>
      <w:r w:rsidRPr="00985C8F">
        <w:rPr>
          <w:rFonts w:cstheme="minorHAnsi"/>
          <w:i/>
          <w:iCs/>
          <w:sz w:val="24"/>
          <w:szCs w:val="24"/>
        </w:rPr>
        <w:t xml:space="preserve"> </w:t>
      </w:r>
      <w:r w:rsidRPr="00985C8F">
        <w:rPr>
          <w:rFonts w:cstheme="minorHAnsi"/>
          <w:sz w:val="24"/>
          <w:szCs w:val="24"/>
        </w:rPr>
        <w:t>a journalist and businessman were friends who entered into an agreement. Notably, the journalist intended to write the businessman's autobiography and split the profits. The businessman then opted to collaborate with another author instead. The court regarded the legal relationship between the two parties to lie between social exchange and a commercial transaction. It stated that an onus befalls the plaintiff to prove intentions to create legal relations and enforceability.</w:t>
      </w:r>
    </w:p>
    <w:p w14:paraId="4C8DFA22" w14:textId="456AE16A"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Indeed, the courts must address whether a reasonable person would find the agreement as binding. Since the contract is based on an assumption, it may be disputed on several grounds. For instance, where the language of the contract indicates the intention to establish an enforceable legal relation. In </w:t>
      </w:r>
      <w:r w:rsidRPr="00985C8F">
        <w:rPr>
          <w:rFonts w:cstheme="minorHAnsi"/>
          <w:i/>
          <w:iCs/>
          <w:sz w:val="24"/>
          <w:szCs w:val="24"/>
        </w:rPr>
        <w:t>Merritt v Merritt</w:t>
      </w:r>
      <w:r w:rsidRPr="00985C8F">
        <w:rPr>
          <w:rFonts w:cstheme="minorHAnsi"/>
          <w:sz w:val="24"/>
          <w:szCs w:val="24"/>
        </w:rPr>
        <w:t xml:space="preserve"> </w:t>
      </w:r>
      <w:r w:rsidRPr="00985C8F">
        <w:rPr>
          <w:rStyle w:val="FootnoteReference"/>
          <w:rFonts w:cstheme="minorHAnsi"/>
          <w:sz w:val="24"/>
          <w:szCs w:val="24"/>
        </w:rPr>
        <w:footnoteReference w:id="9"/>
      </w:r>
      <w:r w:rsidRPr="00985C8F">
        <w:rPr>
          <w:rFonts w:cstheme="minorHAnsi"/>
          <w:sz w:val="24"/>
          <w:szCs w:val="24"/>
        </w:rPr>
        <w:t>a divorced couple had agreed upon parting ways for the husband to transfer his home interest to his wife after paying off the mortgage. The two parties signed a document to this effect, but the husband refused to transfer his interest to the ex-wife after she had finished paying off the mortgage. The court held that a legal intention was evident, and thus the presumption of unenforceability for contracts made in a social or domestic setting was rebutted.</w:t>
      </w:r>
    </w:p>
    <w:p w14:paraId="7DC1C6F6" w14:textId="30567860"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Similarly, </w:t>
      </w:r>
      <w:r w:rsidRPr="00985C8F">
        <w:rPr>
          <w:rFonts w:cstheme="minorHAnsi"/>
          <w:i/>
          <w:iCs/>
          <w:sz w:val="24"/>
          <w:szCs w:val="24"/>
        </w:rPr>
        <w:t>Wakeling v Ripley</w:t>
      </w:r>
      <w:r w:rsidRPr="00985C8F">
        <w:rPr>
          <w:rStyle w:val="FootnoteReference"/>
          <w:rFonts w:cstheme="minorHAnsi"/>
          <w:i/>
          <w:iCs/>
          <w:sz w:val="24"/>
          <w:szCs w:val="24"/>
        </w:rPr>
        <w:footnoteReference w:id="10"/>
      </w:r>
      <w:r w:rsidRPr="00985C8F">
        <w:rPr>
          <w:rFonts w:cstheme="minorHAnsi"/>
          <w:i/>
          <w:iCs/>
          <w:sz w:val="24"/>
          <w:szCs w:val="24"/>
        </w:rPr>
        <w:t xml:space="preserve"> </w:t>
      </w:r>
      <w:r w:rsidRPr="00985C8F">
        <w:rPr>
          <w:rFonts w:cstheme="minorHAnsi"/>
          <w:sz w:val="24"/>
          <w:szCs w:val="24"/>
        </w:rPr>
        <w:t xml:space="preserve">established renowned precedence in this regard. An older man invited her sister to care for him, provided that he would give her an income and transfer the property upon his demise. The sister's husband agreed to this proposition and gave a lucrative job in the United Kingdom to facilitate the relocation. After a dispute occurred, the couple sued for breach of contract and succeeded in their suit. The court stated that the contract was more than a family agreement and could not be regarded as a contract made in a social setting. </w:t>
      </w:r>
    </w:p>
    <w:p w14:paraId="0DFAB8B1" w14:textId="0054BEB0" w:rsidR="00985C8F" w:rsidRPr="00985C8F" w:rsidRDefault="00985C8F" w:rsidP="00985C8F">
      <w:pPr>
        <w:spacing w:after="0" w:line="360" w:lineRule="auto"/>
        <w:jc w:val="both"/>
        <w:rPr>
          <w:rFonts w:cstheme="minorHAnsi"/>
          <w:sz w:val="24"/>
          <w:szCs w:val="24"/>
        </w:rPr>
      </w:pPr>
      <w:r w:rsidRPr="00985C8F">
        <w:rPr>
          <w:rFonts w:cstheme="minorHAnsi"/>
          <w:sz w:val="24"/>
          <w:szCs w:val="24"/>
        </w:rPr>
        <w:t>From the preceding, it is apparent that a contract made in a domestic setting can be disputed. The main factors relevant during such determination are the seriousness of the parties' conduct, the commercial nature of the subject matter, the expense involved, and the parties' closeness. In the current scenario, the agreement entered into between Nell and Jack is a contract made in a domestic or social setting. The jurisprudential precedence set regarding such arrangements is their unenforceability. Indeed, Jack does not show any intentions to create legal relations during the agreement's formulation. The promise to give 250 pounds was intended to be a gift for expressing gratefulness and thus cannot be the basis of an enforceable contract. Therefore, the relationship between Nell and Jack does not intend to create any legal relations.</w:t>
      </w:r>
    </w:p>
    <w:p w14:paraId="668C1260" w14:textId="77777777"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 xml:space="preserve">Valid Consideration between Jack and Nell’s Agreement </w:t>
      </w:r>
    </w:p>
    <w:p w14:paraId="26A9CFEF" w14:textId="4E24282C"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Undoubtedly, a valid contract must satisfy the consideration element. This term refers to the value exchanged in a deal and is often established between a promisee and promisor. This position was reiterated in </w:t>
      </w:r>
      <w:r w:rsidRPr="00985C8F">
        <w:rPr>
          <w:rFonts w:cstheme="minorHAnsi"/>
          <w:i/>
          <w:iCs/>
          <w:sz w:val="24"/>
          <w:szCs w:val="24"/>
        </w:rPr>
        <w:t>Thomas v Thomas</w:t>
      </w:r>
      <w:r w:rsidRPr="00985C8F">
        <w:rPr>
          <w:rStyle w:val="FootnoteReference"/>
          <w:rFonts w:cstheme="minorHAnsi"/>
          <w:i/>
          <w:iCs/>
          <w:sz w:val="24"/>
          <w:szCs w:val="24"/>
        </w:rPr>
        <w:footnoteReference w:id="11"/>
      </w:r>
      <w:r w:rsidRPr="00985C8F">
        <w:rPr>
          <w:rFonts w:cstheme="minorHAnsi"/>
          <w:sz w:val="24"/>
          <w:szCs w:val="24"/>
        </w:rPr>
        <w:t xml:space="preserve">Where the court stated that gifts could not be enforced unless they are made by deed. Consideration varies in disparate capacities as it can be a promise to do something, refrain from doing something or pay money to a contracting party. A commitment to do something can involve transferring property, such as intellectual property or spend money. A contract that refrains one from doing something is referred to as a restrictive covenant and is mostly used by employers from engaging with another employer for a specified period upon employment’s termination. </w:t>
      </w:r>
    </w:p>
    <w:p w14:paraId="3B354DF3" w14:textId="77777777" w:rsidR="00985C8F" w:rsidRDefault="00985C8F" w:rsidP="00985C8F">
      <w:pPr>
        <w:spacing w:after="0" w:line="360" w:lineRule="auto"/>
        <w:jc w:val="both"/>
        <w:rPr>
          <w:rFonts w:cstheme="minorHAnsi"/>
          <w:sz w:val="24"/>
          <w:szCs w:val="24"/>
        </w:rPr>
      </w:pPr>
      <w:r w:rsidRPr="00985C8F">
        <w:rPr>
          <w:rFonts w:cstheme="minorHAnsi"/>
          <w:sz w:val="24"/>
          <w:szCs w:val="24"/>
        </w:rPr>
        <w:tab/>
      </w:r>
    </w:p>
    <w:p w14:paraId="5B9ABC3E" w14:textId="5C260FB4"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Although common law strictly requires the existence of valid consideration in a contract, a defendant may be required to uphold their promises through the doctrine of promissory estoppel. This position was captured in </w:t>
      </w:r>
      <w:r w:rsidRPr="00985C8F">
        <w:rPr>
          <w:rFonts w:cstheme="minorHAnsi"/>
          <w:i/>
          <w:iCs/>
          <w:sz w:val="24"/>
          <w:szCs w:val="24"/>
        </w:rPr>
        <w:t>Ward v Byham</w:t>
      </w:r>
      <w:r w:rsidRPr="00985C8F">
        <w:rPr>
          <w:rStyle w:val="FootnoteReference"/>
          <w:rFonts w:cstheme="minorHAnsi"/>
          <w:i/>
          <w:iCs/>
          <w:sz w:val="24"/>
          <w:szCs w:val="24"/>
        </w:rPr>
        <w:footnoteReference w:id="12"/>
      </w:r>
      <w:r w:rsidRPr="00985C8F">
        <w:rPr>
          <w:rFonts w:cstheme="minorHAnsi"/>
          <w:sz w:val="24"/>
          <w:szCs w:val="24"/>
        </w:rPr>
        <w:t xml:space="preserve"> and </w:t>
      </w:r>
      <w:r w:rsidRPr="00985C8F">
        <w:rPr>
          <w:rFonts w:cstheme="minorHAnsi"/>
          <w:i/>
          <w:iCs/>
          <w:sz w:val="24"/>
          <w:szCs w:val="24"/>
        </w:rPr>
        <w:t>Williams v Roffey Bros</w:t>
      </w:r>
      <w:r w:rsidRPr="00985C8F">
        <w:rPr>
          <w:rStyle w:val="FootnoteReference"/>
          <w:rFonts w:cstheme="minorHAnsi"/>
          <w:i/>
          <w:iCs/>
          <w:sz w:val="24"/>
          <w:szCs w:val="24"/>
        </w:rPr>
        <w:footnoteReference w:id="13"/>
      </w:r>
      <w:r w:rsidRPr="00985C8F">
        <w:rPr>
          <w:rFonts w:cstheme="minorHAnsi"/>
          <w:i/>
          <w:iCs/>
          <w:sz w:val="24"/>
          <w:szCs w:val="24"/>
        </w:rPr>
        <w:t xml:space="preserve">. </w:t>
      </w:r>
      <w:r w:rsidRPr="00985C8F">
        <w:rPr>
          <w:rFonts w:cstheme="minorHAnsi"/>
          <w:sz w:val="24"/>
          <w:szCs w:val="24"/>
        </w:rPr>
        <w:t xml:space="preserve">Consequently, several rules have been established to determine consideration's validity. First, the consideration must not be past as held in </w:t>
      </w:r>
      <w:r w:rsidRPr="00985C8F">
        <w:rPr>
          <w:rFonts w:cstheme="minorHAnsi"/>
          <w:i/>
          <w:iCs/>
          <w:sz w:val="24"/>
          <w:szCs w:val="24"/>
        </w:rPr>
        <w:t>Re McArdle.</w:t>
      </w:r>
      <w:r w:rsidRPr="00985C8F">
        <w:rPr>
          <w:rStyle w:val="FootnoteReference"/>
          <w:rFonts w:cstheme="minorHAnsi"/>
          <w:i/>
          <w:iCs/>
          <w:sz w:val="24"/>
          <w:szCs w:val="24"/>
        </w:rPr>
        <w:footnoteReference w:id="14"/>
      </w:r>
      <w:r w:rsidRPr="00985C8F">
        <w:rPr>
          <w:rFonts w:cstheme="minorHAnsi"/>
          <w:sz w:val="24"/>
          <w:szCs w:val="24"/>
        </w:rPr>
        <w:t>. In this case, the claimant had made particular renovations to a bungalow that formed part of her father’s estate. After completing the renovations, her brothers, acting as executors, agreed to pay 480 pounds in consideration for the work, which was never paid. The court held that the payment promise made after the performance was unenforceable as past consideration is not valid.</w:t>
      </w:r>
    </w:p>
    <w:p w14:paraId="12DBDAF0" w14:textId="77777777" w:rsidR="00985C8F" w:rsidRDefault="00985C8F" w:rsidP="00985C8F">
      <w:pPr>
        <w:spacing w:after="0" w:line="360" w:lineRule="auto"/>
        <w:jc w:val="both"/>
        <w:rPr>
          <w:rFonts w:cstheme="minorHAnsi"/>
          <w:sz w:val="24"/>
          <w:szCs w:val="24"/>
        </w:rPr>
      </w:pPr>
      <w:r w:rsidRPr="00985C8F">
        <w:rPr>
          <w:rFonts w:cstheme="minorHAnsi"/>
          <w:sz w:val="24"/>
          <w:szCs w:val="24"/>
        </w:rPr>
        <w:tab/>
      </w:r>
    </w:p>
    <w:p w14:paraId="5A348E1C" w14:textId="06FC29CA" w:rsidR="00985C8F" w:rsidRPr="00985C8F" w:rsidRDefault="00985C8F" w:rsidP="00985C8F">
      <w:pPr>
        <w:spacing w:after="0" w:line="360" w:lineRule="auto"/>
        <w:jc w:val="both"/>
        <w:rPr>
          <w:rFonts w:cstheme="minorHAnsi"/>
          <w:sz w:val="24"/>
          <w:szCs w:val="24"/>
        </w:rPr>
      </w:pPr>
      <w:r w:rsidRPr="00985C8F">
        <w:rPr>
          <w:rFonts w:cstheme="minorHAnsi"/>
          <w:sz w:val="24"/>
          <w:szCs w:val="24"/>
        </w:rPr>
        <w:t>Jack requested Nell to do a stand-up comedy routine in the current scenario and did not specify the terms regarding consideration. Afterwards, he promised to give 250 pounds to Nell as an appreciation for performing the regular comedy. Therefore, the consideration is invalid as it was only intended as a gift and thus cannot be enforceable. Additionally, the 250 pounds promise is a past consideration since it was made after the performance making it not legally binding. Therefore, Jack is not entitled to pay the amount as it is not part of a valid contract.</w:t>
      </w:r>
    </w:p>
    <w:p w14:paraId="2D3C9E1E" w14:textId="77777777" w:rsidR="00985C8F" w:rsidRPr="00985C8F" w:rsidRDefault="00985C8F" w:rsidP="00985C8F">
      <w:pPr>
        <w:spacing w:after="0" w:line="360" w:lineRule="auto"/>
        <w:jc w:val="both"/>
        <w:rPr>
          <w:rFonts w:cstheme="minorHAnsi"/>
          <w:b/>
          <w:bCs/>
          <w:sz w:val="24"/>
          <w:szCs w:val="24"/>
        </w:rPr>
      </w:pPr>
      <w:r w:rsidRPr="00985C8F">
        <w:rPr>
          <w:rFonts w:cstheme="minorHAnsi"/>
          <w:b/>
          <w:bCs/>
          <w:sz w:val="24"/>
          <w:szCs w:val="24"/>
        </w:rPr>
        <w:t>Conclusion</w:t>
      </w:r>
    </w:p>
    <w:p w14:paraId="7DAB08DE" w14:textId="77777777" w:rsidR="00985C8F" w:rsidRDefault="00985C8F" w:rsidP="00985C8F">
      <w:pPr>
        <w:spacing w:after="0" w:line="360" w:lineRule="auto"/>
        <w:jc w:val="both"/>
        <w:rPr>
          <w:rFonts w:cstheme="minorHAnsi"/>
          <w:sz w:val="24"/>
          <w:szCs w:val="24"/>
        </w:rPr>
      </w:pPr>
      <w:r w:rsidRPr="00985C8F">
        <w:rPr>
          <w:rFonts w:cstheme="minorHAnsi"/>
          <w:sz w:val="24"/>
          <w:szCs w:val="24"/>
        </w:rPr>
        <w:tab/>
      </w:r>
    </w:p>
    <w:p w14:paraId="098AA57E" w14:textId="176AF7A4" w:rsidR="00985C8F" w:rsidRPr="00985C8F" w:rsidRDefault="00985C8F" w:rsidP="00985C8F">
      <w:pPr>
        <w:spacing w:after="0" w:line="360" w:lineRule="auto"/>
        <w:jc w:val="both"/>
        <w:rPr>
          <w:rFonts w:cstheme="minorHAnsi"/>
          <w:sz w:val="24"/>
          <w:szCs w:val="24"/>
        </w:rPr>
      </w:pPr>
      <w:r w:rsidRPr="00985C8F">
        <w:rPr>
          <w:rFonts w:cstheme="minorHAnsi"/>
          <w:sz w:val="24"/>
          <w:szCs w:val="24"/>
        </w:rPr>
        <w:t xml:space="preserve">Undoubtedly, a contract has specific elements that must be satisfied, such as offer, acceptance, consideration, and competency. An invitation to treat is not an actual offer as it only expresses the willingness to negotiate. This position was captured in </w:t>
      </w:r>
      <w:r w:rsidRPr="00985C8F">
        <w:rPr>
          <w:rFonts w:cstheme="minorHAnsi"/>
          <w:i/>
          <w:iCs/>
          <w:sz w:val="24"/>
          <w:szCs w:val="24"/>
        </w:rPr>
        <w:t xml:space="preserve">Carlill v Carbolic Smoke Balls Co. </w:t>
      </w:r>
      <w:r w:rsidRPr="00985C8F">
        <w:rPr>
          <w:rFonts w:cstheme="minorHAnsi"/>
          <w:sz w:val="24"/>
          <w:szCs w:val="24"/>
        </w:rPr>
        <w:t xml:space="preserve">Therefore, Jack's letter was a mere invitation to treat and should not be relied on by Kate. According to the postal rule, valid acceptance is communicated directly to the offeror and provided in the communication method provided in an offer. Therefore, Logan has a valid claim against Jack for the damages of potential profits.  In performing a contract, it is essential to elucidate the doctrine of substantial performance. This doctrine requires that an individual be paid equivalent to substantial performance as held in </w:t>
      </w:r>
      <w:r w:rsidRPr="00985C8F">
        <w:rPr>
          <w:rFonts w:cstheme="minorHAnsi"/>
          <w:i/>
          <w:iCs/>
          <w:sz w:val="24"/>
          <w:szCs w:val="24"/>
        </w:rPr>
        <w:t xml:space="preserve">Hoenig v Isaacs. </w:t>
      </w:r>
      <w:r w:rsidRPr="00985C8F">
        <w:rPr>
          <w:rFonts w:cstheme="minorHAnsi"/>
          <w:sz w:val="24"/>
          <w:szCs w:val="24"/>
        </w:rPr>
        <w:t>DJ mason has a legal claim to an amount equal to the hours he performed. Finally, consideration must be present in determining a contract's validity. This is the value exchanged in the contract and must adhere to some rules. In the case at hand, Jack and Nell's agreement does not have a specific consideration since past consideration is invalid. The court in Re McArdle asserted this position.</w:t>
      </w:r>
    </w:p>
    <w:p w14:paraId="26FB75EB" w14:textId="77777777" w:rsidR="00985C8F" w:rsidRPr="00985C8F" w:rsidRDefault="00985C8F" w:rsidP="00985C8F">
      <w:pPr>
        <w:spacing w:line="360" w:lineRule="auto"/>
        <w:jc w:val="both"/>
        <w:rPr>
          <w:rFonts w:cstheme="minorHAnsi"/>
          <w:sz w:val="24"/>
          <w:szCs w:val="24"/>
        </w:rPr>
      </w:pPr>
      <w:r w:rsidRPr="00985C8F">
        <w:rPr>
          <w:rFonts w:cstheme="minorHAnsi"/>
          <w:sz w:val="24"/>
          <w:szCs w:val="24"/>
        </w:rPr>
        <w:br w:type="page"/>
      </w:r>
    </w:p>
    <w:p w14:paraId="51CA6F13" w14:textId="77777777" w:rsidR="008A735F" w:rsidRPr="00985C8F" w:rsidRDefault="008A735F" w:rsidP="00985C8F">
      <w:pPr>
        <w:spacing w:after="0" w:line="360" w:lineRule="auto"/>
        <w:jc w:val="both"/>
        <w:rPr>
          <w:rFonts w:cstheme="minorHAnsi"/>
          <w:b/>
          <w:bCs/>
          <w:sz w:val="24"/>
          <w:szCs w:val="24"/>
        </w:rPr>
      </w:pPr>
      <w:r w:rsidRPr="00985C8F">
        <w:rPr>
          <w:rFonts w:cstheme="minorHAnsi"/>
          <w:b/>
          <w:bCs/>
          <w:sz w:val="24"/>
          <w:szCs w:val="24"/>
        </w:rPr>
        <w:t>Bibliography</w:t>
      </w:r>
    </w:p>
    <w:p w14:paraId="5E141A1F"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Carlill v Carbolic Smoke Ball Company </w:t>
      </w:r>
      <w:r w:rsidRPr="00985C8F">
        <w:rPr>
          <w:rFonts w:cstheme="minorHAnsi"/>
          <w:sz w:val="24"/>
          <w:szCs w:val="24"/>
        </w:rPr>
        <w:t>[1892] EWCA Civ 1</w:t>
      </w:r>
    </w:p>
    <w:p w14:paraId="443B03FC"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Hadley v Baxendale</w:t>
      </w:r>
      <w:r w:rsidRPr="00985C8F">
        <w:rPr>
          <w:rFonts w:cstheme="minorHAnsi"/>
          <w:sz w:val="24"/>
          <w:szCs w:val="24"/>
        </w:rPr>
        <w:t xml:space="preserve"> [1854] EWHC J70</w:t>
      </w:r>
    </w:p>
    <w:p w14:paraId="2714A387"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Harris v Nickerson </w:t>
      </w:r>
      <w:r w:rsidRPr="00985C8F">
        <w:rPr>
          <w:rFonts w:cstheme="minorHAnsi"/>
          <w:sz w:val="24"/>
          <w:szCs w:val="24"/>
        </w:rPr>
        <w:t>[1873] LR 8 QB 286</w:t>
      </w:r>
    </w:p>
    <w:p w14:paraId="5DD248BC"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Harvey v Facey </w:t>
      </w:r>
      <w:r w:rsidRPr="00985C8F">
        <w:rPr>
          <w:rFonts w:cstheme="minorHAnsi"/>
          <w:sz w:val="24"/>
          <w:szCs w:val="24"/>
        </w:rPr>
        <w:t>[1893] AC 552</w:t>
      </w:r>
    </w:p>
    <w:p w14:paraId="673D3434"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Hoenig v Isaacs </w:t>
      </w:r>
      <w:r w:rsidRPr="00985C8F">
        <w:rPr>
          <w:rFonts w:cstheme="minorHAnsi"/>
          <w:sz w:val="24"/>
          <w:szCs w:val="24"/>
        </w:rPr>
        <w:t>[1952] 2 AII ER 176</w:t>
      </w:r>
    </w:p>
    <w:p w14:paraId="32089BEA"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Merritt v Merritt </w:t>
      </w:r>
      <w:r w:rsidRPr="00985C8F">
        <w:rPr>
          <w:rFonts w:cstheme="minorHAnsi"/>
          <w:sz w:val="24"/>
          <w:szCs w:val="24"/>
        </w:rPr>
        <w:t>[1970] 1 WLR 1211</w:t>
      </w:r>
    </w:p>
    <w:p w14:paraId="0F521E80"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Partridge v Crittenden </w:t>
      </w:r>
      <w:r w:rsidRPr="00985C8F">
        <w:rPr>
          <w:rFonts w:cstheme="minorHAnsi"/>
          <w:sz w:val="24"/>
          <w:szCs w:val="24"/>
        </w:rPr>
        <w:t>[1968] 1 WLR 1204</w:t>
      </w:r>
    </w:p>
    <w:p w14:paraId="5C68DAB5" w14:textId="77777777" w:rsidR="008A735F" w:rsidRPr="00985C8F" w:rsidRDefault="008A735F" w:rsidP="00985C8F">
      <w:pPr>
        <w:pStyle w:val="FootnoteText"/>
        <w:spacing w:line="360" w:lineRule="auto"/>
        <w:jc w:val="both"/>
        <w:rPr>
          <w:rFonts w:cstheme="minorHAnsi"/>
          <w:sz w:val="24"/>
          <w:szCs w:val="24"/>
        </w:rPr>
      </w:pPr>
      <w:r w:rsidRPr="00985C8F">
        <w:rPr>
          <w:rStyle w:val="Emphasis"/>
          <w:rFonts w:cstheme="minorHAnsi"/>
          <w:color w:val="000000"/>
          <w:sz w:val="24"/>
          <w:szCs w:val="24"/>
          <w:shd w:val="clear" w:color="auto" w:fill="FFFFFF"/>
        </w:rPr>
        <w:t>Re McArdle</w:t>
      </w:r>
      <w:r w:rsidRPr="00985C8F">
        <w:rPr>
          <w:rStyle w:val="Strong"/>
          <w:rFonts w:cstheme="minorHAnsi"/>
          <w:color w:val="000000"/>
          <w:sz w:val="24"/>
          <w:szCs w:val="24"/>
          <w:shd w:val="clear" w:color="auto" w:fill="FFFFFF"/>
        </w:rPr>
        <w:t> </w:t>
      </w:r>
      <w:r w:rsidRPr="00985C8F">
        <w:rPr>
          <w:rStyle w:val="Strong"/>
          <w:rFonts w:cstheme="minorHAnsi"/>
          <w:b w:val="0"/>
          <w:bCs w:val="0"/>
          <w:color w:val="000000"/>
          <w:sz w:val="24"/>
          <w:szCs w:val="24"/>
          <w:shd w:val="clear" w:color="auto" w:fill="FFFFFF"/>
        </w:rPr>
        <w:t>(1951) Ch 669</w:t>
      </w:r>
    </w:p>
    <w:p w14:paraId="3D9B3329" w14:textId="0ECD911E"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Sadler v Reynolds </w:t>
      </w:r>
      <w:r w:rsidRPr="00985C8F">
        <w:rPr>
          <w:rFonts w:cstheme="minorHAnsi"/>
          <w:sz w:val="24"/>
          <w:szCs w:val="24"/>
        </w:rPr>
        <w:t>[2005]</w:t>
      </w:r>
      <w:r w:rsidR="004B1FC9">
        <w:rPr>
          <w:rFonts w:cstheme="minorHAnsi"/>
          <w:sz w:val="24"/>
          <w:szCs w:val="24"/>
        </w:rPr>
        <w:tab/>
      </w:r>
    </w:p>
    <w:p w14:paraId="06068AD5"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Thomas v Thomas </w:t>
      </w:r>
      <w:r w:rsidRPr="00985C8F">
        <w:rPr>
          <w:rFonts w:cstheme="minorHAnsi"/>
          <w:sz w:val="24"/>
          <w:szCs w:val="24"/>
        </w:rPr>
        <w:t>[1842] 2 QB 851</w:t>
      </w:r>
    </w:p>
    <w:p w14:paraId="4408C62D"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Tinn v Hoffman </w:t>
      </w:r>
      <w:r w:rsidRPr="00985C8F">
        <w:rPr>
          <w:rFonts w:cstheme="minorHAnsi"/>
          <w:sz w:val="24"/>
          <w:szCs w:val="24"/>
        </w:rPr>
        <w:t>[1873] 29 LT 271</w:t>
      </w:r>
    </w:p>
    <w:p w14:paraId="1FA77A0D"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Wakeling v Ripley </w:t>
      </w:r>
      <w:r w:rsidRPr="00985C8F">
        <w:rPr>
          <w:rFonts w:cstheme="minorHAnsi"/>
          <w:sz w:val="24"/>
          <w:szCs w:val="24"/>
        </w:rPr>
        <w:t>[1951] 51 SR (NSW) 183</w:t>
      </w:r>
    </w:p>
    <w:p w14:paraId="7702060F"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Ward v Byham </w:t>
      </w:r>
      <w:r w:rsidRPr="00985C8F">
        <w:rPr>
          <w:rFonts w:cstheme="minorHAnsi"/>
          <w:sz w:val="24"/>
          <w:szCs w:val="24"/>
        </w:rPr>
        <w:t>[1956] 1 WLR 496</w:t>
      </w:r>
    </w:p>
    <w:p w14:paraId="23AF5647" w14:textId="77777777" w:rsidR="008A735F" w:rsidRPr="00985C8F" w:rsidRDefault="008A735F" w:rsidP="00985C8F">
      <w:pPr>
        <w:pStyle w:val="FootnoteText"/>
        <w:spacing w:line="360" w:lineRule="auto"/>
        <w:jc w:val="both"/>
        <w:rPr>
          <w:rFonts w:cstheme="minorHAnsi"/>
          <w:sz w:val="24"/>
          <w:szCs w:val="24"/>
        </w:rPr>
      </w:pPr>
      <w:r w:rsidRPr="00985C8F">
        <w:rPr>
          <w:rFonts w:cstheme="minorHAnsi"/>
          <w:i/>
          <w:iCs/>
          <w:sz w:val="24"/>
          <w:szCs w:val="24"/>
        </w:rPr>
        <w:t xml:space="preserve">Williams v Roffey Bros </w:t>
      </w:r>
      <w:r w:rsidRPr="00985C8F">
        <w:rPr>
          <w:rFonts w:cstheme="minorHAnsi"/>
          <w:sz w:val="24"/>
          <w:szCs w:val="24"/>
        </w:rPr>
        <w:t>[1990] 2 WLR 1153</w:t>
      </w:r>
    </w:p>
    <w:p w14:paraId="0A79B1F6" w14:textId="77777777" w:rsidR="00985C8F" w:rsidRPr="007532B2" w:rsidRDefault="00985C8F" w:rsidP="00985C8F">
      <w:pPr>
        <w:spacing w:after="0" w:line="480" w:lineRule="auto"/>
        <w:rPr>
          <w:rFonts w:ascii="Times New Roman" w:hAnsi="Times New Roman" w:cs="Times New Roman"/>
          <w:b/>
          <w:bCs/>
          <w:sz w:val="24"/>
          <w:szCs w:val="24"/>
        </w:rPr>
      </w:pPr>
    </w:p>
    <w:p w14:paraId="39B9925C" w14:textId="79ACE81B" w:rsidR="008826AD" w:rsidRPr="008826AD" w:rsidRDefault="008826AD" w:rsidP="008826AD">
      <w:pPr>
        <w:rPr>
          <w:b/>
          <w:bCs/>
        </w:rPr>
      </w:pPr>
    </w:p>
    <w:sectPr w:rsidR="008826AD" w:rsidRPr="008826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0DD0F9" w14:textId="77777777" w:rsidR="00BC0809" w:rsidRDefault="00BC0809" w:rsidP="00985C8F">
      <w:pPr>
        <w:spacing w:after="0" w:line="240" w:lineRule="auto"/>
      </w:pPr>
      <w:r>
        <w:separator/>
      </w:r>
    </w:p>
  </w:endnote>
  <w:endnote w:type="continuationSeparator" w:id="0">
    <w:p w14:paraId="182F44B3" w14:textId="77777777" w:rsidR="00BC0809" w:rsidRDefault="00BC0809" w:rsidP="00985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048A5A" w14:textId="77777777" w:rsidR="00BC0809" w:rsidRDefault="00BC0809" w:rsidP="00985C8F">
      <w:pPr>
        <w:spacing w:after="0" w:line="240" w:lineRule="auto"/>
      </w:pPr>
      <w:r>
        <w:separator/>
      </w:r>
    </w:p>
  </w:footnote>
  <w:footnote w:type="continuationSeparator" w:id="0">
    <w:p w14:paraId="020D4ADB" w14:textId="77777777" w:rsidR="00BC0809" w:rsidRDefault="00BC0809" w:rsidP="00985C8F">
      <w:pPr>
        <w:spacing w:after="0" w:line="240" w:lineRule="auto"/>
      </w:pPr>
      <w:r>
        <w:continuationSeparator/>
      </w:r>
    </w:p>
  </w:footnote>
  <w:footnote w:id="1">
    <w:p w14:paraId="7951476B"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Carlill v Carbolic Smoke Ball Company </w:t>
      </w:r>
      <w:r w:rsidRPr="007532B2">
        <w:rPr>
          <w:rFonts w:ascii="Times New Roman" w:hAnsi="Times New Roman" w:cs="Times New Roman"/>
        </w:rPr>
        <w:t>[1892] EWCA Civ 1</w:t>
      </w:r>
    </w:p>
  </w:footnote>
  <w:footnote w:id="2">
    <w:p w14:paraId="3E2DDE90"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Partridge v Crittenden </w:t>
      </w:r>
      <w:r w:rsidRPr="007532B2">
        <w:rPr>
          <w:rFonts w:ascii="Times New Roman" w:hAnsi="Times New Roman" w:cs="Times New Roman"/>
        </w:rPr>
        <w:t>[1968] 1 WLR 1204</w:t>
      </w:r>
    </w:p>
  </w:footnote>
  <w:footnote w:id="3">
    <w:p w14:paraId="00C01C8C"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Harvey v Facey </w:t>
      </w:r>
      <w:r w:rsidRPr="007532B2">
        <w:rPr>
          <w:rFonts w:ascii="Times New Roman" w:hAnsi="Times New Roman" w:cs="Times New Roman"/>
        </w:rPr>
        <w:t>[1893] AC 552</w:t>
      </w:r>
    </w:p>
  </w:footnote>
  <w:footnote w:id="4">
    <w:p w14:paraId="6513DF5A"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Harris v Nickerson </w:t>
      </w:r>
      <w:r w:rsidRPr="007532B2">
        <w:rPr>
          <w:rFonts w:ascii="Times New Roman" w:hAnsi="Times New Roman" w:cs="Times New Roman"/>
        </w:rPr>
        <w:t>[1873] LR 8 QB 286</w:t>
      </w:r>
    </w:p>
  </w:footnote>
  <w:footnote w:id="5">
    <w:p w14:paraId="466C7E40"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Tinn v Hoffman </w:t>
      </w:r>
      <w:r w:rsidRPr="007532B2">
        <w:rPr>
          <w:rFonts w:ascii="Times New Roman" w:hAnsi="Times New Roman" w:cs="Times New Roman"/>
        </w:rPr>
        <w:t>[1873] 29 LT 271</w:t>
      </w:r>
    </w:p>
  </w:footnote>
  <w:footnote w:id="6">
    <w:p w14:paraId="4B343A89"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Hadley v Baxendale</w:t>
      </w:r>
      <w:r w:rsidRPr="007532B2">
        <w:rPr>
          <w:rFonts w:ascii="Times New Roman" w:hAnsi="Times New Roman" w:cs="Times New Roman"/>
        </w:rPr>
        <w:t xml:space="preserve"> [1854] EWHC J70</w:t>
      </w:r>
    </w:p>
  </w:footnote>
  <w:footnote w:id="7">
    <w:p w14:paraId="2DB67914"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Hoenig v Isaacs </w:t>
      </w:r>
      <w:r w:rsidRPr="007532B2">
        <w:rPr>
          <w:rFonts w:ascii="Times New Roman" w:hAnsi="Times New Roman" w:cs="Times New Roman"/>
        </w:rPr>
        <w:t>[1952] 2 AII ER 176</w:t>
      </w:r>
    </w:p>
  </w:footnote>
  <w:footnote w:id="8">
    <w:p w14:paraId="4C4FCFE7"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Sadler v Reynolds </w:t>
      </w:r>
      <w:r w:rsidRPr="007532B2">
        <w:rPr>
          <w:rFonts w:ascii="Times New Roman" w:hAnsi="Times New Roman" w:cs="Times New Roman"/>
        </w:rPr>
        <w:t>[2005]</w:t>
      </w:r>
    </w:p>
  </w:footnote>
  <w:footnote w:id="9">
    <w:p w14:paraId="2CE7B061"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Merritt v Merritt </w:t>
      </w:r>
      <w:r w:rsidRPr="007532B2">
        <w:rPr>
          <w:rFonts w:ascii="Times New Roman" w:hAnsi="Times New Roman" w:cs="Times New Roman"/>
        </w:rPr>
        <w:t>[1970] 1 WLR 1211</w:t>
      </w:r>
    </w:p>
  </w:footnote>
  <w:footnote w:id="10">
    <w:p w14:paraId="4F663C73"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Wakeling v Ripley </w:t>
      </w:r>
      <w:r w:rsidRPr="007532B2">
        <w:rPr>
          <w:rFonts w:ascii="Times New Roman" w:hAnsi="Times New Roman" w:cs="Times New Roman"/>
        </w:rPr>
        <w:t>[1951] 51 SR (NSW) 183</w:t>
      </w:r>
    </w:p>
  </w:footnote>
  <w:footnote w:id="11">
    <w:p w14:paraId="2029DEFF"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Thomas v Thomas </w:t>
      </w:r>
      <w:r w:rsidRPr="007532B2">
        <w:rPr>
          <w:rFonts w:ascii="Times New Roman" w:hAnsi="Times New Roman" w:cs="Times New Roman"/>
        </w:rPr>
        <w:t>[1842] 2 QB 851</w:t>
      </w:r>
    </w:p>
  </w:footnote>
  <w:footnote w:id="12">
    <w:p w14:paraId="015CA09A"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Ward v Byham </w:t>
      </w:r>
      <w:r w:rsidRPr="007532B2">
        <w:rPr>
          <w:rFonts w:ascii="Times New Roman" w:hAnsi="Times New Roman" w:cs="Times New Roman"/>
        </w:rPr>
        <w:t>[1956] 1 WLR 496</w:t>
      </w:r>
    </w:p>
  </w:footnote>
  <w:footnote w:id="13">
    <w:p w14:paraId="5989DDC1"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Fonts w:ascii="Times New Roman" w:hAnsi="Times New Roman" w:cs="Times New Roman"/>
          <w:i/>
          <w:iCs/>
        </w:rPr>
        <w:t xml:space="preserve">Williams v Roffey Bros </w:t>
      </w:r>
      <w:r w:rsidRPr="007532B2">
        <w:rPr>
          <w:rFonts w:ascii="Times New Roman" w:hAnsi="Times New Roman" w:cs="Times New Roman"/>
        </w:rPr>
        <w:t>[1990] 2 WLR 1153</w:t>
      </w:r>
    </w:p>
  </w:footnote>
  <w:footnote w:id="14">
    <w:p w14:paraId="190D1C98" w14:textId="77777777" w:rsidR="00985C8F" w:rsidRPr="007532B2" w:rsidRDefault="00985C8F" w:rsidP="00985C8F">
      <w:pPr>
        <w:pStyle w:val="FootnoteText"/>
        <w:rPr>
          <w:rFonts w:ascii="Times New Roman" w:hAnsi="Times New Roman" w:cs="Times New Roman"/>
        </w:rPr>
      </w:pPr>
      <w:r w:rsidRPr="007532B2">
        <w:rPr>
          <w:rStyle w:val="FootnoteReference"/>
          <w:rFonts w:ascii="Times New Roman" w:hAnsi="Times New Roman" w:cs="Times New Roman"/>
        </w:rPr>
        <w:footnoteRef/>
      </w:r>
      <w:r w:rsidRPr="007532B2">
        <w:rPr>
          <w:rFonts w:ascii="Times New Roman" w:hAnsi="Times New Roman" w:cs="Times New Roman"/>
        </w:rPr>
        <w:t xml:space="preserve"> </w:t>
      </w:r>
      <w:r w:rsidRPr="007532B2">
        <w:rPr>
          <w:rStyle w:val="Emphasis"/>
          <w:rFonts w:ascii="Times New Roman" w:hAnsi="Times New Roman" w:cs="Times New Roman"/>
          <w:color w:val="000000"/>
          <w:shd w:val="clear" w:color="auto" w:fill="FFFFFF"/>
        </w:rPr>
        <w:t>Re McArdle</w:t>
      </w:r>
      <w:r w:rsidRPr="007532B2">
        <w:rPr>
          <w:rStyle w:val="Strong"/>
          <w:rFonts w:ascii="Times New Roman" w:hAnsi="Times New Roman" w:cs="Times New Roman"/>
          <w:color w:val="000000"/>
          <w:shd w:val="clear" w:color="auto" w:fill="FFFFFF"/>
        </w:rPr>
        <w:t> </w:t>
      </w:r>
      <w:r w:rsidRPr="007532B2">
        <w:rPr>
          <w:rStyle w:val="Strong"/>
          <w:rFonts w:ascii="Times New Roman" w:hAnsi="Times New Roman" w:cs="Times New Roman"/>
          <w:b w:val="0"/>
          <w:bCs w:val="0"/>
          <w:color w:val="000000"/>
          <w:shd w:val="clear" w:color="auto" w:fill="FFFFFF"/>
        </w:rPr>
        <w:t>(1951) Ch 669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6AD"/>
    <w:rsid w:val="001A6DBE"/>
    <w:rsid w:val="00206D2D"/>
    <w:rsid w:val="00396B14"/>
    <w:rsid w:val="00457235"/>
    <w:rsid w:val="004B1FC9"/>
    <w:rsid w:val="00644ECA"/>
    <w:rsid w:val="00772F82"/>
    <w:rsid w:val="008826AD"/>
    <w:rsid w:val="008A735F"/>
    <w:rsid w:val="008E6F3C"/>
    <w:rsid w:val="00985C8F"/>
    <w:rsid w:val="00A52B79"/>
    <w:rsid w:val="00BC0809"/>
    <w:rsid w:val="00C64075"/>
    <w:rsid w:val="00E46731"/>
    <w:rsid w:val="00F744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48E38"/>
  <w15:chartTrackingRefBased/>
  <w15:docId w15:val="{54FB5FE9-0CFD-47D2-8FE4-16D80A737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5C8F"/>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85C8F"/>
    <w:rPr>
      <w:sz w:val="20"/>
      <w:szCs w:val="20"/>
      <w:lang w:val="en-US"/>
    </w:rPr>
  </w:style>
  <w:style w:type="character" w:styleId="FootnoteReference">
    <w:name w:val="footnote reference"/>
    <w:basedOn w:val="DefaultParagraphFont"/>
    <w:uiPriority w:val="99"/>
    <w:semiHidden/>
    <w:unhideWhenUsed/>
    <w:rsid w:val="00985C8F"/>
    <w:rPr>
      <w:vertAlign w:val="superscript"/>
    </w:rPr>
  </w:style>
  <w:style w:type="character" w:styleId="Strong">
    <w:name w:val="Strong"/>
    <w:basedOn w:val="DefaultParagraphFont"/>
    <w:uiPriority w:val="22"/>
    <w:qFormat/>
    <w:rsid w:val="00985C8F"/>
    <w:rPr>
      <w:b/>
      <w:bCs/>
    </w:rPr>
  </w:style>
  <w:style w:type="character" w:styleId="Emphasis">
    <w:name w:val="Emphasis"/>
    <w:basedOn w:val="DefaultParagraphFont"/>
    <w:uiPriority w:val="20"/>
    <w:qFormat/>
    <w:rsid w:val="00985C8F"/>
    <w:rPr>
      <w:i/>
      <w:iCs/>
    </w:rPr>
  </w:style>
  <w:style w:type="paragraph" w:styleId="NormalWeb">
    <w:name w:val="Normal (Web)"/>
    <w:basedOn w:val="Normal"/>
    <w:uiPriority w:val="99"/>
    <w:unhideWhenUsed/>
    <w:rsid w:val="00772F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7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2373</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Mohammad</dc:creator>
  <cp:keywords/>
  <dc:description/>
  <cp:lastModifiedBy>Ibrahim Mohammad</cp:lastModifiedBy>
  <cp:revision>7</cp:revision>
  <dcterms:created xsi:type="dcterms:W3CDTF">2021-03-03T13:18:00Z</dcterms:created>
  <dcterms:modified xsi:type="dcterms:W3CDTF">2021-03-03T13:26:00Z</dcterms:modified>
</cp:coreProperties>
</file>