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FB8595" w14:textId="77777777" w:rsidR="005C2687" w:rsidRDefault="005C2687" w:rsidP="005C2687">
      <w:pPr>
        <w:spacing w:after="160" w:line="254" w:lineRule="auto"/>
        <w:rPr>
          <w:rFonts w:ascii="Calibri" w:eastAsiaTheme="minorHAnsi" w:hAnsi="Calibri" w:cs="Calibri"/>
          <w:kern w:val="2"/>
          <w:lang w:eastAsia="en-US"/>
          <w14:ligatures w14:val="standardContextual"/>
        </w:rPr>
      </w:pPr>
      <w:r>
        <w:rPr>
          <w:rFonts w:ascii="Abadi" w:eastAsiaTheme="minorHAnsi" w:hAnsi="Abadi" w:cs="Calibri"/>
          <w:b/>
          <w:bCs/>
          <w:kern w:val="2"/>
          <w:sz w:val="24"/>
          <w:szCs w:val="24"/>
          <w:u w:val="single"/>
          <w:lang w:eastAsia="en-US"/>
          <w14:ligatures w14:val="standardContextual"/>
        </w:rPr>
        <w:t xml:space="preserve">Student: </w:t>
      </w:r>
      <w:r>
        <w:rPr>
          <w:rFonts w:ascii="Abadi" w:eastAsiaTheme="minorHAnsi" w:hAnsi="Abadi" w:cs="Calibri"/>
          <w:b/>
          <w:bCs/>
          <w:kern w:val="2"/>
          <w:sz w:val="24"/>
          <w:szCs w:val="24"/>
          <w:lang w:eastAsia="en-US"/>
          <w14:ligatures w14:val="standardContextual"/>
        </w:rPr>
        <w:t>Vasile Aurel Cristescu</w:t>
      </w:r>
    </w:p>
    <w:p w14:paraId="7D409A03" w14:textId="77777777" w:rsidR="005C2687" w:rsidRDefault="005C2687" w:rsidP="005C2687">
      <w:pPr>
        <w:spacing w:after="160" w:line="254" w:lineRule="auto"/>
        <w:rPr>
          <w:rFonts w:ascii="Calibri" w:eastAsiaTheme="minorHAnsi" w:hAnsi="Calibri" w:cs="Calibri"/>
          <w:kern w:val="2"/>
          <w:lang w:eastAsia="en-US"/>
          <w14:ligatures w14:val="standardContextual"/>
        </w:rPr>
      </w:pPr>
      <w:r>
        <w:rPr>
          <w:rFonts w:ascii="Abadi" w:eastAsiaTheme="minorHAnsi" w:hAnsi="Abadi" w:cs="Calibri"/>
          <w:b/>
          <w:bCs/>
          <w:kern w:val="2"/>
          <w:sz w:val="24"/>
          <w:szCs w:val="24"/>
          <w:u w:val="single"/>
          <w:lang w:eastAsia="en-US"/>
          <w14:ligatures w14:val="standardContextual"/>
        </w:rPr>
        <w:t xml:space="preserve">Student number:  </w:t>
      </w:r>
      <w:r>
        <w:rPr>
          <w:rFonts w:ascii="Abadi" w:eastAsiaTheme="minorHAnsi" w:hAnsi="Abadi" w:cs="Calibri"/>
          <w:b/>
          <w:bCs/>
          <w:kern w:val="2"/>
          <w:sz w:val="24"/>
          <w:szCs w:val="24"/>
          <w:lang w:eastAsia="en-US"/>
          <w14:ligatures w14:val="standardContextual"/>
        </w:rPr>
        <w:t>2228672</w:t>
      </w:r>
    </w:p>
    <w:p w14:paraId="32617315" w14:textId="77777777" w:rsidR="005C2687" w:rsidRDefault="005C2687" w:rsidP="005C2687">
      <w:pPr>
        <w:spacing w:after="160" w:line="254" w:lineRule="auto"/>
        <w:rPr>
          <w:rFonts w:ascii="Calibri" w:eastAsiaTheme="minorHAnsi" w:hAnsi="Calibri" w:cs="Calibri"/>
          <w:kern w:val="2"/>
          <w:lang w:eastAsia="en-US"/>
          <w14:ligatures w14:val="standardContextual"/>
        </w:rPr>
      </w:pPr>
      <w:r>
        <w:rPr>
          <w:rFonts w:ascii="Abadi" w:eastAsiaTheme="minorHAnsi" w:hAnsi="Abadi" w:cs="Calibri"/>
          <w:b/>
          <w:bCs/>
          <w:kern w:val="2"/>
          <w:sz w:val="24"/>
          <w:szCs w:val="24"/>
          <w:u w:val="single"/>
          <w:lang w:eastAsia="en-US"/>
          <w14:ligatures w14:val="standardContextual"/>
        </w:rPr>
        <w:t xml:space="preserve">Programme: </w:t>
      </w:r>
      <w:r>
        <w:rPr>
          <w:rFonts w:ascii="Abadi" w:eastAsiaTheme="minorHAnsi" w:hAnsi="Abadi" w:cs="Calibri"/>
          <w:b/>
          <w:bCs/>
          <w:kern w:val="2"/>
          <w:sz w:val="24"/>
          <w:szCs w:val="24"/>
          <w:lang w:eastAsia="en-US"/>
          <w14:ligatures w14:val="standardContextual"/>
        </w:rPr>
        <w:t>Public Services Portfolio</w:t>
      </w:r>
    </w:p>
    <w:p w14:paraId="5F88A832" w14:textId="77777777" w:rsidR="005C2687" w:rsidRDefault="005C2687" w:rsidP="005C2687">
      <w:pPr>
        <w:spacing w:after="160" w:line="254" w:lineRule="auto"/>
        <w:rPr>
          <w:rFonts w:ascii="Calibri" w:eastAsiaTheme="minorHAnsi" w:hAnsi="Calibri" w:cs="Calibri"/>
          <w:kern w:val="2"/>
          <w:lang w:eastAsia="en-US"/>
          <w14:ligatures w14:val="standardContextual"/>
        </w:rPr>
      </w:pPr>
      <w:r>
        <w:rPr>
          <w:rFonts w:ascii="Abadi" w:eastAsiaTheme="minorHAnsi" w:hAnsi="Abadi" w:cs="Calibri"/>
          <w:b/>
          <w:bCs/>
          <w:kern w:val="2"/>
          <w:sz w:val="24"/>
          <w:szCs w:val="24"/>
          <w:u w:val="single"/>
          <w:lang w:eastAsia="en-US"/>
          <w14:ligatures w14:val="standardContextual"/>
        </w:rPr>
        <w:t xml:space="preserve">Module: </w:t>
      </w:r>
      <w:r>
        <w:rPr>
          <w:rFonts w:ascii="Abadi" w:eastAsiaTheme="minorHAnsi" w:hAnsi="Abadi" w:cs="Calibri"/>
          <w:b/>
          <w:bCs/>
          <w:kern w:val="2"/>
          <w:sz w:val="24"/>
          <w:szCs w:val="24"/>
          <w:lang w:eastAsia="en-US"/>
          <w14:ligatures w14:val="standardContextual"/>
        </w:rPr>
        <w:t>Criminal Law</w:t>
      </w:r>
    </w:p>
    <w:p w14:paraId="18A96F84" w14:textId="77777777" w:rsidR="005C2687" w:rsidRDefault="005C2687" w:rsidP="005C2687">
      <w:pPr>
        <w:spacing w:after="160" w:line="254" w:lineRule="auto"/>
        <w:rPr>
          <w:rFonts w:ascii="Calibri" w:eastAsiaTheme="minorHAnsi" w:hAnsi="Calibri" w:cs="Calibri"/>
          <w:kern w:val="2"/>
          <w:lang w:eastAsia="en-US"/>
          <w14:ligatures w14:val="standardContextual"/>
        </w:rPr>
      </w:pPr>
      <w:r>
        <w:rPr>
          <w:rFonts w:ascii="Abadi" w:eastAsiaTheme="minorHAnsi" w:hAnsi="Abadi" w:cs="Calibri"/>
          <w:b/>
          <w:bCs/>
          <w:kern w:val="2"/>
          <w:sz w:val="24"/>
          <w:szCs w:val="24"/>
          <w:u w:val="single"/>
          <w:lang w:eastAsia="en-US"/>
          <w14:ligatures w14:val="standardContextual"/>
        </w:rPr>
        <w:t xml:space="preserve">Module Cod: </w:t>
      </w:r>
      <w:r>
        <w:rPr>
          <w:rFonts w:ascii="Abadi" w:eastAsiaTheme="minorHAnsi" w:hAnsi="Abadi" w:cs="Calibri"/>
          <w:b/>
          <w:bCs/>
          <w:kern w:val="2"/>
          <w:sz w:val="24"/>
          <w:szCs w:val="24"/>
          <w:lang w:eastAsia="en-US"/>
          <w14:ligatures w14:val="standardContextual"/>
        </w:rPr>
        <w:t>BMPL4009</w:t>
      </w:r>
    </w:p>
    <w:p w14:paraId="3727DD44" w14:textId="77777777" w:rsidR="005C2687" w:rsidRDefault="005C2687" w:rsidP="005C2687">
      <w:pPr>
        <w:spacing w:after="160" w:line="254" w:lineRule="auto"/>
        <w:rPr>
          <w:rFonts w:ascii="Calibri" w:eastAsiaTheme="minorHAnsi" w:hAnsi="Calibri" w:cs="Calibri"/>
          <w:kern w:val="2"/>
          <w:lang w:eastAsia="en-US"/>
          <w14:ligatures w14:val="standardContextual"/>
        </w:rPr>
      </w:pPr>
      <w:r>
        <w:rPr>
          <w:rFonts w:ascii="Abadi" w:eastAsiaTheme="minorHAnsi" w:hAnsi="Abadi" w:cs="Calibri"/>
          <w:b/>
          <w:bCs/>
          <w:kern w:val="2"/>
          <w:sz w:val="24"/>
          <w:szCs w:val="24"/>
          <w:u w:val="single"/>
          <w:lang w:eastAsia="en-US"/>
          <w14:ligatures w14:val="standardContextual"/>
        </w:rPr>
        <w:t xml:space="preserve">Lecturer: </w:t>
      </w:r>
      <w:r>
        <w:rPr>
          <w:rFonts w:ascii="Abadi" w:eastAsiaTheme="minorHAnsi" w:hAnsi="Abadi" w:cs="Calibri"/>
          <w:b/>
          <w:bCs/>
          <w:kern w:val="2"/>
          <w:sz w:val="24"/>
          <w:szCs w:val="24"/>
          <w:lang w:eastAsia="en-US"/>
          <w14:ligatures w14:val="standardContextual"/>
        </w:rPr>
        <w:t>Laura Humphries</w:t>
      </w:r>
    </w:p>
    <w:p w14:paraId="0F604A08" w14:textId="77777777" w:rsidR="005C2687" w:rsidRDefault="005C2687" w:rsidP="005C2687">
      <w:pPr>
        <w:spacing w:after="160" w:line="254" w:lineRule="auto"/>
        <w:rPr>
          <w:rFonts w:ascii="Calibri" w:eastAsiaTheme="minorHAnsi" w:hAnsi="Calibri" w:cs="Calibri"/>
          <w:kern w:val="2"/>
          <w:lang w:eastAsia="en-US"/>
          <w14:ligatures w14:val="standardContextual"/>
        </w:rPr>
      </w:pPr>
      <w:r>
        <w:rPr>
          <w:rFonts w:ascii="Abadi" w:eastAsiaTheme="minorHAnsi" w:hAnsi="Abadi" w:cs="Calibri"/>
          <w:b/>
          <w:bCs/>
          <w:kern w:val="2"/>
          <w:sz w:val="24"/>
          <w:szCs w:val="24"/>
          <w:u w:val="single"/>
          <w:lang w:eastAsia="en-US"/>
          <w14:ligatures w14:val="standardContextual"/>
        </w:rPr>
        <w:t>Assignment Title:</w:t>
      </w:r>
      <w:r>
        <w:rPr>
          <w:rFonts w:ascii="Abadi" w:eastAsiaTheme="minorHAnsi" w:hAnsi="Abadi" w:cs="Calibri"/>
          <w:b/>
          <w:bCs/>
          <w:kern w:val="2"/>
          <w:sz w:val="24"/>
          <w:szCs w:val="24"/>
          <w:lang w:eastAsia="en-US"/>
          <w14:ligatures w14:val="standardContextual"/>
        </w:rPr>
        <w:t xml:space="preserve"> Consent and its role in cases involving battery.</w:t>
      </w:r>
    </w:p>
    <w:p w14:paraId="7C04BD97" w14:textId="77777777" w:rsidR="005C2687" w:rsidRDefault="005C2687" w:rsidP="005C2687">
      <w:pPr>
        <w:spacing w:after="160" w:line="254" w:lineRule="auto"/>
        <w:rPr>
          <w:rFonts w:ascii="Calibri" w:eastAsiaTheme="minorHAnsi" w:hAnsi="Calibri" w:cs="Calibri"/>
          <w:kern w:val="2"/>
          <w:lang w:eastAsia="en-US"/>
          <w14:ligatures w14:val="standardContextual"/>
        </w:rPr>
      </w:pPr>
      <w:r>
        <w:rPr>
          <w:rFonts w:ascii="Abadi" w:eastAsiaTheme="minorHAnsi" w:hAnsi="Abadi" w:cs="Calibri"/>
          <w:b/>
          <w:bCs/>
          <w:kern w:val="2"/>
          <w:sz w:val="24"/>
          <w:szCs w:val="24"/>
          <w:lang w:eastAsia="en-US"/>
          <w14:ligatures w14:val="standardContextual"/>
        </w:rPr>
        <w:t> </w:t>
      </w:r>
    </w:p>
    <w:p w14:paraId="5CEA3BE5" w14:textId="77777777" w:rsidR="005C2687" w:rsidRDefault="005C2687" w:rsidP="005C2687">
      <w:pPr>
        <w:spacing w:after="160" w:line="254" w:lineRule="auto"/>
        <w:rPr>
          <w:rFonts w:ascii="Calibri" w:eastAsiaTheme="minorHAnsi" w:hAnsi="Calibri" w:cs="Calibri"/>
          <w:kern w:val="2"/>
          <w:lang w:eastAsia="en-US"/>
          <w14:ligatures w14:val="standardContextual"/>
        </w:rPr>
      </w:pPr>
      <w:r>
        <w:rPr>
          <w:rFonts w:ascii="Abadi" w:eastAsiaTheme="minorHAnsi" w:hAnsi="Abadi" w:cs="Calibri"/>
          <w:b/>
          <w:bCs/>
          <w:kern w:val="2"/>
          <w:sz w:val="24"/>
          <w:szCs w:val="24"/>
          <w:lang w:eastAsia="en-US"/>
          <w14:ligatures w14:val="standardContextual"/>
        </w:rPr>
        <w:t> </w:t>
      </w:r>
    </w:p>
    <w:p w14:paraId="2108ABB7" w14:textId="77777777" w:rsidR="005C2687" w:rsidRDefault="005C2687" w:rsidP="005C2687">
      <w:pPr>
        <w:spacing w:after="160" w:line="254" w:lineRule="auto"/>
        <w:rPr>
          <w:rFonts w:ascii="Calibri" w:eastAsiaTheme="minorHAnsi" w:hAnsi="Calibri" w:cs="Calibri"/>
          <w:kern w:val="2"/>
          <w:lang w:eastAsia="en-US"/>
          <w14:ligatures w14:val="standardContextual"/>
        </w:rPr>
      </w:pPr>
      <w:r>
        <w:rPr>
          <w:rFonts w:ascii="Abadi" w:eastAsiaTheme="minorHAnsi" w:hAnsi="Abadi" w:cs="Calibri"/>
          <w:b/>
          <w:bCs/>
          <w:kern w:val="2"/>
          <w:sz w:val="24"/>
          <w:szCs w:val="24"/>
          <w:lang w:eastAsia="en-US"/>
          <w14:ligatures w14:val="standardContextual"/>
        </w:rPr>
        <w:t> </w:t>
      </w:r>
    </w:p>
    <w:p w14:paraId="64B0580E" w14:textId="77777777" w:rsidR="005C2687" w:rsidRDefault="005C2687" w:rsidP="005C2687">
      <w:pPr>
        <w:spacing w:after="160" w:line="254" w:lineRule="auto"/>
        <w:rPr>
          <w:rFonts w:ascii="Calibri" w:eastAsiaTheme="minorHAnsi" w:hAnsi="Calibri" w:cs="Calibri"/>
          <w:kern w:val="2"/>
          <w:lang w:eastAsia="en-US"/>
          <w14:ligatures w14:val="standardContextual"/>
        </w:rPr>
      </w:pPr>
      <w:r>
        <w:rPr>
          <w:rFonts w:ascii="Abadi" w:eastAsiaTheme="minorHAnsi" w:hAnsi="Abadi" w:cs="Calibri"/>
          <w:b/>
          <w:bCs/>
          <w:kern w:val="2"/>
          <w:sz w:val="24"/>
          <w:szCs w:val="24"/>
          <w:lang w:eastAsia="en-US"/>
          <w14:ligatures w14:val="standardContextual"/>
        </w:rPr>
        <w:t xml:space="preserve">Introduction: </w:t>
      </w:r>
    </w:p>
    <w:p w14:paraId="5C2F035A" w14:textId="77777777" w:rsidR="005C2687" w:rsidRDefault="005C2687" w:rsidP="005C2687">
      <w:pPr>
        <w:spacing w:after="160" w:line="254" w:lineRule="auto"/>
        <w:rPr>
          <w:rFonts w:ascii="Calibri" w:eastAsiaTheme="minorHAnsi" w:hAnsi="Calibri" w:cs="Calibri"/>
          <w:kern w:val="2"/>
          <w:lang w:eastAsia="en-US"/>
          <w14:ligatures w14:val="standardContextual"/>
        </w:rPr>
      </w:pPr>
      <w:r>
        <w:rPr>
          <w:rFonts w:ascii="Abadi" w:eastAsiaTheme="minorHAnsi" w:hAnsi="Abadi" w:cs="Calibri"/>
          <w:kern w:val="2"/>
          <w:sz w:val="24"/>
          <w:szCs w:val="24"/>
          <w:lang w:eastAsia="en-US"/>
          <w14:ligatures w14:val="standardContextual"/>
        </w:rPr>
        <w:t> </w:t>
      </w:r>
    </w:p>
    <w:p w14:paraId="12A06D9D" w14:textId="77777777" w:rsidR="005C2687" w:rsidRDefault="005C2687" w:rsidP="005C2687">
      <w:pPr>
        <w:spacing w:after="160" w:line="254" w:lineRule="auto"/>
        <w:rPr>
          <w:rFonts w:ascii="Calibri" w:eastAsiaTheme="minorHAnsi" w:hAnsi="Calibri" w:cs="Calibri"/>
          <w:kern w:val="2"/>
          <w:lang w:eastAsia="en-US"/>
          <w14:ligatures w14:val="standardContextual"/>
        </w:rPr>
      </w:pPr>
      <w:r>
        <w:rPr>
          <w:rFonts w:ascii="Abadi" w:eastAsiaTheme="minorHAnsi" w:hAnsi="Abadi" w:cs="Calibri"/>
          <w:kern w:val="2"/>
          <w:sz w:val="24"/>
          <w:szCs w:val="24"/>
          <w:lang w:eastAsia="en-US"/>
          <w14:ligatures w14:val="standardContextual"/>
        </w:rPr>
        <w:t>Battery cases involving issues of consent are complex legal matters that require a careful examination of the underlying principles. Consent serves as a pivotal factor in determining whether a physical contact can be classified as a battery or a permissible act. However, understanding the nuances of consent within the context of battery cases is crucial to protect personal autonomy and bodily integrity. This essay aims to delve into the legal framework surrounding consent in battery cases, explore the burden of proof on consent, and discuss the implications for personal autonomy and bodily integrity. By examining these aspects, we can gain a deeper understanding of the role of consent in battery cases and its broader societal significance.</w:t>
      </w:r>
    </w:p>
    <w:p w14:paraId="2F99D250" w14:textId="77777777" w:rsidR="005C2687" w:rsidRDefault="005C2687" w:rsidP="005C2687">
      <w:pPr>
        <w:spacing w:after="160" w:line="254" w:lineRule="auto"/>
        <w:rPr>
          <w:rFonts w:ascii="Calibri" w:eastAsiaTheme="minorHAnsi" w:hAnsi="Calibri" w:cs="Calibri"/>
          <w:kern w:val="2"/>
          <w:lang w:eastAsia="en-US"/>
          <w14:ligatures w14:val="standardContextual"/>
        </w:rPr>
      </w:pPr>
      <w:r>
        <w:rPr>
          <w:rFonts w:ascii="Abadi" w:eastAsiaTheme="minorHAnsi" w:hAnsi="Abadi" w:cs="Calibri"/>
          <w:kern w:val="2"/>
          <w:sz w:val="24"/>
          <w:szCs w:val="24"/>
          <w:lang w:eastAsia="en-US"/>
          <w14:ligatures w14:val="standardContextual"/>
        </w:rPr>
        <w:t> </w:t>
      </w:r>
    </w:p>
    <w:p w14:paraId="3B261C55" w14:textId="77777777" w:rsidR="005C2687" w:rsidRDefault="005C2687" w:rsidP="005C2687">
      <w:pPr>
        <w:spacing w:after="160" w:line="254" w:lineRule="auto"/>
        <w:rPr>
          <w:rFonts w:ascii="Calibri" w:eastAsiaTheme="minorHAnsi" w:hAnsi="Calibri" w:cs="Calibri"/>
          <w:kern w:val="2"/>
          <w:lang w:eastAsia="en-US"/>
          <w14:ligatures w14:val="standardContextual"/>
        </w:rPr>
      </w:pPr>
      <w:r>
        <w:rPr>
          <w:rFonts w:ascii="Abadi" w:eastAsiaTheme="minorHAnsi" w:hAnsi="Abadi" w:cs="Calibri"/>
          <w:b/>
          <w:bCs/>
          <w:kern w:val="2"/>
          <w:sz w:val="24"/>
          <w:szCs w:val="24"/>
          <w:lang w:eastAsia="en-US"/>
          <w14:ligatures w14:val="standardContextual"/>
        </w:rPr>
        <w:t>Paragraph 1: Defining Battery and Consent,</w:t>
      </w:r>
    </w:p>
    <w:p w14:paraId="4019B77B" w14:textId="77777777" w:rsidR="005C2687" w:rsidRDefault="005C2687" w:rsidP="005C2687">
      <w:pPr>
        <w:spacing w:after="160" w:line="254" w:lineRule="auto"/>
        <w:rPr>
          <w:rFonts w:ascii="Calibri" w:eastAsiaTheme="minorHAnsi" w:hAnsi="Calibri" w:cs="Calibri"/>
          <w:kern w:val="2"/>
          <w:lang w:eastAsia="en-US"/>
          <w14:ligatures w14:val="standardContextual"/>
        </w:rPr>
      </w:pPr>
      <w:r>
        <w:rPr>
          <w:rFonts w:ascii="Abadi" w:eastAsiaTheme="minorHAnsi" w:hAnsi="Abadi" w:cs="Calibri"/>
          <w:kern w:val="2"/>
          <w:sz w:val="24"/>
          <w:szCs w:val="24"/>
          <w:lang w:eastAsia="en-US"/>
          <w14:ligatures w14:val="standardContextual"/>
        </w:rPr>
        <w:t xml:space="preserve">Battery is a form of civil assault that requires the intentional touching of another person without their consent (Dressler, 2017). Consent, on the other hand, refers to the voluntary agreement or permission given by an individual to engage in a particular activity. In the context of battery, consent serves as a crucial element in determining the lawfulness of the physical contact. Without valid consent, any intentional touching may be considered battery, subject to legal consequences. The requirement for consent in cases involving battery arises from the principle of bodily autonomy. Individuals have the right to determine what happens to their bodies and should have the power to grant or withhold consent for physical contact. To establish valid consent, four key elements must be present: voluntariness, capacity, knowledge, and authorization (Gardner, 2015). Voluntariness ensures that consent is given freely, without coercion or duress. Capacity refers to the ability to understand the nature and consequences of the contact. Knowledge entails being fully informed about the act being consented to, including its potential risks and ramifications. Authorization means the consent is specific to the act performed and does not extend beyond what was agreed upon. </w:t>
      </w:r>
    </w:p>
    <w:p w14:paraId="35A0B1EA" w14:textId="77777777" w:rsidR="005C2687" w:rsidRDefault="005C2687" w:rsidP="005C2687">
      <w:pPr>
        <w:spacing w:after="160" w:line="254" w:lineRule="auto"/>
        <w:rPr>
          <w:rFonts w:ascii="Calibri" w:eastAsiaTheme="minorHAnsi" w:hAnsi="Calibri" w:cs="Calibri"/>
          <w:kern w:val="2"/>
          <w:lang w:eastAsia="en-US"/>
          <w14:ligatures w14:val="standardContextual"/>
        </w:rPr>
      </w:pPr>
      <w:r>
        <w:rPr>
          <w:rFonts w:ascii="Abadi" w:eastAsiaTheme="minorHAnsi" w:hAnsi="Abadi" w:cs="Calibri"/>
          <w:b/>
          <w:bCs/>
          <w:kern w:val="2"/>
          <w:sz w:val="24"/>
          <w:szCs w:val="24"/>
          <w:lang w:eastAsia="en-US"/>
          <w14:ligatures w14:val="standardContextual"/>
        </w:rPr>
        <w:t>Paragraph 2: The Role of Consent in Establishing Liability,</w:t>
      </w:r>
    </w:p>
    <w:p w14:paraId="70D63BBE" w14:textId="77777777" w:rsidR="005C2687" w:rsidRDefault="005C2687" w:rsidP="005C2687">
      <w:pPr>
        <w:spacing w:after="160" w:line="254" w:lineRule="auto"/>
        <w:rPr>
          <w:rFonts w:ascii="Calibri" w:eastAsiaTheme="minorHAnsi" w:hAnsi="Calibri" w:cs="Calibri"/>
          <w:kern w:val="2"/>
          <w:lang w:eastAsia="en-US"/>
          <w14:ligatures w14:val="standardContextual"/>
        </w:rPr>
      </w:pPr>
      <w:r>
        <w:rPr>
          <w:rFonts w:ascii="Abadi" w:eastAsiaTheme="minorHAnsi" w:hAnsi="Abadi" w:cs="Calibri"/>
          <w:kern w:val="2"/>
          <w:sz w:val="24"/>
          <w:szCs w:val="24"/>
          <w:lang w:eastAsia="en-US"/>
          <w14:ligatures w14:val="standardContextual"/>
        </w:rPr>
        <w:lastRenderedPageBreak/>
        <w:t xml:space="preserve"> In cases involving battery, the presence or absence of valid consent has a direct impact on establishing liability for the accused party. Consent acts as a defence against allegations of battery, providing a legal basis for justifying the otherwise intentional physical contact. The burden of proof lies with the defendant to demonstrate that the alleged victim provided valid consent for the act (McAdams, 2018). If the defendant can establish that the complainant willingly and knowingly consented to the contact, their actions may be considered lawful and non-liable for battery. However, it is crucial to note that consent must be obtained in a genuine and authentic manner, free from coercion or deceit (Cohen, 2020). Consent obtained through fraud, undue influence, or misrepresentation would not be considered valid, and the act could still be deemed as battery. Furthermore, consent given under threat or duress is not considered genuine consent, as it lacks the voluntariness essential for its validity (Fletcher, 2017). Therefore, consent must be voluntarily given without any form of pressure to ensure its legal effectiveness. </w:t>
      </w:r>
    </w:p>
    <w:p w14:paraId="65BECAC7" w14:textId="77777777" w:rsidR="005C2687" w:rsidRDefault="005C2687" w:rsidP="005C2687">
      <w:pPr>
        <w:spacing w:after="160" w:line="254" w:lineRule="auto"/>
        <w:rPr>
          <w:rFonts w:ascii="Calibri" w:eastAsiaTheme="minorHAnsi" w:hAnsi="Calibri" w:cs="Calibri"/>
          <w:kern w:val="2"/>
          <w:lang w:eastAsia="en-US"/>
          <w14:ligatures w14:val="standardContextual"/>
        </w:rPr>
      </w:pPr>
      <w:r>
        <w:rPr>
          <w:rFonts w:ascii="Abadi" w:eastAsiaTheme="minorHAnsi" w:hAnsi="Abadi" w:cs="Calibri"/>
          <w:b/>
          <w:bCs/>
          <w:kern w:val="2"/>
          <w:sz w:val="24"/>
          <w:szCs w:val="24"/>
          <w:lang w:eastAsia="en-US"/>
          <w14:ligatures w14:val="standardContextual"/>
        </w:rPr>
        <w:t xml:space="preserve">Paragraph 3: Informed Consent and Battery in Medical Contexts, </w:t>
      </w:r>
    </w:p>
    <w:p w14:paraId="63761DB7" w14:textId="77777777" w:rsidR="005C2687" w:rsidRDefault="005C2687" w:rsidP="005C2687">
      <w:pPr>
        <w:spacing w:after="160" w:line="254" w:lineRule="auto"/>
        <w:rPr>
          <w:rFonts w:ascii="Calibri" w:eastAsiaTheme="minorHAnsi" w:hAnsi="Calibri" w:cs="Calibri"/>
          <w:kern w:val="2"/>
          <w:lang w:eastAsia="en-US"/>
          <w14:ligatures w14:val="standardContextual"/>
        </w:rPr>
      </w:pPr>
      <w:r>
        <w:rPr>
          <w:rFonts w:ascii="Abadi" w:eastAsiaTheme="minorHAnsi" w:hAnsi="Abadi" w:cs="Calibri"/>
          <w:kern w:val="2"/>
          <w:sz w:val="24"/>
          <w:szCs w:val="24"/>
          <w:lang w:eastAsia="en-US"/>
          <w14:ligatures w14:val="standardContextual"/>
        </w:rPr>
        <w:t> In medical contexts, the concept of informed consent becomes particularly significant in cases involving battery. Medical battery occurs when a healthcare professional performs a medical intervention on a patient without their informed consent (Buchanan &amp; Brock, 2019). In these cases, the lack of consent renders the medical intervention unlawful, even if it was well-intentioned or medically beneficial. To ensure valid informed consent, healthcare providers have an ethical and legal obligation to fully inform patients about the nature, purpose, risks, benefits, and alternatives of proposed medical interventions (Beauchamp &amp; Childress, 2019). This enables patients to make autonomous decisions regarding their healthcare. When this information is not adequately provided, or patients are coerced into consenting, the boundaries of medical ethics are breached, and potential legal ramifications can arise.</w:t>
      </w:r>
    </w:p>
    <w:p w14:paraId="455EE520" w14:textId="77777777" w:rsidR="005C2687" w:rsidRDefault="005C2687" w:rsidP="005C2687">
      <w:pPr>
        <w:spacing w:after="160" w:line="254" w:lineRule="auto"/>
        <w:rPr>
          <w:rFonts w:ascii="Calibri" w:eastAsiaTheme="minorHAnsi" w:hAnsi="Calibri" w:cs="Calibri"/>
          <w:kern w:val="2"/>
          <w:lang w:eastAsia="en-US"/>
          <w14:ligatures w14:val="standardContextual"/>
        </w:rPr>
      </w:pPr>
      <w:r>
        <w:rPr>
          <w:rFonts w:ascii="Abadi" w:eastAsiaTheme="minorHAnsi" w:hAnsi="Abadi" w:cs="Calibri"/>
          <w:b/>
          <w:bCs/>
          <w:kern w:val="2"/>
          <w:sz w:val="24"/>
          <w:szCs w:val="24"/>
          <w:lang w:eastAsia="en-US"/>
          <w14:ligatures w14:val="standardContextual"/>
        </w:rPr>
        <w:t>Paragraph 4: The Legal Framework of Consent in Battery Cases,</w:t>
      </w:r>
    </w:p>
    <w:p w14:paraId="6488C8D3" w14:textId="77777777" w:rsidR="005C2687" w:rsidRDefault="005C2687" w:rsidP="005C2687">
      <w:pPr>
        <w:spacing w:after="160" w:line="254" w:lineRule="auto"/>
        <w:rPr>
          <w:rFonts w:ascii="Calibri" w:eastAsiaTheme="minorHAnsi" w:hAnsi="Calibri" w:cs="Calibri"/>
          <w:kern w:val="2"/>
          <w:lang w:eastAsia="en-US"/>
          <w14:ligatures w14:val="standardContextual"/>
        </w:rPr>
      </w:pPr>
      <w:r>
        <w:rPr>
          <w:rFonts w:ascii="Abadi" w:eastAsiaTheme="minorHAnsi" w:hAnsi="Abadi" w:cs="Calibri"/>
          <w:kern w:val="2"/>
          <w:sz w:val="24"/>
          <w:szCs w:val="24"/>
          <w:lang w:eastAsia="en-US"/>
          <w14:ligatures w14:val="standardContextual"/>
        </w:rPr>
        <w:t> In legal terms, consent acts as a defence against an allegation of battery. However, it is essential to understand that not all forms of consent are valid. The legal framework surrounding consent in battery cases varies across jurisdictions but generally requires evidence that the consent was informed, freely given, and obtained from a competent individual. Courts often consider factors like age, mental capacity, and the presence of coercion or fraud in evaluating the validity of consent (Kaye et al., 2016). Moreover, consent can be withdrawn at any time, rendering any further physical contact without consent as potential battery. The responsibility lies with the person initiating the physical contact to ensure ongoing consent throughout the interaction. Failure to obtain ongoing consent or disregarding its withdrawal may result in legal consequences.</w:t>
      </w:r>
    </w:p>
    <w:p w14:paraId="6E8D3C70" w14:textId="77777777" w:rsidR="005C2687" w:rsidRDefault="005C2687" w:rsidP="005C2687">
      <w:pPr>
        <w:spacing w:after="160" w:line="254" w:lineRule="auto"/>
        <w:rPr>
          <w:rFonts w:ascii="Calibri" w:eastAsiaTheme="minorHAnsi" w:hAnsi="Calibri" w:cs="Calibri"/>
          <w:kern w:val="2"/>
          <w:lang w:eastAsia="en-US"/>
          <w14:ligatures w14:val="standardContextual"/>
        </w:rPr>
      </w:pPr>
      <w:r>
        <w:rPr>
          <w:rFonts w:ascii="Abadi" w:eastAsiaTheme="minorHAnsi" w:hAnsi="Abadi" w:cs="Calibri"/>
          <w:b/>
          <w:bCs/>
          <w:kern w:val="2"/>
          <w:sz w:val="24"/>
          <w:szCs w:val="24"/>
          <w:lang w:eastAsia="en-US"/>
          <w14:ligatures w14:val="standardContextual"/>
        </w:rPr>
        <w:t>Paragraph 5: The Burden of Proof on Consent in Battery Cases,</w:t>
      </w:r>
    </w:p>
    <w:p w14:paraId="3B548335" w14:textId="77777777" w:rsidR="005C2687" w:rsidRDefault="005C2687" w:rsidP="005C2687">
      <w:pPr>
        <w:spacing w:after="160" w:line="254" w:lineRule="auto"/>
        <w:rPr>
          <w:rFonts w:ascii="Calibri" w:eastAsiaTheme="minorHAnsi" w:hAnsi="Calibri" w:cs="Calibri"/>
          <w:kern w:val="2"/>
          <w:lang w:eastAsia="en-US"/>
          <w14:ligatures w14:val="standardContextual"/>
        </w:rPr>
      </w:pPr>
      <w:r>
        <w:rPr>
          <w:rFonts w:ascii="Abadi" w:eastAsiaTheme="minorHAnsi" w:hAnsi="Abadi" w:cs="Calibri"/>
          <w:kern w:val="2"/>
          <w:sz w:val="24"/>
          <w:szCs w:val="24"/>
          <w:lang w:eastAsia="en-US"/>
          <w14:ligatures w14:val="standardContextual"/>
        </w:rPr>
        <w:t xml:space="preserve">The burden of proof in battery cases lies with the plaintiff, who must demonstrate that the physical contact occurred without their consent (Swanson &amp; Territo, 2020). Establishing lack of consent can be challenging, as it often involves evaluating subjective intentions and interpretations. Courts may look for supporting evidence such as witness testimonies, medical records, or audiovisual recordings to determine the absence of consent. In some cases, the burden of proving consent may shift to the </w:t>
      </w:r>
      <w:r>
        <w:rPr>
          <w:rFonts w:ascii="Abadi" w:eastAsiaTheme="minorHAnsi" w:hAnsi="Abadi" w:cs="Calibri"/>
          <w:kern w:val="2"/>
          <w:sz w:val="24"/>
          <w:szCs w:val="24"/>
          <w:lang w:eastAsia="en-US"/>
          <w14:ligatures w14:val="standardContextual"/>
        </w:rPr>
        <w:lastRenderedPageBreak/>
        <w:t>defendant if they assert that the plaintiff did, in fact, give consent. This places the onus on the defendant to provide evidence of valid consent, typically through testimony, documented agreements, or other forms of corroborating evidence.</w:t>
      </w:r>
    </w:p>
    <w:p w14:paraId="343A5F19" w14:textId="77777777" w:rsidR="005C2687" w:rsidRDefault="005C2687" w:rsidP="005C2687">
      <w:pPr>
        <w:spacing w:after="160" w:line="254" w:lineRule="auto"/>
        <w:rPr>
          <w:rFonts w:ascii="Calibri" w:eastAsiaTheme="minorHAnsi" w:hAnsi="Calibri" w:cs="Calibri"/>
          <w:kern w:val="2"/>
          <w:lang w:eastAsia="en-US"/>
          <w14:ligatures w14:val="standardContextual"/>
        </w:rPr>
      </w:pPr>
      <w:r>
        <w:rPr>
          <w:rFonts w:ascii="Abadi" w:eastAsiaTheme="minorHAnsi" w:hAnsi="Abadi" w:cs="Calibri"/>
          <w:b/>
          <w:bCs/>
          <w:kern w:val="2"/>
          <w:sz w:val="24"/>
          <w:szCs w:val="24"/>
          <w:lang w:eastAsia="en-US"/>
          <w14:ligatures w14:val="standardContextual"/>
        </w:rPr>
        <w:t xml:space="preserve">Paragraph 6: Implications for Personal Autonomy and Bodily Integrity, </w:t>
      </w:r>
    </w:p>
    <w:p w14:paraId="3E5F0990" w14:textId="77777777" w:rsidR="005C2687" w:rsidRDefault="005C2687" w:rsidP="005C2687">
      <w:pPr>
        <w:spacing w:after="160" w:line="254" w:lineRule="auto"/>
        <w:rPr>
          <w:rFonts w:ascii="Abadi" w:eastAsiaTheme="minorHAnsi" w:hAnsi="Abadi" w:cs="Calibri"/>
          <w:kern w:val="2"/>
          <w:sz w:val="24"/>
          <w:szCs w:val="24"/>
          <w:lang w:eastAsia="en-US"/>
          <w14:ligatures w14:val="standardContextual"/>
        </w:rPr>
      </w:pPr>
      <w:r>
        <w:rPr>
          <w:rFonts w:ascii="Abadi" w:eastAsiaTheme="minorHAnsi" w:hAnsi="Abadi" w:cs="Calibri"/>
          <w:kern w:val="2"/>
          <w:sz w:val="24"/>
          <w:szCs w:val="24"/>
          <w:lang w:eastAsia="en-US"/>
          <w14:ligatures w14:val="standardContextual"/>
        </w:rPr>
        <w:t xml:space="preserve">Consent in battery cases has far-reaching implications for personal autonomy and bodily integrity. Recognizing the significance of consent ensures that individuals have control over their bodies, allowing them to exercise agency and make decisions about their physical autonomy. It upholds the principle that no one has the right to impose physical contact on another without their consent, safeguarding personal boundaries and respecting bodily integrity. In cases where consent is absent or invalid, individuals may experience physical harm, violation of their personal space, and emotional distress. Failure to respect consent undermines trust and may perpetuate a culture of violence or disregard for personal autonomy. </w:t>
      </w:r>
    </w:p>
    <w:p w14:paraId="5F1E798D" w14:textId="5115099E" w:rsidR="002B7287" w:rsidRDefault="002B7287" w:rsidP="005C2687">
      <w:pPr>
        <w:spacing w:after="160" w:line="254" w:lineRule="auto"/>
        <w:rPr>
          <w:rFonts w:ascii="Abadi" w:eastAsiaTheme="minorHAnsi" w:hAnsi="Abadi" w:cs="Calibri"/>
          <w:kern w:val="2"/>
          <w:sz w:val="24"/>
          <w:szCs w:val="24"/>
          <w:lang w:eastAsia="en-US"/>
          <w14:ligatures w14:val="standardContextual"/>
        </w:rPr>
      </w:pPr>
      <w:r w:rsidRPr="0045501B">
        <w:rPr>
          <w:rFonts w:ascii="Abadi" w:eastAsiaTheme="minorHAnsi" w:hAnsi="Abadi" w:cs="Calibri"/>
          <w:b/>
          <w:bCs/>
          <w:kern w:val="2"/>
          <w:sz w:val="24"/>
          <w:szCs w:val="24"/>
          <w:lang w:eastAsia="en-US"/>
          <w14:ligatures w14:val="standardContextual"/>
        </w:rPr>
        <w:t>Criminal case</w:t>
      </w:r>
      <w:r>
        <w:rPr>
          <w:rFonts w:ascii="Abadi" w:eastAsiaTheme="minorHAnsi" w:hAnsi="Abadi" w:cs="Calibri"/>
          <w:kern w:val="2"/>
          <w:sz w:val="24"/>
          <w:szCs w:val="24"/>
          <w:lang w:eastAsia="en-US"/>
          <w14:ligatures w14:val="standardContextual"/>
        </w:rPr>
        <w:t>:</w:t>
      </w:r>
    </w:p>
    <w:p w14:paraId="4BF58D2D" w14:textId="523EFEED" w:rsidR="002B7287" w:rsidRDefault="0045501B" w:rsidP="005C2687">
      <w:pPr>
        <w:spacing w:after="160" w:line="254" w:lineRule="auto"/>
        <w:rPr>
          <w:rStyle w:val="Strong"/>
          <w:rFonts w:ascii="Abadi" w:hAnsi="Abadi" w:cs="Segoe UI"/>
          <w:b w:val="0"/>
          <w:bCs w:val="0"/>
          <w:color w:val="000000" w:themeColor="text1"/>
          <w:sz w:val="24"/>
          <w:szCs w:val="24"/>
          <w:shd w:val="clear" w:color="auto" w:fill="FFFFFF"/>
        </w:rPr>
      </w:pPr>
      <w:r w:rsidRPr="0045501B">
        <w:rPr>
          <w:rStyle w:val="Strong"/>
          <w:rFonts w:ascii="Abadi" w:hAnsi="Abadi" w:cs="Segoe UI"/>
          <w:b w:val="0"/>
          <w:bCs w:val="0"/>
          <w:color w:val="000000" w:themeColor="text1"/>
          <w:sz w:val="24"/>
          <w:szCs w:val="24"/>
          <w:shd w:val="clear" w:color="auto" w:fill="FFFFFF"/>
        </w:rPr>
        <w:t>R v Thomas [1985] Crim LR 677</w:t>
      </w:r>
    </w:p>
    <w:p w14:paraId="6C2B0F03" w14:textId="77777777" w:rsidR="00536313" w:rsidRDefault="0079645B" w:rsidP="005C2687">
      <w:pPr>
        <w:spacing w:after="160" w:line="254" w:lineRule="auto"/>
      </w:pPr>
      <w:r w:rsidRPr="0079645B">
        <w:rPr>
          <w:rStyle w:val="Strong"/>
          <w:rFonts w:ascii="Abadi" w:hAnsi="Abadi" w:cs="Segoe UI"/>
          <w:b w:val="0"/>
          <w:bCs w:val="0"/>
          <w:color w:val="000000" w:themeColor="text1"/>
          <w:sz w:val="24"/>
          <w:szCs w:val="24"/>
          <w:shd w:val="clear" w:color="auto" w:fill="FFFFFF"/>
        </w:rPr>
        <w:t>Two charges of indecent assault on female pupils were found proven against a school custodian. In the first count, an 11-year-old girl claimed that the caregiver had lifted and stroked the bottom of her skirt twice without anybody else being there. The second count pertained to the 12-year-old girl's claim that, while she was in the library, the caregiver caressed and massaged the bottom of her skirt. On ten previous instances of the same kind, the jury had cleared the caregiver.</w:t>
      </w:r>
      <w:r w:rsidR="0012772A" w:rsidRPr="0012772A">
        <w:t xml:space="preserve"> </w:t>
      </w:r>
    </w:p>
    <w:p w14:paraId="72B136CB" w14:textId="55A40BCA" w:rsidR="0079645B" w:rsidRDefault="0012772A" w:rsidP="005C2687">
      <w:pPr>
        <w:spacing w:after="160" w:line="254" w:lineRule="auto"/>
        <w:rPr>
          <w:rStyle w:val="Strong"/>
          <w:rFonts w:ascii="Abadi" w:hAnsi="Abadi" w:cs="Segoe UI"/>
          <w:b w:val="0"/>
          <w:bCs w:val="0"/>
          <w:color w:val="000000" w:themeColor="text1"/>
          <w:sz w:val="24"/>
          <w:szCs w:val="24"/>
          <w:shd w:val="clear" w:color="auto" w:fill="FFFFFF"/>
        </w:rPr>
      </w:pPr>
      <w:r w:rsidRPr="0012772A">
        <w:rPr>
          <w:rStyle w:val="Strong"/>
          <w:rFonts w:ascii="Abadi" w:hAnsi="Abadi" w:cs="Segoe UI"/>
          <w:b w:val="0"/>
          <w:bCs w:val="0"/>
          <w:color w:val="000000" w:themeColor="text1"/>
          <w:sz w:val="24"/>
          <w:szCs w:val="24"/>
          <w:shd w:val="clear" w:color="auto" w:fill="FFFFFF"/>
        </w:rPr>
        <w:t xml:space="preserve">With respect to the first count, the Court determined that the testimony of other people who were allegedly assaulted but were found not guilty by the jury could not serve as corroboration for the victim's account. </w:t>
      </w:r>
      <w:r w:rsidR="00536313" w:rsidRPr="0012772A">
        <w:rPr>
          <w:rStyle w:val="Strong"/>
          <w:rFonts w:ascii="Abadi" w:hAnsi="Abadi" w:cs="Segoe UI"/>
          <w:b w:val="0"/>
          <w:bCs w:val="0"/>
          <w:color w:val="000000" w:themeColor="text1"/>
          <w:sz w:val="24"/>
          <w:szCs w:val="24"/>
          <w:shd w:val="clear" w:color="auto" w:fill="FFFFFF"/>
        </w:rPr>
        <w:t>Regarding</w:t>
      </w:r>
      <w:r w:rsidRPr="0012772A">
        <w:rPr>
          <w:rStyle w:val="Strong"/>
          <w:rFonts w:ascii="Abadi" w:hAnsi="Abadi" w:cs="Segoe UI"/>
          <w:b w:val="0"/>
          <w:bCs w:val="0"/>
          <w:color w:val="000000" w:themeColor="text1"/>
          <w:sz w:val="24"/>
          <w:szCs w:val="24"/>
          <w:shd w:val="clear" w:color="auto" w:fill="FFFFFF"/>
        </w:rPr>
        <w:t xml:space="preserve"> the second count, the Court decided that an act had to be "inherently indecent" or occur under circumstances that would lead one to conclude it was indecent </w:t>
      </w:r>
      <w:r w:rsidR="00536313" w:rsidRPr="0012772A">
        <w:rPr>
          <w:rStyle w:val="Strong"/>
          <w:rFonts w:ascii="Abadi" w:hAnsi="Abadi" w:cs="Segoe UI"/>
          <w:b w:val="0"/>
          <w:bCs w:val="0"/>
          <w:color w:val="000000" w:themeColor="text1"/>
          <w:sz w:val="24"/>
          <w:szCs w:val="24"/>
          <w:shd w:val="clear" w:color="auto" w:fill="FFFFFF"/>
        </w:rPr>
        <w:t>for</w:t>
      </w:r>
      <w:r w:rsidRPr="0012772A">
        <w:rPr>
          <w:rStyle w:val="Strong"/>
          <w:rFonts w:ascii="Abadi" w:hAnsi="Abadi" w:cs="Segoe UI"/>
          <w:b w:val="0"/>
          <w:bCs w:val="0"/>
          <w:color w:val="000000" w:themeColor="text1"/>
          <w:sz w:val="24"/>
          <w:szCs w:val="24"/>
          <w:shd w:val="clear" w:color="auto" w:fill="FFFFFF"/>
        </w:rPr>
        <w:t xml:space="preserve"> it to qualify as an indecent assault.</w:t>
      </w:r>
    </w:p>
    <w:p w14:paraId="7E74F53D" w14:textId="157491D2" w:rsidR="00536313" w:rsidRDefault="00536313" w:rsidP="005C2687">
      <w:pPr>
        <w:spacing w:after="160" w:line="254" w:lineRule="auto"/>
        <w:rPr>
          <w:rStyle w:val="Strong"/>
          <w:rFonts w:ascii="Abadi" w:hAnsi="Abadi" w:cs="Segoe UI"/>
          <w:b w:val="0"/>
          <w:bCs w:val="0"/>
          <w:color w:val="000000" w:themeColor="text1"/>
          <w:sz w:val="24"/>
          <w:szCs w:val="24"/>
          <w:shd w:val="clear" w:color="auto" w:fill="FFFFFF"/>
        </w:rPr>
      </w:pPr>
      <w:r w:rsidRPr="00536313">
        <w:rPr>
          <w:rStyle w:val="Strong"/>
          <w:rFonts w:ascii="Abadi" w:hAnsi="Abadi" w:cs="Segoe UI"/>
          <w:b w:val="0"/>
          <w:bCs w:val="0"/>
          <w:color w:val="000000" w:themeColor="text1"/>
          <w:sz w:val="24"/>
          <w:szCs w:val="24"/>
          <w:shd w:val="clear" w:color="auto" w:fill="FFFFFF"/>
        </w:rPr>
        <w:t>The act was not intrinsically immoral, the court ruled, nor could any conclusions be made from it. As an example of an indecent attack, the Court proposed reaching up one's skirt or groping one's limbs. The court concluded that touching clothing without consent does not qualify as an indecent assault under the Sexual Offences Act 1956 (ss. 14(1)(2), 15(1)(2)), even if it did confirm that touching clothing without consent is an attack. Thus, the appeal was granted on both counts by the court.</w:t>
      </w:r>
    </w:p>
    <w:p w14:paraId="60D1691D" w14:textId="77777777" w:rsidR="0045501B" w:rsidRPr="0045501B" w:rsidRDefault="0045501B" w:rsidP="005C2687">
      <w:pPr>
        <w:spacing w:after="160" w:line="254" w:lineRule="auto"/>
        <w:rPr>
          <w:rFonts w:ascii="Abadi" w:eastAsiaTheme="minorHAnsi" w:hAnsi="Abadi" w:cs="Calibri"/>
          <w:b/>
          <w:bCs/>
          <w:color w:val="000000" w:themeColor="text1"/>
          <w:kern w:val="2"/>
          <w:sz w:val="24"/>
          <w:szCs w:val="24"/>
          <w:lang w:eastAsia="en-US"/>
          <w14:ligatures w14:val="standardContextual"/>
        </w:rPr>
      </w:pPr>
    </w:p>
    <w:p w14:paraId="7A592817" w14:textId="77777777" w:rsidR="002B7287" w:rsidRPr="002B7287" w:rsidRDefault="002B7287" w:rsidP="005C2687">
      <w:pPr>
        <w:spacing w:after="160" w:line="254" w:lineRule="auto"/>
        <w:rPr>
          <w:rFonts w:ascii="Abadi" w:eastAsiaTheme="minorHAnsi" w:hAnsi="Abadi" w:cs="Calibri"/>
          <w:kern w:val="2"/>
          <w:sz w:val="24"/>
          <w:szCs w:val="24"/>
          <w:lang w:eastAsia="en-US"/>
          <w14:ligatures w14:val="standardContextual"/>
        </w:rPr>
      </w:pPr>
    </w:p>
    <w:p w14:paraId="5EFEBE17" w14:textId="77777777" w:rsidR="005C2687" w:rsidRDefault="005C2687" w:rsidP="005C2687">
      <w:pPr>
        <w:spacing w:after="160" w:line="254" w:lineRule="auto"/>
        <w:rPr>
          <w:rFonts w:ascii="Calibri" w:eastAsiaTheme="minorHAnsi" w:hAnsi="Calibri" w:cs="Calibri"/>
          <w:kern w:val="2"/>
          <w:lang w:eastAsia="en-US"/>
          <w14:ligatures w14:val="standardContextual"/>
        </w:rPr>
      </w:pPr>
      <w:r>
        <w:rPr>
          <w:rFonts w:ascii="Abadi" w:eastAsiaTheme="minorHAnsi" w:hAnsi="Abadi" w:cs="Calibri"/>
          <w:b/>
          <w:bCs/>
          <w:kern w:val="2"/>
          <w:sz w:val="24"/>
          <w:szCs w:val="24"/>
          <w:lang w:eastAsia="en-US"/>
          <w14:ligatures w14:val="standardContextual"/>
        </w:rPr>
        <w:t>Conclusion:</w:t>
      </w:r>
    </w:p>
    <w:p w14:paraId="6DCF5DF5" w14:textId="77777777" w:rsidR="005C2687" w:rsidRDefault="005C2687" w:rsidP="005C2687">
      <w:pPr>
        <w:spacing w:after="160" w:line="254" w:lineRule="auto"/>
        <w:rPr>
          <w:rFonts w:ascii="Calibri" w:eastAsiaTheme="minorHAnsi" w:hAnsi="Calibri" w:cs="Calibri"/>
          <w:kern w:val="2"/>
          <w:lang w:eastAsia="en-US"/>
          <w14:ligatures w14:val="standardContextual"/>
        </w:rPr>
      </w:pPr>
      <w:r>
        <w:rPr>
          <w:rFonts w:ascii="Abadi" w:eastAsiaTheme="minorHAnsi" w:hAnsi="Abadi" w:cs="Calibri"/>
          <w:kern w:val="2"/>
          <w:sz w:val="24"/>
          <w:szCs w:val="24"/>
          <w:lang w:eastAsia="en-US"/>
          <w14:ligatures w14:val="standardContextual"/>
        </w:rPr>
        <w:t xml:space="preserve">In conclusion, consent plays a vital role in battery cases, acting as a defence against allegations and safeguarding personal autonomy and bodily integrity. The legal framework surrounding consent varies across jurisdictions, but it often requires evidence of informed and freely given consent. The burden of proof lies with the plaintiff, who must establish the absence of consent, while defendants may need to provide evidence of valid consent if they assert it. Understanding and respecting consent is essential in maintaining ethical and legal standards within society. By </w:t>
      </w:r>
      <w:r>
        <w:rPr>
          <w:rFonts w:ascii="Abadi" w:eastAsiaTheme="minorHAnsi" w:hAnsi="Abadi" w:cs="Calibri"/>
          <w:kern w:val="2"/>
          <w:sz w:val="24"/>
          <w:szCs w:val="24"/>
          <w:lang w:eastAsia="en-US"/>
          <w14:ligatures w14:val="standardContextual"/>
        </w:rPr>
        <w:lastRenderedPageBreak/>
        <w:t>recognizing the importance of consent in battery cases, we can promote a culture of respect for personal boundaries and enhanced bodily autonomy. Upholding the principles of consent ensures that individuals have agency over their bodies and fosters a safer environment for all. As we continue to navigate the complexities of consent, it is imperative to prioritize education and awareness, fostering a society that respects personal autonomy and promotes bodily integrity.</w:t>
      </w:r>
    </w:p>
    <w:p w14:paraId="47546588" w14:textId="77777777" w:rsidR="005C2687" w:rsidRDefault="005C2687" w:rsidP="005C2687">
      <w:pPr>
        <w:spacing w:after="160" w:line="254" w:lineRule="auto"/>
        <w:rPr>
          <w:rFonts w:ascii="Calibri" w:eastAsiaTheme="minorHAnsi" w:hAnsi="Calibri" w:cs="Calibri"/>
          <w:kern w:val="2"/>
          <w:lang w:eastAsia="en-US"/>
          <w14:ligatures w14:val="standardContextual"/>
        </w:rPr>
      </w:pPr>
      <w:r>
        <w:rPr>
          <w:rFonts w:ascii="Abadi" w:eastAsiaTheme="minorHAnsi" w:hAnsi="Abadi" w:cs="Calibri"/>
          <w:kern w:val="2"/>
          <w:sz w:val="24"/>
          <w:szCs w:val="24"/>
          <w:lang w:eastAsia="en-US"/>
          <w14:ligatures w14:val="standardContextual"/>
        </w:rPr>
        <w:t> </w:t>
      </w:r>
    </w:p>
    <w:p w14:paraId="0BC7F10B" w14:textId="77777777" w:rsidR="005C2687" w:rsidRDefault="005C2687" w:rsidP="005C2687">
      <w:pPr>
        <w:spacing w:after="160" w:line="254" w:lineRule="auto"/>
        <w:rPr>
          <w:rFonts w:ascii="Calibri" w:eastAsiaTheme="minorHAnsi" w:hAnsi="Calibri" w:cs="Calibri"/>
          <w:kern w:val="2"/>
          <w:lang w:eastAsia="en-US"/>
          <w14:ligatures w14:val="standardContextual"/>
        </w:rPr>
      </w:pPr>
      <w:r>
        <w:rPr>
          <w:rFonts w:ascii="Abadi" w:eastAsiaTheme="minorHAnsi" w:hAnsi="Abadi" w:cs="Calibri"/>
          <w:b/>
          <w:bCs/>
          <w:kern w:val="2"/>
          <w:sz w:val="24"/>
          <w:szCs w:val="24"/>
          <w:lang w:eastAsia="en-US"/>
          <w14:ligatures w14:val="standardContextual"/>
        </w:rPr>
        <w:t>References:</w:t>
      </w:r>
    </w:p>
    <w:p w14:paraId="1076F649" w14:textId="77777777" w:rsidR="005C2687" w:rsidRDefault="005C2687" w:rsidP="005C2687">
      <w:pPr>
        <w:spacing w:after="160" w:line="254" w:lineRule="auto"/>
        <w:rPr>
          <w:rFonts w:ascii="Calibri" w:eastAsiaTheme="minorHAnsi" w:hAnsi="Calibri" w:cs="Calibri"/>
          <w:kern w:val="2"/>
          <w:lang w:eastAsia="en-US"/>
          <w14:ligatures w14:val="standardContextual"/>
        </w:rPr>
      </w:pPr>
      <w:r>
        <w:rPr>
          <w:rFonts w:ascii="Abadi" w:eastAsiaTheme="minorHAnsi" w:hAnsi="Abadi" w:cs="Calibri"/>
          <w:kern w:val="2"/>
          <w:sz w:val="24"/>
          <w:szCs w:val="24"/>
          <w:lang w:eastAsia="en-US"/>
          <w14:ligatures w14:val="standardContextual"/>
        </w:rPr>
        <w:t> </w:t>
      </w:r>
    </w:p>
    <w:p w14:paraId="3ED30657" w14:textId="77777777" w:rsidR="005C2687" w:rsidRPr="006540B5" w:rsidRDefault="005C2687" w:rsidP="005C2687">
      <w:pPr>
        <w:spacing w:after="160"/>
        <w:jc w:val="both"/>
        <w:rPr>
          <w:rFonts w:ascii="Calibri" w:eastAsiaTheme="minorHAnsi" w:hAnsi="Calibri" w:cs="Calibri"/>
          <w:color w:val="000000" w:themeColor="text1"/>
          <w:kern w:val="2"/>
          <w:lang w:eastAsia="en-US"/>
          <w14:ligatures w14:val="standardContextual"/>
        </w:rPr>
      </w:pPr>
      <w:r w:rsidRPr="006540B5">
        <w:rPr>
          <w:rFonts w:ascii="Abadi" w:eastAsiaTheme="minorHAnsi" w:hAnsi="Abadi" w:cs="Calibri"/>
          <w:color w:val="000000" w:themeColor="text1"/>
          <w:kern w:val="2"/>
          <w:sz w:val="24"/>
          <w:szCs w:val="24"/>
          <w:shd w:val="clear" w:color="auto" w:fill="FEF1C4"/>
          <w:lang w:eastAsia="en-US"/>
          <w14:ligatures w14:val="standardContextual"/>
        </w:rPr>
        <w:t xml:space="preserve">-Andreas-Holger </w:t>
      </w:r>
      <w:proofErr w:type="spellStart"/>
      <w:r w:rsidRPr="006540B5">
        <w:rPr>
          <w:rFonts w:ascii="Abadi" w:eastAsiaTheme="minorHAnsi" w:hAnsi="Abadi" w:cs="Calibri"/>
          <w:color w:val="000000" w:themeColor="text1"/>
          <w:kern w:val="2"/>
          <w:sz w:val="24"/>
          <w:szCs w:val="24"/>
          <w:shd w:val="clear" w:color="auto" w:fill="FEF1C4"/>
          <w:lang w:eastAsia="en-US"/>
          <w14:ligatures w14:val="standardContextual"/>
        </w:rPr>
        <w:t>Maehle</w:t>
      </w:r>
      <w:proofErr w:type="spellEnd"/>
      <w:r w:rsidRPr="006540B5">
        <w:rPr>
          <w:rFonts w:ascii="Abadi" w:eastAsiaTheme="minorHAnsi" w:hAnsi="Abadi" w:cs="Calibri"/>
          <w:color w:val="000000" w:themeColor="text1"/>
          <w:kern w:val="2"/>
          <w:sz w:val="24"/>
          <w:szCs w:val="24"/>
          <w:shd w:val="clear" w:color="auto" w:fill="FEF1C4"/>
          <w:lang w:eastAsia="en-US"/>
          <w14:ligatures w14:val="standardContextual"/>
        </w:rPr>
        <w:t xml:space="preserve"> (2000). Assault and Battery, Or Legitimate Treatment?</w:t>
      </w:r>
    </w:p>
    <w:p w14:paraId="40A71DCF" w14:textId="77777777" w:rsidR="005C2687" w:rsidRPr="006540B5" w:rsidRDefault="005C2687" w:rsidP="005C2687">
      <w:pPr>
        <w:shd w:val="clear" w:color="auto" w:fill="FFFFFF"/>
        <w:spacing w:after="160"/>
        <w:rPr>
          <w:rFonts w:ascii="Abadi" w:eastAsiaTheme="minorHAnsi" w:hAnsi="Abadi" w:cs="Calibri"/>
          <w:color w:val="000000" w:themeColor="text1"/>
          <w:kern w:val="2"/>
          <w:sz w:val="24"/>
          <w:szCs w:val="24"/>
          <w:lang w:eastAsia="en-US"/>
          <w14:ligatures w14:val="standardContextual"/>
        </w:rPr>
      </w:pPr>
      <w:r w:rsidRPr="006540B5">
        <w:rPr>
          <w:rFonts w:ascii="Abadi" w:eastAsiaTheme="minorHAnsi" w:hAnsi="Abadi" w:cs="Calibri"/>
          <w:color w:val="000000" w:themeColor="text1"/>
          <w:kern w:val="2"/>
          <w:sz w:val="24"/>
          <w:szCs w:val="24"/>
          <w:lang w:eastAsia="en-US"/>
          <w14:ligatures w14:val="standardContextual"/>
        </w:rPr>
        <w:t>-B Falsetto, “Crossing the line: morality, society, and the criminal law” Cambridge Law Review (2009)</w:t>
      </w:r>
    </w:p>
    <w:p w14:paraId="7AA43854" w14:textId="51DD4E4F" w:rsidR="00E91F49" w:rsidRPr="006540B5" w:rsidRDefault="00E91F49" w:rsidP="00E91F49">
      <w:pPr>
        <w:jc w:val="both"/>
        <w:rPr>
          <w:rFonts w:ascii="Abadi" w:hAnsi="Abadi" w:cs="Calibri"/>
          <w:color w:val="000000" w:themeColor="text1"/>
          <w:sz w:val="24"/>
          <w:szCs w:val="24"/>
          <w:shd w:val="clear" w:color="auto" w:fill="FEF1C4"/>
        </w:rPr>
      </w:pPr>
      <w:r w:rsidRPr="006540B5">
        <w:rPr>
          <w:rFonts w:ascii="Abadi" w:hAnsi="Abadi" w:cs="Calibri"/>
          <w:color w:val="000000" w:themeColor="text1"/>
          <w:sz w:val="24"/>
          <w:szCs w:val="24"/>
          <w:shd w:val="clear" w:color="auto" w:fill="FEF1C4"/>
        </w:rPr>
        <w:t>-</w:t>
      </w:r>
      <w:r w:rsidRPr="006540B5">
        <w:rPr>
          <w:rFonts w:ascii="Abadi" w:hAnsi="Abadi" w:cs="Calibri"/>
          <w:color w:val="000000" w:themeColor="text1"/>
          <w:sz w:val="24"/>
          <w:szCs w:val="24"/>
          <w:shd w:val="clear" w:color="auto" w:fill="FEF1C4"/>
        </w:rPr>
        <w:t xml:space="preserve">De, M. (2009). Judicial Deliberations: A Comparative Analysis of Transparency and Legitimacy. Oxford </w:t>
      </w:r>
      <w:proofErr w:type="spellStart"/>
      <w:r w:rsidRPr="006540B5">
        <w:rPr>
          <w:rFonts w:ascii="Abadi" w:hAnsi="Abadi" w:cs="Calibri"/>
          <w:color w:val="000000" w:themeColor="text1"/>
          <w:sz w:val="24"/>
          <w:szCs w:val="24"/>
          <w:shd w:val="clear" w:color="auto" w:fill="FEF1C4"/>
        </w:rPr>
        <w:t>Oxford</w:t>
      </w:r>
      <w:proofErr w:type="spellEnd"/>
      <w:r w:rsidRPr="006540B5">
        <w:rPr>
          <w:rFonts w:ascii="Abadi" w:hAnsi="Abadi" w:cs="Calibri"/>
          <w:color w:val="000000" w:themeColor="text1"/>
          <w:sz w:val="24"/>
          <w:szCs w:val="24"/>
          <w:shd w:val="clear" w:color="auto" w:fill="FEF1C4"/>
        </w:rPr>
        <w:t xml:space="preserve"> University Press -07-30.</w:t>
      </w:r>
    </w:p>
    <w:p w14:paraId="662F5EBF" w14:textId="77777777" w:rsidR="005C2687" w:rsidRPr="006540B5" w:rsidRDefault="005C2687" w:rsidP="005C2687">
      <w:pPr>
        <w:spacing w:after="160"/>
        <w:jc w:val="both"/>
        <w:rPr>
          <w:rFonts w:ascii="Calibri" w:eastAsiaTheme="minorHAnsi" w:hAnsi="Calibri" w:cs="Calibri"/>
          <w:color w:val="000000" w:themeColor="text1"/>
          <w:kern w:val="2"/>
          <w:lang w:eastAsia="en-US"/>
          <w14:ligatures w14:val="standardContextual"/>
        </w:rPr>
      </w:pPr>
      <w:r w:rsidRPr="006540B5">
        <w:rPr>
          <w:rFonts w:ascii="Abadi" w:eastAsiaTheme="minorHAnsi" w:hAnsi="Abadi" w:cs="Calibri"/>
          <w:color w:val="000000" w:themeColor="text1"/>
          <w:kern w:val="2"/>
          <w:sz w:val="24"/>
          <w:szCs w:val="24"/>
          <w:lang w:eastAsia="en-US"/>
          <w14:ligatures w14:val="standardContextual"/>
        </w:rPr>
        <w:t>-Dressler, J. (2017). Understanding Criminal Law (8th ed). LexisNexis</w:t>
      </w:r>
    </w:p>
    <w:p w14:paraId="4252A957" w14:textId="77777777" w:rsidR="005C2687" w:rsidRPr="006540B5" w:rsidRDefault="005C2687" w:rsidP="005C2687">
      <w:pPr>
        <w:spacing w:after="160"/>
        <w:jc w:val="both"/>
        <w:rPr>
          <w:rFonts w:ascii="Calibri" w:eastAsiaTheme="minorHAnsi" w:hAnsi="Calibri" w:cs="Calibri"/>
          <w:color w:val="000000" w:themeColor="text1"/>
          <w:kern w:val="2"/>
          <w:lang w:eastAsia="en-US"/>
          <w14:ligatures w14:val="standardContextual"/>
        </w:rPr>
      </w:pPr>
      <w:r w:rsidRPr="006540B5">
        <w:rPr>
          <w:rFonts w:ascii="Abadi" w:eastAsiaTheme="minorHAnsi" w:hAnsi="Abadi" w:cs="Calibri"/>
          <w:color w:val="000000" w:themeColor="text1"/>
          <w:kern w:val="2"/>
          <w:sz w:val="24"/>
          <w:szCs w:val="24"/>
          <w:lang w:eastAsia="en-US"/>
          <w14:ligatures w14:val="standardContextual"/>
        </w:rPr>
        <w:t>- Fletcher, G. P. (2017). The Grammar of Criminal Law: American, Comparative, and International (Vol. 1). Oxford University Press.</w:t>
      </w:r>
    </w:p>
    <w:p w14:paraId="78375448" w14:textId="77777777" w:rsidR="005C2687" w:rsidRPr="006540B5" w:rsidRDefault="005C2687" w:rsidP="005C2687">
      <w:pPr>
        <w:spacing w:after="160"/>
        <w:jc w:val="both"/>
        <w:rPr>
          <w:rFonts w:ascii="Abadi" w:eastAsiaTheme="minorHAnsi" w:hAnsi="Abadi" w:cs="Calibri"/>
          <w:color w:val="000000" w:themeColor="text1"/>
          <w:kern w:val="2"/>
          <w:sz w:val="24"/>
          <w:szCs w:val="24"/>
          <w:lang w:eastAsia="en-US"/>
          <w14:ligatures w14:val="standardContextual"/>
        </w:rPr>
      </w:pPr>
      <w:r w:rsidRPr="006540B5">
        <w:rPr>
          <w:rFonts w:ascii="Abadi" w:eastAsiaTheme="minorHAnsi" w:hAnsi="Abadi" w:cs="Calibri"/>
          <w:color w:val="000000" w:themeColor="text1"/>
          <w:kern w:val="2"/>
          <w:sz w:val="24"/>
          <w:szCs w:val="24"/>
          <w:lang w:eastAsia="en-US"/>
          <w14:ligatures w14:val="standardContextual"/>
        </w:rPr>
        <w:t>- Gardner, A. (2015). The Legal Definition of Consent</w:t>
      </w:r>
    </w:p>
    <w:p w14:paraId="6AA0E992" w14:textId="77777777" w:rsidR="003202E9" w:rsidRPr="006540B5" w:rsidRDefault="003202E9" w:rsidP="003202E9">
      <w:pPr>
        <w:jc w:val="both"/>
        <w:rPr>
          <w:rFonts w:ascii="Abadi" w:hAnsi="Abadi" w:cs="Calibri"/>
          <w:color w:val="000000" w:themeColor="text1"/>
          <w:sz w:val="24"/>
          <w:szCs w:val="24"/>
          <w:shd w:val="clear" w:color="auto" w:fill="FEF1C4"/>
        </w:rPr>
      </w:pPr>
      <w:r w:rsidRPr="006540B5">
        <w:rPr>
          <w:rFonts w:ascii="Abadi" w:hAnsi="Abadi" w:cs="Calibri"/>
          <w:color w:val="000000" w:themeColor="text1"/>
          <w:sz w:val="24"/>
          <w:szCs w:val="24"/>
          <w:shd w:val="clear" w:color="auto" w:fill="FEF1C4"/>
        </w:rPr>
        <w:t xml:space="preserve">Holdaway, S. (1983). Policing and Consent. The Modern Churchman, 25(3), pp.30–39. </w:t>
      </w:r>
      <w:proofErr w:type="spellStart"/>
      <w:r w:rsidRPr="006540B5">
        <w:rPr>
          <w:rFonts w:ascii="Abadi" w:hAnsi="Abadi" w:cs="Calibri"/>
          <w:color w:val="000000" w:themeColor="text1"/>
          <w:sz w:val="24"/>
          <w:szCs w:val="24"/>
          <w:shd w:val="clear" w:color="auto" w:fill="FEF1C4"/>
        </w:rPr>
        <w:t>doi</w:t>
      </w:r>
      <w:proofErr w:type="spellEnd"/>
      <w:r w:rsidRPr="006540B5">
        <w:rPr>
          <w:rFonts w:ascii="Abadi" w:hAnsi="Abadi" w:cs="Calibri"/>
          <w:color w:val="000000" w:themeColor="text1"/>
          <w:sz w:val="24"/>
          <w:szCs w:val="24"/>
          <w:shd w:val="clear" w:color="auto" w:fill="FEF1C4"/>
        </w:rPr>
        <w:t xml:space="preserve">: </w:t>
      </w:r>
    </w:p>
    <w:p w14:paraId="3A2D6F64" w14:textId="17EAFF36" w:rsidR="003202E9" w:rsidRPr="006540B5" w:rsidRDefault="003202E9" w:rsidP="003202E9">
      <w:pPr>
        <w:jc w:val="both"/>
        <w:rPr>
          <w:rFonts w:ascii="Abadi" w:hAnsi="Abadi" w:cs="Calibri"/>
          <w:color w:val="000000" w:themeColor="text1"/>
          <w:sz w:val="24"/>
          <w:szCs w:val="24"/>
          <w:shd w:val="clear" w:color="auto" w:fill="FEF1C4"/>
        </w:rPr>
      </w:pPr>
      <w:hyperlink r:id="rId7" w:history="1">
        <w:r w:rsidRPr="006540B5">
          <w:rPr>
            <w:rStyle w:val="Hyperlink"/>
            <w:rFonts w:ascii="Abadi" w:hAnsi="Abadi" w:cs="Calibri"/>
            <w:sz w:val="24"/>
            <w:szCs w:val="24"/>
            <w:shd w:val="clear" w:color="auto" w:fill="FEF1C4"/>
          </w:rPr>
          <w:t>https://doi.org/10.3828/mc.25.3.30</w:t>
        </w:r>
      </w:hyperlink>
      <w:r w:rsidRPr="006540B5">
        <w:rPr>
          <w:rFonts w:ascii="Abadi" w:hAnsi="Abadi" w:cs="Calibri"/>
          <w:color w:val="000000" w:themeColor="text1"/>
          <w:sz w:val="24"/>
          <w:szCs w:val="24"/>
          <w:shd w:val="clear" w:color="auto" w:fill="FEF1C4"/>
        </w:rPr>
        <w:t>.</w:t>
      </w:r>
    </w:p>
    <w:p w14:paraId="11933D38" w14:textId="77777777" w:rsidR="003202E9" w:rsidRPr="006540B5" w:rsidRDefault="003202E9" w:rsidP="003202E9">
      <w:pPr>
        <w:jc w:val="both"/>
        <w:rPr>
          <w:rFonts w:ascii="Abadi" w:hAnsi="Abadi" w:cs="Calibri"/>
          <w:color w:val="000000" w:themeColor="text1"/>
          <w:sz w:val="24"/>
          <w:szCs w:val="24"/>
          <w:shd w:val="clear" w:color="auto" w:fill="FEF1C4"/>
        </w:rPr>
      </w:pPr>
    </w:p>
    <w:p w14:paraId="7C1711A3" w14:textId="77777777" w:rsidR="003202E9" w:rsidRPr="006540B5" w:rsidRDefault="003202E9" w:rsidP="003202E9">
      <w:pPr>
        <w:jc w:val="both"/>
        <w:rPr>
          <w:rFonts w:ascii="Abadi" w:hAnsi="Abadi" w:cs="Calibri"/>
          <w:color w:val="000000" w:themeColor="text1"/>
          <w:sz w:val="24"/>
          <w:szCs w:val="24"/>
          <w:shd w:val="clear" w:color="auto" w:fill="FEF1C4"/>
        </w:rPr>
      </w:pPr>
      <w:r w:rsidRPr="006540B5">
        <w:rPr>
          <w:rFonts w:ascii="Abadi" w:hAnsi="Abadi" w:cs="Calibri"/>
          <w:color w:val="000000" w:themeColor="text1"/>
          <w:sz w:val="24"/>
          <w:szCs w:val="24"/>
          <w:shd w:val="clear" w:color="auto" w:fill="FEF1C4"/>
        </w:rPr>
        <w:t>Accessed [04.11.2023]</w:t>
      </w:r>
    </w:p>
    <w:p w14:paraId="5667E3F4" w14:textId="77777777" w:rsidR="003202E9" w:rsidRPr="006540B5" w:rsidRDefault="003202E9" w:rsidP="005C2687">
      <w:pPr>
        <w:spacing w:after="160"/>
        <w:jc w:val="both"/>
        <w:rPr>
          <w:rFonts w:ascii="Calibri" w:eastAsiaTheme="minorHAnsi" w:hAnsi="Calibri" w:cs="Calibri"/>
          <w:kern w:val="2"/>
          <w:lang w:eastAsia="en-US"/>
          <w14:ligatures w14:val="standardContextual"/>
        </w:rPr>
      </w:pPr>
    </w:p>
    <w:p w14:paraId="7DA93AA6" w14:textId="77777777" w:rsidR="005C2687" w:rsidRPr="006540B5" w:rsidRDefault="005C2687" w:rsidP="005C2687">
      <w:pPr>
        <w:shd w:val="clear" w:color="auto" w:fill="FFFFFF"/>
        <w:spacing w:after="160"/>
        <w:rPr>
          <w:rFonts w:ascii="Calibri" w:eastAsiaTheme="minorHAnsi" w:hAnsi="Calibri" w:cs="Calibri"/>
          <w:color w:val="000000" w:themeColor="text1"/>
          <w:kern w:val="2"/>
          <w:lang w:eastAsia="en-US"/>
          <w14:ligatures w14:val="standardContextual"/>
        </w:rPr>
      </w:pPr>
      <w:r w:rsidRPr="006540B5">
        <w:rPr>
          <w:rFonts w:ascii="Abadi" w:eastAsiaTheme="minorHAnsi" w:hAnsi="Abadi" w:cs="Calibri"/>
          <w:color w:val="000000" w:themeColor="text1"/>
          <w:kern w:val="2"/>
          <w:sz w:val="24"/>
          <w:szCs w:val="24"/>
          <w:lang w:eastAsia="en-US"/>
          <w14:ligatures w14:val="standardContextual"/>
        </w:rPr>
        <w:t xml:space="preserve">-H </w:t>
      </w:r>
      <w:proofErr w:type="spellStart"/>
      <w:r w:rsidRPr="006540B5">
        <w:rPr>
          <w:rFonts w:ascii="Abadi" w:eastAsiaTheme="minorHAnsi" w:hAnsi="Abadi" w:cs="Calibri"/>
          <w:color w:val="000000" w:themeColor="text1"/>
          <w:kern w:val="2"/>
          <w:sz w:val="24"/>
          <w:szCs w:val="24"/>
          <w:lang w:eastAsia="en-US"/>
          <w14:ligatures w14:val="standardContextual"/>
        </w:rPr>
        <w:t>Spandler</w:t>
      </w:r>
      <w:proofErr w:type="spellEnd"/>
      <w:r w:rsidRPr="006540B5">
        <w:rPr>
          <w:rFonts w:ascii="Abadi" w:eastAsiaTheme="minorHAnsi" w:hAnsi="Abadi" w:cs="Calibri"/>
          <w:color w:val="000000" w:themeColor="text1"/>
          <w:kern w:val="2"/>
          <w:sz w:val="24"/>
          <w:szCs w:val="24"/>
          <w:lang w:eastAsia="en-US"/>
          <w14:ligatures w14:val="standardContextual"/>
        </w:rPr>
        <w:t xml:space="preserve">, J Anderson and B </w:t>
      </w:r>
      <w:proofErr w:type="spellStart"/>
      <w:r w:rsidRPr="006540B5">
        <w:rPr>
          <w:rFonts w:ascii="Abadi" w:eastAsiaTheme="minorHAnsi" w:hAnsi="Abadi" w:cs="Calibri"/>
          <w:color w:val="000000" w:themeColor="text1"/>
          <w:kern w:val="2"/>
          <w:sz w:val="24"/>
          <w:szCs w:val="24"/>
          <w:lang w:eastAsia="en-US"/>
          <w14:ligatures w14:val="standardContextual"/>
        </w:rPr>
        <w:t>Sapey</w:t>
      </w:r>
      <w:proofErr w:type="spellEnd"/>
      <w:r w:rsidRPr="006540B5">
        <w:rPr>
          <w:rFonts w:ascii="Abadi" w:eastAsiaTheme="minorHAnsi" w:hAnsi="Abadi" w:cs="Calibri"/>
          <w:color w:val="000000" w:themeColor="text1"/>
          <w:kern w:val="2"/>
          <w:sz w:val="24"/>
          <w:szCs w:val="24"/>
          <w:lang w:eastAsia="en-US"/>
          <w14:ligatures w14:val="standardContextual"/>
        </w:rPr>
        <w:t>, Madness, Distress and he Politics of Disablement (1</w:t>
      </w:r>
      <w:r w:rsidRPr="006540B5">
        <w:rPr>
          <w:rFonts w:ascii="Abadi" w:eastAsiaTheme="minorHAnsi" w:hAnsi="Abadi" w:cs="Calibri"/>
          <w:color w:val="000000" w:themeColor="text1"/>
          <w:kern w:val="2"/>
          <w:sz w:val="24"/>
          <w:szCs w:val="24"/>
          <w:vertAlign w:val="superscript"/>
          <w:lang w:eastAsia="en-US"/>
          <w14:ligatures w14:val="standardContextual"/>
        </w:rPr>
        <w:t>st</w:t>
      </w:r>
      <w:r w:rsidRPr="006540B5">
        <w:rPr>
          <w:rFonts w:ascii="Abadi" w:eastAsiaTheme="minorHAnsi" w:hAnsi="Abadi" w:cs="Calibri"/>
          <w:color w:val="000000" w:themeColor="text1"/>
          <w:kern w:val="2"/>
          <w:sz w:val="24"/>
          <w:szCs w:val="24"/>
          <w:lang w:eastAsia="en-US"/>
          <w14:ligatures w14:val="standardContextual"/>
        </w:rPr>
        <w:t> </w:t>
      </w:r>
      <w:proofErr w:type="spellStart"/>
      <w:r w:rsidRPr="006540B5">
        <w:rPr>
          <w:rFonts w:ascii="Abadi" w:eastAsiaTheme="minorHAnsi" w:hAnsi="Abadi" w:cs="Calibri"/>
          <w:color w:val="000000" w:themeColor="text1"/>
          <w:kern w:val="2"/>
          <w:sz w:val="24"/>
          <w:szCs w:val="24"/>
          <w:lang w:eastAsia="en-US"/>
          <w14:ligatures w14:val="standardContextual"/>
        </w:rPr>
        <w:t>Edn</w:t>
      </w:r>
      <w:proofErr w:type="spellEnd"/>
      <w:r w:rsidRPr="006540B5">
        <w:rPr>
          <w:rFonts w:ascii="Abadi" w:eastAsiaTheme="minorHAnsi" w:hAnsi="Abadi" w:cs="Calibri"/>
          <w:color w:val="000000" w:themeColor="text1"/>
          <w:kern w:val="2"/>
          <w:sz w:val="24"/>
          <w:szCs w:val="24"/>
          <w:lang w:eastAsia="en-US"/>
          <w14:ligatures w14:val="standardContextual"/>
        </w:rPr>
        <w:t>. Policy Press 2015)</w:t>
      </w:r>
    </w:p>
    <w:p w14:paraId="603BF31B" w14:textId="77777777" w:rsidR="005C2687" w:rsidRPr="006540B5" w:rsidRDefault="005C2687" w:rsidP="005C2687">
      <w:pPr>
        <w:shd w:val="clear" w:color="auto" w:fill="FFFFFF"/>
        <w:spacing w:after="160"/>
        <w:rPr>
          <w:rFonts w:ascii="Calibri" w:eastAsiaTheme="minorHAnsi" w:hAnsi="Calibri" w:cs="Calibri"/>
          <w:color w:val="000000" w:themeColor="text1"/>
          <w:kern w:val="2"/>
          <w:lang w:eastAsia="en-US"/>
          <w14:ligatures w14:val="standardContextual"/>
        </w:rPr>
      </w:pPr>
      <w:r w:rsidRPr="006540B5">
        <w:rPr>
          <w:rFonts w:ascii="Abadi" w:eastAsiaTheme="minorHAnsi" w:hAnsi="Abadi" w:cs="Calibri"/>
          <w:color w:val="000000" w:themeColor="text1"/>
          <w:kern w:val="2"/>
          <w:sz w:val="24"/>
          <w:szCs w:val="24"/>
          <w:lang w:eastAsia="en-US"/>
          <w14:ligatures w14:val="standardContextual"/>
        </w:rPr>
        <w:t>-M Allen, Criminal Law (14</w:t>
      </w:r>
      <w:r w:rsidRPr="006540B5">
        <w:rPr>
          <w:rFonts w:ascii="Abadi" w:eastAsiaTheme="minorHAnsi" w:hAnsi="Abadi" w:cs="Calibri"/>
          <w:color w:val="000000" w:themeColor="text1"/>
          <w:kern w:val="2"/>
          <w:sz w:val="24"/>
          <w:szCs w:val="24"/>
          <w:vertAlign w:val="superscript"/>
          <w:lang w:eastAsia="en-US"/>
          <w14:ligatures w14:val="standardContextual"/>
        </w:rPr>
        <w:t>th</w:t>
      </w:r>
      <w:r w:rsidRPr="006540B5">
        <w:rPr>
          <w:rFonts w:ascii="Abadi" w:eastAsiaTheme="minorHAnsi" w:hAnsi="Abadi" w:cs="Calibri"/>
          <w:color w:val="000000" w:themeColor="text1"/>
          <w:kern w:val="2"/>
          <w:sz w:val="24"/>
          <w:szCs w:val="24"/>
          <w:lang w:eastAsia="en-US"/>
          <w14:ligatures w14:val="standardContextual"/>
        </w:rPr>
        <w:t> </w:t>
      </w:r>
      <w:proofErr w:type="spellStart"/>
      <w:r w:rsidRPr="006540B5">
        <w:rPr>
          <w:rFonts w:ascii="Abadi" w:eastAsiaTheme="minorHAnsi" w:hAnsi="Abadi" w:cs="Calibri"/>
          <w:color w:val="000000" w:themeColor="text1"/>
          <w:kern w:val="2"/>
          <w:sz w:val="24"/>
          <w:szCs w:val="24"/>
          <w:lang w:eastAsia="en-US"/>
          <w14:ligatures w14:val="standardContextual"/>
        </w:rPr>
        <w:t>Edn</w:t>
      </w:r>
      <w:proofErr w:type="spellEnd"/>
      <w:r w:rsidRPr="006540B5">
        <w:rPr>
          <w:rFonts w:ascii="Abadi" w:eastAsiaTheme="minorHAnsi" w:hAnsi="Abadi" w:cs="Calibri"/>
          <w:color w:val="000000" w:themeColor="text1"/>
          <w:kern w:val="2"/>
          <w:sz w:val="24"/>
          <w:szCs w:val="24"/>
          <w:lang w:eastAsia="en-US"/>
          <w14:ligatures w14:val="standardContextual"/>
        </w:rPr>
        <w:t>. Oxford University Press 2017)</w:t>
      </w:r>
    </w:p>
    <w:p w14:paraId="76EA35F0" w14:textId="77777777" w:rsidR="005C2687" w:rsidRPr="006540B5" w:rsidRDefault="005C2687" w:rsidP="005C2687">
      <w:pPr>
        <w:spacing w:after="160"/>
        <w:jc w:val="both"/>
        <w:rPr>
          <w:rFonts w:ascii="Calibri" w:eastAsiaTheme="minorHAnsi" w:hAnsi="Calibri" w:cs="Calibri"/>
          <w:kern w:val="2"/>
          <w:lang w:eastAsia="en-US"/>
          <w14:ligatures w14:val="standardContextual"/>
        </w:rPr>
      </w:pPr>
      <w:r w:rsidRPr="006540B5">
        <w:rPr>
          <w:rFonts w:ascii="Abadi" w:eastAsiaTheme="minorHAnsi" w:hAnsi="Abadi" w:cs="Calibri"/>
          <w:kern w:val="2"/>
          <w:sz w:val="24"/>
          <w:szCs w:val="24"/>
          <w:lang w:eastAsia="en-US"/>
          <w14:ligatures w14:val="standardContextual"/>
        </w:rPr>
        <w:t>- McAdams, T. (2018). A Criminal Law Conversation: The State of Play on Consent. Chicago-Kent Law Review, 93(4), 1125-1161</w:t>
      </w:r>
    </w:p>
    <w:p w14:paraId="12241DF1" w14:textId="77777777" w:rsidR="005C2687" w:rsidRPr="006540B5" w:rsidRDefault="005C2687" w:rsidP="005C2687">
      <w:pPr>
        <w:spacing w:after="160"/>
        <w:jc w:val="both"/>
        <w:rPr>
          <w:rFonts w:ascii="Calibri" w:eastAsiaTheme="minorHAnsi" w:hAnsi="Calibri" w:cs="Calibri"/>
          <w:color w:val="000000" w:themeColor="text1"/>
          <w:kern w:val="2"/>
          <w:lang w:eastAsia="en-US"/>
          <w14:ligatures w14:val="standardContextual"/>
        </w:rPr>
      </w:pPr>
      <w:r w:rsidRPr="006540B5">
        <w:rPr>
          <w:rFonts w:ascii="Abadi" w:eastAsiaTheme="minorHAnsi" w:hAnsi="Abadi" w:cs="Calibri"/>
          <w:color w:val="000000" w:themeColor="text1"/>
          <w:kern w:val="2"/>
          <w:sz w:val="24"/>
          <w:szCs w:val="24"/>
          <w:shd w:val="clear" w:color="auto" w:fill="FEF1C4"/>
          <w:lang w:eastAsia="en-US"/>
          <w14:ligatures w14:val="standardContextual"/>
        </w:rPr>
        <w:t xml:space="preserve">-Moore, N.J. (2012). Intent and Consent in the Tort of Battery: Confusion and Controversy. SSRN Electronic Journal. Doi: </w:t>
      </w:r>
    </w:p>
    <w:p w14:paraId="0E9D73CE" w14:textId="77777777" w:rsidR="005C2687" w:rsidRPr="006540B5" w:rsidRDefault="005C2687" w:rsidP="005C2687">
      <w:pPr>
        <w:spacing w:after="160"/>
        <w:jc w:val="both"/>
        <w:rPr>
          <w:rFonts w:ascii="Calibri" w:eastAsiaTheme="minorHAnsi" w:hAnsi="Calibri" w:cs="Calibri"/>
          <w:kern w:val="2"/>
          <w:lang w:eastAsia="en-US"/>
          <w14:ligatures w14:val="standardContextual"/>
        </w:rPr>
      </w:pPr>
      <w:hyperlink r:id="rId8" w:history="1">
        <w:r w:rsidRPr="006540B5">
          <w:rPr>
            <w:rStyle w:val="Hyperlink"/>
            <w:rFonts w:ascii="Abadi" w:eastAsiaTheme="minorHAnsi" w:hAnsi="Abadi" w:cs="Calibri"/>
            <w:kern w:val="2"/>
            <w:sz w:val="24"/>
            <w:szCs w:val="24"/>
            <w:shd w:val="clear" w:color="auto" w:fill="FEF1C4"/>
            <w:lang w:eastAsia="en-US"/>
            <w14:ligatures w14:val="standardContextual"/>
          </w:rPr>
          <w:t>https://doi.org/10.2139/ssrn.2008843</w:t>
        </w:r>
      </w:hyperlink>
    </w:p>
    <w:p w14:paraId="497063BA" w14:textId="77777777" w:rsidR="005C2687" w:rsidRPr="006540B5" w:rsidRDefault="005C2687" w:rsidP="005C2687">
      <w:pPr>
        <w:spacing w:after="160"/>
        <w:jc w:val="both"/>
        <w:rPr>
          <w:rFonts w:ascii="Calibri" w:eastAsiaTheme="minorHAnsi" w:hAnsi="Calibri" w:cs="Calibri"/>
          <w:kern w:val="2"/>
          <w:lang w:eastAsia="en-US"/>
          <w14:ligatures w14:val="standardContextual"/>
        </w:rPr>
      </w:pPr>
      <w:r w:rsidRPr="006540B5">
        <w:rPr>
          <w:rFonts w:ascii="Abadi" w:eastAsiaTheme="minorHAnsi" w:hAnsi="Abadi" w:cs="Calibri"/>
          <w:color w:val="000000" w:themeColor="text1"/>
          <w:kern w:val="2"/>
          <w:sz w:val="24"/>
          <w:szCs w:val="24"/>
          <w:shd w:val="clear" w:color="auto" w:fill="FEF1C4"/>
          <w:lang w:eastAsia="en-US"/>
          <w14:ligatures w14:val="standardContextual"/>
        </w:rPr>
        <w:t>Accessed [29.10.2023]</w:t>
      </w:r>
    </w:p>
    <w:p w14:paraId="77AEB1C1" w14:textId="77777777" w:rsidR="005C2687" w:rsidRPr="006540B5" w:rsidRDefault="005C2687" w:rsidP="005C2687">
      <w:pPr>
        <w:spacing w:after="160"/>
        <w:jc w:val="both"/>
        <w:rPr>
          <w:rFonts w:ascii="Calibri" w:eastAsiaTheme="minorHAnsi" w:hAnsi="Calibri" w:cs="Calibri"/>
          <w:color w:val="000000" w:themeColor="text1"/>
          <w:kern w:val="2"/>
          <w:lang w:eastAsia="en-US"/>
          <w14:ligatures w14:val="standardContextual"/>
        </w:rPr>
      </w:pPr>
      <w:r w:rsidRPr="006540B5">
        <w:rPr>
          <w:rFonts w:ascii="Abadi" w:eastAsiaTheme="minorHAnsi" w:hAnsi="Abadi" w:cs="Calibri"/>
          <w:color w:val="000000" w:themeColor="text1"/>
          <w:kern w:val="2"/>
          <w:sz w:val="24"/>
          <w:szCs w:val="24"/>
          <w:shd w:val="clear" w:color="auto" w:fill="FEF1C4"/>
          <w:lang w:eastAsia="en-US"/>
          <w14:ligatures w14:val="standardContextual"/>
        </w:rPr>
        <w:t>-Roberts, J.L. and Elizabeth Weeks Leonard (2019). Healthism: health-status discrimination and the law. Cambridge, United Kingdom; New York, Ny: Cambridge University Press.</w:t>
      </w:r>
    </w:p>
    <w:p w14:paraId="03E63B7E" w14:textId="77777777" w:rsidR="005C2687" w:rsidRPr="006540B5" w:rsidRDefault="005C2687" w:rsidP="005C2687">
      <w:pPr>
        <w:spacing w:after="160"/>
        <w:jc w:val="both"/>
        <w:rPr>
          <w:rFonts w:ascii="Calibri" w:eastAsiaTheme="minorHAnsi" w:hAnsi="Calibri" w:cs="Calibri"/>
          <w:color w:val="000000" w:themeColor="text1"/>
          <w:kern w:val="2"/>
          <w:lang w:eastAsia="en-US"/>
          <w14:ligatures w14:val="standardContextual"/>
        </w:rPr>
      </w:pPr>
      <w:r w:rsidRPr="006540B5">
        <w:rPr>
          <w:rFonts w:ascii="Abadi" w:eastAsiaTheme="minorHAnsi" w:hAnsi="Abadi" w:cs="Calibri"/>
          <w:color w:val="000000" w:themeColor="text1"/>
          <w:kern w:val="2"/>
          <w:sz w:val="24"/>
          <w:szCs w:val="24"/>
          <w:lang w:eastAsia="en-US"/>
          <w14:ligatures w14:val="standardContextual"/>
        </w:rPr>
        <w:t>-S Leake, “Contact sports: application of defence of consent” Criminal Law Review (2005)</w:t>
      </w:r>
    </w:p>
    <w:p w14:paraId="32850659" w14:textId="77777777" w:rsidR="005C2687" w:rsidRPr="006540B5" w:rsidRDefault="005C2687" w:rsidP="005C2687">
      <w:pPr>
        <w:spacing w:after="160"/>
        <w:jc w:val="both"/>
        <w:rPr>
          <w:rFonts w:ascii="Calibri" w:eastAsiaTheme="minorHAnsi" w:hAnsi="Calibri" w:cs="Calibri"/>
          <w:color w:val="000000" w:themeColor="text1"/>
          <w:kern w:val="2"/>
          <w:lang w:eastAsia="en-US"/>
          <w14:ligatures w14:val="standardContextual"/>
        </w:rPr>
      </w:pPr>
      <w:r w:rsidRPr="006540B5">
        <w:rPr>
          <w:rFonts w:ascii="Abadi" w:eastAsiaTheme="minorHAnsi" w:hAnsi="Abadi" w:cs="Calibri"/>
          <w:color w:val="000000" w:themeColor="text1"/>
          <w:kern w:val="2"/>
          <w:sz w:val="24"/>
          <w:szCs w:val="24"/>
          <w:shd w:val="clear" w:color="auto" w:fill="FEF1C4"/>
          <w:lang w:eastAsia="en-US"/>
          <w14:ligatures w14:val="standardContextual"/>
        </w:rPr>
        <w:t> </w:t>
      </w:r>
    </w:p>
    <w:p w14:paraId="3451594D" w14:textId="77777777" w:rsidR="005C2687" w:rsidRPr="006540B5" w:rsidRDefault="005C2687" w:rsidP="005C2687">
      <w:pPr>
        <w:spacing w:after="160"/>
        <w:jc w:val="both"/>
        <w:rPr>
          <w:rFonts w:ascii="Calibri" w:eastAsiaTheme="minorHAnsi" w:hAnsi="Calibri" w:cs="Calibri"/>
          <w:color w:val="000000" w:themeColor="text1"/>
          <w:kern w:val="2"/>
          <w:lang w:eastAsia="en-US"/>
          <w14:ligatures w14:val="standardContextual"/>
        </w:rPr>
      </w:pPr>
      <w:r w:rsidRPr="006540B5">
        <w:rPr>
          <w:rFonts w:ascii="Abadi" w:eastAsiaTheme="minorHAnsi" w:hAnsi="Abadi" w:cs="Calibri"/>
          <w:color w:val="000000" w:themeColor="text1"/>
          <w:kern w:val="2"/>
          <w:sz w:val="24"/>
          <w:szCs w:val="24"/>
          <w:shd w:val="clear" w:color="auto" w:fill="FEF1C4"/>
          <w:lang w:eastAsia="en-US"/>
          <w14:ligatures w14:val="standardContextual"/>
        </w:rPr>
        <w:lastRenderedPageBreak/>
        <w:t xml:space="preserve">-Team, C. (2014). Battery - Definition, Types, Examples and Cases. [online] Legal Dictionary. </w:t>
      </w:r>
    </w:p>
    <w:p w14:paraId="2FDBB810" w14:textId="77777777" w:rsidR="005C2687" w:rsidRPr="006540B5" w:rsidRDefault="005C2687" w:rsidP="005C2687">
      <w:pPr>
        <w:spacing w:after="160"/>
        <w:jc w:val="both"/>
        <w:rPr>
          <w:rFonts w:ascii="Calibri" w:eastAsiaTheme="minorHAnsi" w:hAnsi="Calibri" w:cs="Calibri"/>
          <w:kern w:val="2"/>
          <w:lang w:eastAsia="en-US"/>
          <w14:ligatures w14:val="standardContextual"/>
        </w:rPr>
      </w:pPr>
      <w:r w:rsidRPr="006540B5">
        <w:rPr>
          <w:rFonts w:ascii="Abadi" w:eastAsiaTheme="minorHAnsi" w:hAnsi="Abadi" w:cs="Calibri"/>
          <w:color w:val="000000" w:themeColor="text1"/>
          <w:kern w:val="2"/>
          <w:sz w:val="24"/>
          <w:szCs w:val="24"/>
          <w:shd w:val="clear" w:color="auto" w:fill="FEF1C4"/>
          <w:lang w:eastAsia="en-US"/>
          <w14:ligatures w14:val="standardContextual"/>
        </w:rPr>
        <w:t xml:space="preserve">Available at: </w:t>
      </w:r>
      <w:hyperlink r:id="rId9" w:history="1">
        <w:r w:rsidRPr="006540B5">
          <w:rPr>
            <w:rStyle w:val="Hyperlink"/>
            <w:rFonts w:ascii="Abadi" w:eastAsiaTheme="minorHAnsi" w:hAnsi="Abadi" w:cs="Calibri"/>
            <w:kern w:val="2"/>
            <w:sz w:val="24"/>
            <w:szCs w:val="24"/>
            <w:shd w:val="clear" w:color="auto" w:fill="FEF1C4"/>
            <w:lang w:eastAsia="en-US"/>
            <w14:ligatures w14:val="standardContextual"/>
          </w:rPr>
          <w:t>https://legaldictionary.net/battery/</w:t>
        </w:r>
      </w:hyperlink>
      <w:r w:rsidRPr="006540B5">
        <w:rPr>
          <w:rFonts w:ascii="Abadi" w:eastAsiaTheme="minorHAnsi" w:hAnsi="Abadi" w:cs="Calibri"/>
          <w:color w:val="2C3E50"/>
          <w:kern w:val="2"/>
          <w:sz w:val="24"/>
          <w:szCs w:val="24"/>
          <w:shd w:val="clear" w:color="auto" w:fill="FEF1C4"/>
          <w:lang w:eastAsia="en-US"/>
          <w14:ligatures w14:val="standardContextual"/>
        </w:rPr>
        <w:t>.</w:t>
      </w:r>
    </w:p>
    <w:p w14:paraId="1B311688" w14:textId="77777777" w:rsidR="005C2687" w:rsidRPr="006540B5" w:rsidRDefault="005C2687" w:rsidP="005C2687">
      <w:pPr>
        <w:spacing w:after="160"/>
        <w:jc w:val="both"/>
        <w:rPr>
          <w:rFonts w:ascii="Calibri" w:eastAsiaTheme="minorHAnsi" w:hAnsi="Calibri" w:cs="Calibri"/>
          <w:color w:val="000000" w:themeColor="text1"/>
          <w:kern w:val="2"/>
          <w:lang w:eastAsia="en-US"/>
          <w14:ligatures w14:val="standardContextual"/>
        </w:rPr>
      </w:pPr>
      <w:r w:rsidRPr="006540B5">
        <w:rPr>
          <w:rFonts w:ascii="Abadi" w:eastAsiaTheme="minorHAnsi" w:hAnsi="Abadi" w:cs="Calibri"/>
          <w:color w:val="000000" w:themeColor="text1"/>
          <w:kern w:val="2"/>
          <w:sz w:val="24"/>
          <w:szCs w:val="24"/>
          <w:shd w:val="clear" w:color="auto" w:fill="FEF1C4"/>
          <w:lang w:eastAsia="en-US"/>
          <w14:ligatures w14:val="standardContextual"/>
        </w:rPr>
        <w:t>Accessed [29.10.2023]</w:t>
      </w:r>
    </w:p>
    <w:p w14:paraId="453A1548" w14:textId="77777777" w:rsidR="005C2687" w:rsidRPr="006540B5" w:rsidRDefault="005C2687" w:rsidP="005C2687">
      <w:pPr>
        <w:spacing w:after="160"/>
        <w:jc w:val="both"/>
        <w:rPr>
          <w:rFonts w:ascii="Calibri" w:eastAsiaTheme="minorHAnsi" w:hAnsi="Calibri" w:cs="Calibri"/>
          <w:kern w:val="2"/>
          <w:lang w:eastAsia="en-US"/>
          <w14:ligatures w14:val="standardContextual"/>
        </w:rPr>
      </w:pPr>
      <w:r w:rsidRPr="006540B5">
        <w:rPr>
          <w:rFonts w:ascii="Abadi" w:eastAsiaTheme="minorHAnsi" w:hAnsi="Abadi" w:cs="Calibri"/>
          <w:color w:val="2C3E50"/>
          <w:kern w:val="2"/>
          <w:sz w:val="24"/>
          <w:szCs w:val="24"/>
          <w:shd w:val="clear" w:color="auto" w:fill="FEF1C4"/>
          <w:lang w:eastAsia="en-US"/>
          <w14:ligatures w14:val="standardContextual"/>
        </w:rPr>
        <w:t>-</w:t>
      </w:r>
      <w:hyperlink r:id="rId10" w:history="1">
        <w:r w:rsidRPr="006540B5">
          <w:rPr>
            <w:rStyle w:val="Hyperlink"/>
            <w:rFonts w:ascii="Abadi" w:eastAsiaTheme="minorHAnsi" w:hAnsi="Abadi" w:cs="Calibri"/>
            <w:kern w:val="2"/>
            <w:sz w:val="24"/>
            <w:szCs w:val="24"/>
            <w:shd w:val="clear" w:color="auto" w:fill="FEF1C4"/>
            <w:lang w:eastAsia="en-US"/>
            <w14:ligatures w14:val="standardContextual"/>
          </w:rPr>
          <w:t>www.e-lawresources.co.uk</w:t>
        </w:r>
      </w:hyperlink>
      <w:r w:rsidRPr="006540B5">
        <w:rPr>
          <w:rFonts w:ascii="Abadi" w:eastAsiaTheme="minorHAnsi" w:hAnsi="Abadi" w:cs="Calibri"/>
          <w:color w:val="2C3E50"/>
          <w:kern w:val="2"/>
          <w:sz w:val="24"/>
          <w:szCs w:val="24"/>
          <w:shd w:val="clear" w:color="auto" w:fill="FEF1C4"/>
          <w:lang w:eastAsia="en-US"/>
          <w14:ligatures w14:val="standardContextual"/>
        </w:rPr>
        <w:t xml:space="preserve">. </w:t>
      </w:r>
      <w:r w:rsidRPr="006540B5">
        <w:rPr>
          <w:rFonts w:ascii="Abadi" w:eastAsiaTheme="minorHAnsi" w:hAnsi="Abadi" w:cs="Calibri"/>
          <w:color w:val="000000" w:themeColor="text1"/>
          <w:kern w:val="2"/>
          <w:sz w:val="24"/>
          <w:szCs w:val="24"/>
          <w:shd w:val="clear" w:color="auto" w:fill="FEF1C4"/>
          <w:lang w:eastAsia="en-US"/>
          <w14:ligatures w14:val="standardContextual"/>
        </w:rPr>
        <w:t>(n.d.). Battery. [online] Available at</w:t>
      </w:r>
      <w:r w:rsidRPr="006540B5">
        <w:rPr>
          <w:rFonts w:ascii="Abadi" w:eastAsiaTheme="minorHAnsi" w:hAnsi="Abadi" w:cs="Calibri"/>
          <w:color w:val="2C3E50"/>
          <w:kern w:val="2"/>
          <w:sz w:val="24"/>
          <w:szCs w:val="24"/>
          <w:shd w:val="clear" w:color="auto" w:fill="FEF1C4"/>
          <w:lang w:eastAsia="en-US"/>
          <w14:ligatures w14:val="standardContextual"/>
        </w:rPr>
        <w:t>:</w:t>
      </w:r>
    </w:p>
    <w:p w14:paraId="604F35A2" w14:textId="77777777" w:rsidR="005C2687" w:rsidRPr="006540B5" w:rsidRDefault="005C2687" w:rsidP="005C2687">
      <w:pPr>
        <w:spacing w:after="160"/>
        <w:jc w:val="both"/>
        <w:rPr>
          <w:rFonts w:ascii="Calibri" w:eastAsiaTheme="minorHAnsi" w:hAnsi="Calibri" w:cs="Calibri"/>
          <w:kern w:val="2"/>
          <w:lang w:eastAsia="en-US"/>
          <w14:ligatures w14:val="standardContextual"/>
        </w:rPr>
      </w:pPr>
      <w:r w:rsidRPr="006540B5">
        <w:rPr>
          <w:rFonts w:ascii="Abadi" w:eastAsiaTheme="minorHAnsi" w:hAnsi="Abadi" w:cs="Calibri"/>
          <w:color w:val="2C3E50"/>
          <w:kern w:val="2"/>
          <w:sz w:val="24"/>
          <w:szCs w:val="24"/>
          <w:shd w:val="clear" w:color="auto" w:fill="FEF1C4"/>
          <w:lang w:eastAsia="en-US"/>
          <w14:ligatures w14:val="standardContextual"/>
        </w:rPr>
        <w:t> </w:t>
      </w:r>
      <w:hyperlink r:id="rId11" w:history="1">
        <w:r w:rsidRPr="006540B5">
          <w:rPr>
            <w:rStyle w:val="Hyperlink"/>
            <w:rFonts w:ascii="Abadi" w:eastAsiaTheme="minorHAnsi" w:hAnsi="Abadi" w:cs="Calibri"/>
            <w:kern w:val="2"/>
            <w:sz w:val="24"/>
            <w:szCs w:val="24"/>
            <w:shd w:val="clear" w:color="auto" w:fill="FEF1C4"/>
            <w:lang w:eastAsia="en-US"/>
            <w14:ligatures w14:val="standardContextual"/>
          </w:rPr>
          <w:t>https://www.e-lawresources.co.uk/Battery.php</w:t>
        </w:r>
      </w:hyperlink>
      <w:r w:rsidRPr="006540B5">
        <w:rPr>
          <w:rFonts w:ascii="Abadi" w:eastAsiaTheme="minorHAnsi" w:hAnsi="Abadi" w:cs="Calibri"/>
          <w:color w:val="2C3E50"/>
          <w:kern w:val="2"/>
          <w:sz w:val="24"/>
          <w:szCs w:val="24"/>
          <w:shd w:val="clear" w:color="auto" w:fill="FEF1C4"/>
          <w:lang w:eastAsia="en-US"/>
          <w14:ligatures w14:val="standardContextual"/>
        </w:rPr>
        <w:t>.</w:t>
      </w:r>
    </w:p>
    <w:p w14:paraId="59C976D2" w14:textId="77777777" w:rsidR="005C2687" w:rsidRPr="006540B5" w:rsidRDefault="005C2687" w:rsidP="005C2687">
      <w:pPr>
        <w:spacing w:after="160"/>
        <w:jc w:val="both"/>
        <w:rPr>
          <w:rFonts w:ascii="Calibri" w:eastAsiaTheme="minorHAnsi" w:hAnsi="Calibri" w:cs="Calibri"/>
          <w:color w:val="000000" w:themeColor="text1"/>
          <w:kern w:val="2"/>
          <w:lang w:eastAsia="en-US"/>
          <w14:ligatures w14:val="standardContextual"/>
        </w:rPr>
      </w:pPr>
      <w:r w:rsidRPr="006540B5">
        <w:rPr>
          <w:rFonts w:ascii="Abadi" w:eastAsiaTheme="minorHAnsi" w:hAnsi="Abadi" w:cs="Calibri"/>
          <w:color w:val="000000" w:themeColor="text1"/>
          <w:kern w:val="2"/>
          <w:sz w:val="24"/>
          <w:szCs w:val="24"/>
          <w:shd w:val="clear" w:color="auto" w:fill="FEF1C4"/>
          <w:lang w:eastAsia="en-US"/>
          <w14:ligatures w14:val="standardContextual"/>
        </w:rPr>
        <w:t>Accessed [29.10.2023]</w:t>
      </w:r>
    </w:p>
    <w:p w14:paraId="20E03081" w14:textId="77777777" w:rsidR="005C2687" w:rsidRPr="006540B5" w:rsidRDefault="005C2687" w:rsidP="005C2687">
      <w:pPr>
        <w:spacing w:after="160"/>
        <w:jc w:val="both"/>
        <w:rPr>
          <w:rFonts w:ascii="Calibri" w:eastAsiaTheme="minorHAnsi" w:hAnsi="Calibri" w:cs="Calibri"/>
          <w:color w:val="000000" w:themeColor="text1"/>
          <w:kern w:val="2"/>
          <w:lang w:eastAsia="en-US"/>
          <w14:ligatures w14:val="standardContextual"/>
        </w:rPr>
      </w:pPr>
      <w:r w:rsidRPr="006540B5">
        <w:rPr>
          <w:rFonts w:ascii="Abadi" w:eastAsiaTheme="minorHAnsi" w:hAnsi="Abadi" w:cs="Calibri"/>
          <w:color w:val="2C3E50"/>
          <w:kern w:val="2"/>
          <w:sz w:val="24"/>
          <w:szCs w:val="24"/>
          <w:shd w:val="clear" w:color="auto" w:fill="FEF1C4"/>
          <w:lang w:eastAsia="en-US"/>
          <w14:ligatures w14:val="standardContextual"/>
        </w:rPr>
        <w:t>-</w:t>
      </w:r>
      <w:hyperlink r:id="rId12" w:history="1">
        <w:r w:rsidRPr="006540B5">
          <w:rPr>
            <w:rStyle w:val="Hyperlink"/>
            <w:rFonts w:ascii="Abadi" w:eastAsiaTheme="minorHAnsi" w:hAnsi="Abadi" w:cs="Calibri"/>
            <w:kern w:val="2"/>
            <w:sz w:val="24"/>
            <w:szCs w:val="24"/>
            <w:shd w:val="clear" w:color="auto" w:fill="FEF1C4"/>
            <w:lang w:eastAsia="en-US"/>
            <w14:ligatures w14:val="standardContextual"/>
          </w:rPr>
          <w:t>www.lawteacher.net</w:t>
        </w:r>
      </w:hyperlink>
      <w:r w:rsidRPr="006540B5">
        <w:rPr>
          <w:rFonts w:ascii="Abadi" w:eastAsiaTheme="minorHAnsi" w:hAnsi="Abadi" w:cs="Calibri"/>
          <w:color w:val="2C3E50"/>
          <w:kern w:val="2"/>
          <w:sz w:val="24"/>
          <w:szCs w:val="24"/>
          <w:shd w:val="clear" w:color="auto" w:fill="FEF1C4"/>
          <w:lang w:eastAsia="en-US"/>
          <w14:ligatures w14:val="standardContextual"/>
        </w:rPr>
        <w:t xml:space="preserve">. </w:t>
      </w:r>
      <w:r w:rsidRPr="006540B5">
        <w:rPr>
          <w:rFonts w:ascii="Abadi" w:eastAsiaTheme="minorHAnsi" w:hAnsi="Abadi" w:cs="Calibri"/>
          <w:color w:val="000000" w:themeColor="text1"/>
          <w:kern w:val="2"/>
          <w:sz w:val="24"/>
          <w:szCs w:val="24"/>
          <w:shd w:val="clear" w:color="auto" w:fill="FEF1C4"/>
          <w:lang w:eastAsia="en-US"/>
          <w14:ligatures w14:val="standardContextual"/>
        </w:rPr>
        <w:t xml:space="preserve">(n.d.). Examining Consent as a Defence in Criminal Law. [online] Available at: </w:t>
      </w:r>
    </w:p>
    <w:p w14:paraId="53B19303" w14:textId="77777777" w:rsidR="005C2687" w:rsidRPr="006540B5" w:rsidRDefault="005C2687" w:rsidP="005C2687">
      <w:pPr>
        <w:spacing w:after="160"/>
        <w:jc w:val="both"/>
        <w:rPr>
          <w:rFonts w:ascii="Calibri" w:eastAsiaTheme="minorHAnsi" w:hAnsi="Calibri" w:cs="Calibri"/>
          <w:kern w:val="2"/>
          <w:lang w:eastAsia="en-US"/>
          <w14:ligatures w14:val="standardContextual"/>
        </w:rPr>
      </w:pPr>
      <w:hyperlink r:id="rId13" w:history="1">
        <w:r w:rsidRPr="006540B5">
          <w:rPr>
            <w:rStyle w:val="Hyperlink"/>
            <w:rFonts w:ascii="Abadi" w:eastAsiaTheme="minorHAnsi" w:hAnsi="Abadi" w:cs="Calibri"/>
            <w:kern w:val="2"/>
            <w:sz w:val="24"/>
            <w:szCs w:val="24"/>
            <w:shd w:val="clear" w:color="auto" w:fill="FEF1C4"/>
            <w:lang w:eastAsia="en-US"/>
            <w14:ligatures w14:val="standardContextual"/>
          </w:rPr>
          <w:t>https://www.lawteacher.net/free-law-essays/criminal-law/consent-defence-criminal-law-3735.php</w:t>
        </w:r>
      </w:hyperlink>
      <w:r w:rsidRPr="006540B5">
        <w:rPr>
          <w:rFonts w:ascii="Abadi" w:eastAsiaTheme="minorHAnsi" w:hAnsi="Abadi" w:cs="Calibri"/>
          <w:color w:val="2C3E50"/>
          <w:kern w:val="2"/>
          <w:sz w:val="24"/>
          <w:szCs w:val="24"/>
          <w:shd w:val="clear" w:color="auto" w:fill="FEF1C4"/>
          <w:lang w:eastAsia="en-US"/>
          <w14:ligatures w14:val="standardContextual"/>
        </w:rPr>
        <w:t>.</w:t>
      </w:r>
    </w:p>
    <w:p w14:paraId="5E61C53C" w14:textId="77777777" w:rsidR="005C2687" w:rsidRPr="006540B5" w:rsidRDefault="005C2687" w:rsidP="005C2687">
      <w:pPr>
        <w:spacing w:after="160"/>
        <w:jc w:val="both"/>
        <w:rPr>
          <w:rFonts w:ascii="Calibri" w:eastAsiaTheme="minorHAnsi" w:hAnsi="Calibri" w:cs="Calibri"/>
          <w:color w:val="000000" w:themeColor="text1"/>
          <w:kern w:val="2"/>
          <w:lang w:eastAsia="en-US"/>
          <w14:ligatures w14:val="standardContextual"/>
        </w:rPr>
      </w:pPr>
      <w:r w:rsidRPr="006540B5">
        <w:rPr>
          <w:rFonts w:ascii="Abadi" w:eastAsiaTheme="minorHAnsi" w:hAnsi="Abadi" w:cs="Calibri"/>
          <w:color w:val="000000" w:themeColor="text1"/>
          <w:kern w:val="2"/>
          <w:sz w:val="24"/>
          <w:szCs w:val="24"/>
          <w:shd w:val="clear" w:color="auto" w:fill="FEF1C4"/>
          <w:lang w:eastAsia="en-US"/>
          <w14:ligatures w14:val="standardContextual"/>
        </w:rPr>
        <w:t>Accessed [28.10.2023]</w:t>
      </w:r>
    </w:p>
    <w:p w14:paraId="1CF8FF04" w14:textId="7C7000A1" w:rsidR="006540B5" w:rsidRPr="006540B5" w:rsidRDefault="00021796" w:rsidP="005C2687">
      <w:pPr>
        <w:rPr>
          <w:rFonts w:ascii="Abadi" w:hAnsi="Abadi" w:cs="Calibri"/>
          <w:color w:val="000000" w:themeColor="text1"/>
          <w:sz w:val="24"/>
          <w:szCs w:val="24"/>
          <w:shd w:val="clear" w:color="auto" w:fill="FEF1C4"/>
        </w:rPr>
      </w:pPr>
      <w:r w:rsidRPr="006540B5">
        <w:rPr>
          <w:rFonts w:ascii="Abadi" w:hAnsi="Abadi" w:cs="Calibri"/>
          <w:color w:val="000000" w:themeColor="text1"/>
          <w:sz w:val="24"/>
          <w:szCs w:val="24"/>
          <w:shd w:val="clear" w:color="auto" w:fill="FEF1C4"/>
        </w:rPr>
        <w:t>www.lawteacher.net. (n.d.). R v Thomas - 1985. [online] Available at:</w:t>
      </w:r>
    </w:p>
    <w:p w14:paraId="0FB7BE9E" w14:textId="2415504F" w:rsidR="006540B5" w:rsidRPr="006540B5" w:rsidRDefault="006540B5" w:rsidP="005C2687">
      <w:pPr>
        <w:rPr>
          <w:rFonts w:ascii="Abadi" w:hAnsi="Abadi" w:cs="Calibri"/>
          <w:color w:val="000000" w:themeColor="text1"/>
          <w:sz w:val="24"/>
          <w:szCs w:val="24"/>
          <w:shd w:val="clear" w:color="auto" w:fill="FEF1C4"/>
        </w:rPr>
      </w:pPr>
      <w:hyperlink r:id="rId14" w:history="1">
        <w:r w:rsidRPr="006540B5">
          <w:rPr>
            <w:rStyle w:val="Hyperlink"/>
            <w:rFonts w:ascii="Abadi" w:hAnsi="Abadi" w:cs="Calibri"/>
            <w:sz w:val="24"/>
            <w:szCs w:val="24"/>
            <w:shd w:val="clear" w:color="auto" w:fill="FEF1C4"/>
          </w:rPr>
          <w:t>https://www.lawteacher.net/cases/r-v-thomas.php</w:t>
        </w:r>
      </w:hyperlink>
      <w:r w:rsidR="00021796" w:rsidRPr="006540B5">
        <w:rPr>
          <w:rFonts w:ascii="Abadi" w:hAnsi="Abadi" w:cs="Calibri"/>
          <w:color w:val="000000" w:themeColor="text1"/>
          <w:sz w:val="24"/>
          <w:szCs w:val="24"/>
          <w:shd w:val="clear" w:color="auto" w:fill="FEF1C4"/>
        </w:rPr>
        <w:t>.</w:t>
      </w:r>
    </w:p>
    <w:p w14:paraId="47710D49" w14:textId="77777777" w:rsidR="006540B5" w:rsidRPr="006540B5" w:rsidRDefault="006540B5" w:rsidP="005C2687">
      <w:pPr>
        <w:rPr>
          <w:rFonts w:ascii="Abadi" w:hAnsi="Abadi" w:cs="Calibri"/>
          <w:color w:val="000000" w:themeColor="text1"/>
          <w:sz w:val="24"/>
          <w:szCs w:val="24"/>
          <w:shd w:val="clear" w:color="auto" w:fill="FEF1C4"/>
        </w:rPr>
      </w:pPr>
    </w:p>
    <w:p w14:paraId="3CFF7FEA" w14:textId="77BE7BCE" w:rsidR="00021796" w:rsidRPr="006540B5" w:rsidRDefault="006540B5" w:rsidP="005C2687">
      <w:pPr>
        <w:rPr>
          <w:rFonts w:ascii="Abadi" w:hAnsi="Abadi"/>
          <w:color w:val="000000" w:themeColor="text1"/>
          <w:sz w:val="24"/>
          <w:szCs w:val="24"/>
        </w:rPr>
      </w:pPr>
      <w:r w:rsidRPr="006540B5">
        <w:rPr>
          <w:rFonts w:ascii="Abadi" w:hAnsi="Abadi" w:cs="Calibri"/>
          <w:color w:val="000000" w:themeColor="text1"/>
          <w:sz w:val="24"/>
          <w:szCs w:val="24"/>
          <w:shd w:val="clear" w:color="auto" w:fill="FEF1C4"/>
        </w:rPr>
        <w:t>Accessed [</w:t>
      </w:r>
      <w:r w:rsidR="00BA3B4D" w:rsidRPr="006540B5">
        <w:rPr>
          <w:rFonts w:ascii="Abadi" w:hAnsi="Abadi" w:cs="Calibri"/>
          <w:color w:val="000000" w:themeColor="text1"/>
          <w:sz w:val="24"/>
          <w:szCs w:val="24"/>
          <w:shd w:val="clear" w:color="auto" w:fill="FEF1C4"/>
        </w:rPr>
        <w:t>04.11.2023]</w:t>
      </w:r>
    </w:p>
    <w:sectPr w:rsidR="00021796" w:rsidRPr="006540B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badi">
    <w:charset w:val="00"/>
    <w:family w:val="swiss"/>
    <w:pitch w:val="variable"/>
    <w:sig w:usb0="8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2687"/>
    <w:rsid w:val="00021796"/>
    <w:rsid w:val="0012772A"/>
    <w:rsid w:val="002B7287"/>
    <w:rsid w:val="003202E9"/>
    <w:rsid w:val="00360032"/>
    <w:rsid w:val="0045501B"/>
    <w:rsid w:val="00536313"/>
    <w:rsid w:val="0056016E"/>
    <w:rsid w:val="005C2687"/>
    <w:rsid w:val="006540B5"/>
    <w:rsid w:val="0079645B"/>
    <w:rsid w:val="00AC04DC"/>
    <w:rsid w:val="00BA3B4D"/>
    <w:rsid w:val="00CF53F1"/>
    <w:rsid w:val="00E91F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86D6C5"/>
  <w15:chartTrackingRefBased/>
  <w15:docId w15:val="{35D94B6F-1AC1-4A30-BD20-B759EE3DD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2687"/>
    <w:pPr>
      <w:spacing w:after="0" w:line="240" w:lineRule="auto"/>
    </w:pPr>
    <w:rPr>
      <w:rFonts w:eastAsiaTheme="minorEastAsia"/>
      <w:kern w:val="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C2687"/>
    <w:rPr>
      <w:color w:val="0563C1" w:themeColor="hyperlink"/>
      <w:u w:val="single"/>
    </w:rPr>
  </w:style>
  <w:style w:type="character" w:styleId="Strong">
    <w:name w:val="Strong"/>
    <w:basedOn w:val="DefaultParagraphFont"/>
    <w:uiPriority w:val="22"/>
    <w:qFormat/>
    <w:rsid w:val="0045501B"/>
    <w:rPr>
      <w:b/>
      <w:bCs/>
    </w:rPr>
  </w:style>
  <w:style w:type="character" w:styleId="UnresolvedMention">
    <w:name w:val="Unresolved Mention"/>
    <w:basedOn w:val="DefaultParagraphFont"/>
    <w:uiPriority w:val="99"/>
    <w:semiHidden/>
    <w:unhideWhenUsed/>
    <w:rsid w:val="003202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9691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139/ssrn.2008843" TargetMode="External"/><Relationship Id="rId13" Type="http://schemas.openxmlformats.org/officeDocument/2006/relationships/hyperlink" Target="https://www.lawteacher.net/free-law-essays/criminal-law/consent-defence-criminal-law-3735.php" TargetMode="External"/><Relationship Id="rId3" Type="http://schemas.openxmlformats.org/officeDocument/2006/relationships/customXml" Target="../customXml/item3.xml"/><Relationship Id="rId7" Type="http://schemas.openxmlformats.org/officeDocument/2006/relationships/hyperlink" Target="https://doi.org/10.3828/mc.25.3.30" TargetMode="External"/><Relationship Id="rId12" Type="http://schemas.openxmlformats.org/officeDocument/2006/relationships/hyperlink" Target="http://www.lawteacher.net"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e-lawresources.co.uk/Battery.php"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e-lawresources.co.uk" TargetMode="External"/><Relationship Id="rId4" Type="http://schemas.openxmlformats.org/officeDocument/2006/relationships/styles" Target="styles.xml"/><Relationship Id="rId9" Type="http://schemas.openxmlformats.org/officeDocument/2006/relationships/hyperlink" Target="https://legaldictionary.net/battery/" TargetMode="External"/><Relationship Id="rId14" Type="http://schemas.openxmlformats.org/officeDocument/2006/relationships/hyperlink" Target="https://www.lawteacher.net/cases/r-v-thomas.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FB5106338644429E3BDE2B2F67710C" ma:contentTypeVersion="4" ma:contentTypeDescription="Create a new document." ma:contentTypeScope="" ma:versionID="2464fff142444f7bf73ef2cf27445bb3">
  <xsd:schema xmlns:xsd="http://www.w3.org/2001/XMLSchema" xmlns:xs="http://www.w3.org/2001/XMLSchema" xmlns:p="http://schemas.microsoft.com/office/2006/metadata/properties" xmlns:ns3="0d4f6ffa-9f28-4e2a-a23f-4264c91c95c3" targetNamespace="http://schemas.microsoft.com/office/2006/metadata/properties" ma:root="true" ma:fieldsID="2aabb580b828e3987bc0821f80da11d5" ns3:_="">
    <xsd:import namespace="0d4f6ffa-9f28-4e2a-a23f-4264c91c95c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4f6ffa-9f28-4e2a-a23f-4264c91c95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33D12FC-6303-40E8-8060-70909CC9A0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4f6ffa-9f28-4e2a-a23f-4264c91c95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1F38FE9-1164-4DD7-8D9E-8845D6B1740B}">
  <ds:schemaRefs>
    <ds:schemaRef ds:uri="http://schemas.microsoft.com/sharepoint/v3/contenttype/forms"/>
  </ds:schemaRefs>
</ds:datastoreItem>
</file>

<file path=customXml/itemProps3.xml><?xml version="1.0" encoding="utf-8"?>
<ds:datastoreItem xmlns:ds="http://schemas.openxmlformats.org/officeDocument/2006/customXml" ds:itemID="{FD98F3E1-5174-4EBF-9A3B-3428FE4CA79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5</Pages>
  <Words>1815</Words>
  <Characters>10348</Characters>
  <Application>Microsoft Office Word</Application>
  <DocSecurity>0</DocSecurity>
  <Lines>86</Lines>
  <Paragraphs>24</Paragraphs>
  <ScaleCrop>false</ScaleCrop>
  <Company/>
  <LinksUpToDate>false</LinksUpToDate>
  <CharactersWithSpaces>12139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dc:creator>
  <cp:keywords/>
  <dc:description/>
  <cp:lastModifiedBy>Vasile</cp:lastModifiedBy>
  <cp:revision>13</cp:revision>
  <dcterms:created xsi:type="dcterms:W3CDTF">2023-11-05T10:44:00Z</dcterms:created>
  <dcterms:modified xsi:type="dcterms:W3CDTF">2023-11-05T11:12:00Z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0x01010098FB5106338644429E3BDE2B2F67710C</vt:lpwstr>
  </property>
</Properties>
</file>