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288" w:lineRule="auto"/>
        <w:jc w:val="center"/>
        <w:rPr>
          <w:rFonts w:ascii="Times New Roman" w:cs="Times New Roman" w:hAnsi="Times New Roman" w:eastAsia="Times New Roman"/>
          <w:b w:val="1"/>
          <w:bCs w:val="1"/>
          <w:sz w:val="30"/>
          <w:szCs w:val="30"/>
          <w:u w:val="single"/>
        </w:rPr>
      </w:pPr>
      <w:r>
        <w:rPr>
          <w:rFonts w:ascii="Times New Roman" w:hAnsi="Times New Roman"/>
          <w:b w:val="1"/>
          <w:bCs w:val="1"/>
          <w:sz w:val="30"/>
          <w:szCs w:val="30"/>
          <w:u w:val="single"/>
          <w:rtl w:val="0"/>
          <w:lang w:val="en-US"/>
        </w:rPr>
        <w:t>Scholarly Reply:</w:t>
      </w:r>
    </w:p>
    <w:p>
      <w:pPr>
        <w:pStyle w:val="Default"/>
        <w:bidi w:val="0"/>
        <w:spacing w:line="288" w:lineRule="auto"/>
        <w:ind w:left="0" w:right="0" w:firstLine="0"/>
        <w:jc w:val="center"/>
        <w:rPr>
          <w:rFonts w:ascii="Times New Roman" w:cs="Times New Roman" w:hAnsi="Times New Roman" w:eastAsia="Times New Roman"/>
          <w:sz w:val="30"/>
          <w:szCs w:val="30"/>
          <w:rtl w:val="0"/>
        </w:rPr>
      </w:pPr>
      <w:r>
        <w:rPr>
          <w:rFonts w:ascii="Times New Roman" w:hAnsi="Times New Roman"/>
          <w:sz w:val="30"/>
          <w:szCs w:val="30"/>
          <w:rtl w:val="0"/>
        </w:rPr>
        <w:t xml:space="preserve">N. S. Rabinowitz, </w:t>
      </w:r>
      <w:r>
        <w:rPr>
          <w:rFonts w:ascii="Times New Roman" w:hAnsi="Times New Roman" w:hint="default"/>
          <w:sz w:val="30"/>
          <w:szCs w:val="30"/>
          <w:rtl w:val="0"/>
        </w:rPr>
        <w:t>„</w:t>
      </w:r>
      <w:r>
        <w:rPr>
          <w:rFonts w:ascii="Times New Roman" w:hAnsi="Times New Roman"/>
          <w:sz w:val="30"/>
          <w:szCs w:val="30"/>
          <w:rtl w:val="0"/>
          <w:lang w:val="en-US"/>
        </w:rPr>
        <w:t>Excavating women</w:t>
      </w:r>
      <w:r>
        <w:rPr>
          <w:rFonts w:ascii="Times New Roman" w:hAnsi="Times New Roman" w:hint="default"/>
          <w:sz w:val="30"/>
          <w:szCs w:val="30"/>
          <w:rtl w:val="0"/>
        </w:rPr>
        <w:t>‟</w:t>
      </w:r>
      <w:r>
        <w:rPr>
          <w:rFonts w:ascii="Times New Roman" w:hAnsi="Times New Roman"/>
          <w:sz w:val="30"/>
          <w:szCs w:val="30"/>
          <w:rtl w:val="0"/>
          <w:lang w:val="en-US"/>
        </w:rPr>
        <w:t>s homoeroticism in ancient Greece: the evidence from Attic vase painting</w:t>
      </w:r>
      <w:r>
        <w:rPr>
          <w:rFonts w:ascii="Times New Roman" w:hAnsi="Times New Roman" w:hint="default"/>
          <w:sz w:val="30"/>
          <w:szCs w:val="30"/>
          <w:rtl w:val="0"/>
        </w:rPr>
        <w:t>‟</w:t>
      </w:r>
      <w:r>
        <w:rPr>
          <w:rFonts w:ascii="Times New Roman" w:hAnsi="Times New Roman"/>
          <w:sz w:val="30"/>
          <w:szCs w:val="30"/>
          <w:rtl w:val="0"/>
          <w:lang w:val="en-US"/>
        </w:rPr>
        <w:t>, in N. S. Rabinowitz and L. Auanger, Among Women: From the Homosocial to the Homoerotic in the Ancient World, 106-166. Austin: University of Texas Press, 2002.</w:t>
      </w:r>
    </w:p>
    <w:p>
      <w:pPr>
        <w:pStyle w:val="Default"/>
        <w:bidi w:val="0"/>
        <w:spacing w:line="288" w:lineRule="auto"/>
        <w:ind w:left="0" w:right="0" w:firstLine="0"/>
        <w:jc w:val="center"/>
        <w:rPr>
          <w:rFonts w:ascii="Times New Roman" w:cs="Times New Roman" w:hAnsi="Times New Roman" w:eastAsia="Times New Roman"/>
          <w:sz w:val="30"/>
          <w:szCs w:val="30"/>
          <w:rtl w:val="0"/>
        </w:rPr>
      </w:pPr>
    </w:p>
    <w:p>
      <w:pPr>
        <w:pStyle w:val="Default"/>
        <w:bidi w:val="0"/>
        <w:spacing w:line="288" w:lineRule="auto"/>
        <w:ind w:left="0" w:right="0" w:firstLine="0"/>
        <w:jc w:val="center"/>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Introduction.</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Sexuality was an integral part of various artworks across the Ancient Greek, as well as across antiquity, and Attic vase painting is no exception to this. Although there is a plethora of examples of what a modern audience may call </w:t>
      </w:r>
      <w:r>
        <w:rPr>
          <w:rFonts w:ascii="Times New Roman" w:hAnsi="Times New Roman" w:hint="default"/>
          <w:sz w:val="30"/>
          <w:szCs w:val="30"/>
          <w:rtl w:val="0"/>
          <w:lang w:val="en-US"/>
        </w:rPr>
        <w:t>“</w:t>
      </w:r>
      <w:r>
        <w:rPr>
          <w:rFonts w:ascii="Times New Roman" w:hAnsi="Times New Roman"/>
          <w:sz w:val="30"/>
          <w:szCs w:val="30"/>
          <w:rtl w:val="0"/>
          <w:lang w:val="en-US"/>
        </w:rPr>
        <w:t>wholesome</w:t>
      </w:r>
      <w:r>
        <w:rPr>
          <w:rFonts w:ascii="Times New Roman" w:hAnsi="Times New Roman" w:hint="default"/>
          <w:sz w:val="30"/>
          <w:szCs w:val="30"/>
          <w:rtl w:val="0"/>
          <w:lang w:val="en-US"/>
        </w:rPr>
        <w:t xml:space="preserve">” </w:t>
      </w:r>
      <w:r>
        <w:rPr>
          <w:rFonts w:ascii="Times New Roman" w:hAnsi="Times New Roman"/>
          <w:sz w:val="30"/>
          <w:szCs w:val="30"/>
          <w:rtl w:val="0"/>
          <w:lang w:val="en-US"/>
        </w:rPr>
        <w:t>depictions on vase paintings, such as standard depictions of the various deities and scenes of warfare, there is also plenty of examples of scenes of an explicit nature; both heterosexual and homoerotic. However, as Nancy Sorkin Rabinowitz explains, in art pieces outside of vase paintings such as tragic plays, it appears difficult to decipher whether this is an accurate portrayal of Ancient Athenian lifestyle, or just a further hyper-sexualisation of society for the benefit of the male-centric audience. It is at this point that Rabinowitz opens up the discussion to delve into the media of Attic vase paintings.</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Although initially, on paper, deciphering these images to bolster her agenda should seem like an easier task due to being able to physically see the images as oppose to reading the interpretations from fragments of plays, as well as potential translation issues that may occur, vase paintings bring about their own issues with decipherment. First and foremost is the amount of sources available. Although there is a vast amount of vase paintings that have survived and are readily available thanks to the internet, there are a lot of examples that have not passed the test of time, and perhaps only remain in fragments themselves or entirely lost. Unfortunately this is just an issue that will inevitably occur when studying the ancient world. </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Vases.</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Rabinowitz begins the main part of her essay discussing the vases themselves, as oppose to directly focusing on the paintings, most notably that of  focusing on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the function of the visual images</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to emphasise the role of the audience more than the maker.</w:t>
      </w:r>
      <w:r>
        <w:rPr>
          <w:rFonts w:ascii="Times New Roman" w:hAnsi="Times New Roman" w:hint="default"/>
          <w:sz w:val="30"/>
          <w:szCs w:val="30"/>
          <w:rtl w:val="0"/>
          <w:lang w:val="en-US"/>
        </w:rPr>
        <w:t>”</w:t>
      </w:r>
      <w:r>
        <w:rPr>
          <w:rFonts w:ascii="Times New Roman" w:cs="Times New Roman" w:hAnsi="Times New Roman" w:eastAsia="Times New Roman"/>
          <w:sz w:val="30"/>
          <w:szCs w:val="30"/>
          <w:vertAlign w:val="superscript"/>
          <w:rtl w:val="0"/>
        </w:rPr>
        <w:footnoteReference w:id="1"/>
      </w:r>
      <w:r>
        <w:rPr>
          <w:rFonts w:ascii="Times New Roman" w:hAnsi="Times New Roman"/>
          <w:sz w:val="30"/>
          <w:szCs w:val="30"/>
          <w:rtl w:val="0"/>
          <w:lang w:val="en-US"/>
        </w:rPr>
        <w:t xml:space="preserve"> In the same direction to this, particularly with this nature of topics, understanding the audience takes on a pivotal role in understanding what is being portrayed. For example, an </w:t>
      </w:r>
      <w:r>
        <w:rPr>
          <w:rFonts w:ascii="Times New Roman" w:hAnsi="Times New Roman"/>
          <w:i w:val="1"/>
          <w:iCs w:val="1"/>
          <w:sz w:val="30"/>
          <w:szCs w:val="30"/>
          <w:rtl w:val="0"/>
          <w:lang w:val="en-US"/>
        </w:rPr>
        <w:t>aryballos</w:t>
      </w:r>
      <w:r>
        <w:rPr>
          <w:rFonts w:ascii="Times New Roman" w:hAnsi="Times New Roman"/>
          <w:sz w:val="30"/>
          <w:szCs w:val="30"/>
          <w:rtl w:val="0"/>
          <w:lang w:val="en-US"/>
        </w:rPr>
        <w:t xml:space="preserve"> might be more inclined to display more masculine scenes due to its role as an oil vessel for athletes,</w:t>
      </w:r>
      <w:r>
        <w:rPr>
          <w:rFonts w:ascii="Times New Roman" w:cs="Times New Roman" w:hAnsi="Times New Roman" w:eastAsia="Times New Roman"/>
          <w:sz w:val="30"/>
          <w:szCs w:val="30"/>
          <w:vertAlign w:val="superscript"/>
          <w:rtl w:val="0"/>
        </w:rPr>
        <w:footnoteReference w:id="2"/>
      </w:r>
      <w:r>
        <w:rPr>
          <w:rFonts w:ascii="Times New Roman" w:hAnsi="Times New Roman"/>
          <w:sz w:val="30"/>
          <w:szCs w:val="30"/>
          <w:rtl w:val="0"/>
          <w:lang w:val="en-US"/>
        </w:rPr>
        <w:t xml:space="preserve"> such as the </w:t>
      </w:r>
      <w:r>
        <w:rPr>
          <w:rFonts w:ascii="Times New Roman" w:hAnsi="Times New Roman"/>
          <w:i w:val="1"/>
          <w:iCs w:val="1"/>
          <w:sz w:val="30"/>
          <w:szCs w:val="30"/>
          <w:rtl w:val="0"/>
          <w:lang w:val="en-US"/>
        </w:rPr>
        <w:t>aryballos</w:t>
      </w:r>
      <w:r>
        <w:rPr>
          <w:rFonts w:ascii="Times New Roman" w:hAnsi="Times New Roman"/>
          <w:sz w:val="30"/>
          <w:szCs w:val="30"/>
          <w:rtl w:val="0"/>
          <w:lang w:val="en-US"/>
        </w:rPr>
        <w:t xml:space="preserve"> attributed to The Ajax Painter (found at Museum of Fine Arts: Boston. Catalogue Raisonn</w:t>
      </w:r>
      <w:r>
        <w:rPr>
          <w:rFonts w:ascii="Times New Roman" w:hAnsi="Times New Roman" w:hint="default"/>
          <w:sz w:val="30"/>
          <w:szCs w:val="30"/>
          <w:rtl w:val="0"/>
          <w:lang w:val="en-US"/>
        </w:rPr>
        <w:t>é</w:t>
      </w:r>
      <w:r>
        <w:rPr>
          <w:rFonts w:ascii="Times New Roman" w:hAnsi="Times New Roman"/>
          <w:sz w:val="30"/>
          <w:szCs w:val="30"/>
          <w:rtl w:val="0"/>
          <w:lang w:val="en-US"/>
        </w:rPr>
        <w:t>: Fairbanks, Vases (MFA), no. 398), which depicts a figure of Zeus fighting an early form of a centaur.</w:t>
      </w:r>
      <w:r>
        <w:rPr>
          <w:rFonts w:ascii="Times New Roman" w:cs="Times New Roman" w:hAnsi="Times New Roman" w:eastAsia="Times New Roman"/>
          <w:sz w:val="30"/>
          <w:szCs w:val="30"/>
          <w:vertAlign w:val="superscript"/>
          <w:rtl w:val="0"/>
        </w:rPr>
        <w:footnoteReference w:id="3"/>
      </w:r>
      <w:r>
        <w:rPr>
          <w:rFonts w:ascii="Times New Roman" w:hAnsi="Times New Roman"/>
          <w:sz w:val="30"/>
          <w:szCs w:val="30"/>
          <w:rtl w:val="0"/>
          <w:lang w:val="en-US"/>
        </w:rPr>
        <w:t xml:space="preserve"> On the other hand, a </w:t>
      </w:r>
      <w:r>
        <w:rPr>
          <w:rFonts w:ascii="Times New Roman" w:hAnsi="Times New Roman"/>
          <w:i w:val="1"/>
          <w:iCs w:val="1"/>
          <w:sz w:val="30"/>
          <w:szCs w:val="30"/>
          <w:rtl w:val="0"/>
          <w:lang w:val="en-US"/>
        </w:rPr>
        <w:t>pyxis</w:t>
      </w:r>
      <w:r>
        <w:rPr>
          <w:rFonts w:ascii="Times New Roman" w:hAnsi="Times New Roman"/>
          <w:sz w:val="30"/>
          <w:szCs w:val="30"/>
          <w:rtl w:val="0"/>
          <w:lang w:val="en-US"/>
        </w:rPr>
        <w:t>, which would have been used to hold a woman</w:t>
      </w:r>
      <w:r>
        <w:rPr>
          <w:rFonts w:ascii="Times New Roman" w:hAnsi="Times New Roman" w:hint="default"/>
          <w:sz w:val="30"/>
          <w:szCs w:val="30"/>
          <w:rtl w:val="0"/>
          <w:lang w:val="en-US"/>
        </w:rPr>
        <w:t>’</w:t>
      </w:r>
      <w:r>
        <w:rPr>
          <w:rFonts w:ascii="Times New Roman" w:hAnsi="Times New Roman"/>
          <w:sz w:val="30"/>
          <w:szCs w:val="30"/>
          <w:rtl w:val="0"/>
          <w:lang w:val="en-US"/>
        </w:rPr>
        <w:t>s cosmetics or trinkets</w:t>
      </w:r>
      <w:r>
        <w:rPr>
          <w:rFonts w:ascii="Times New Roman" w:cs="Times New Roman" w:hAnsi="Times New Roman" w:eastAsia="Times New Roman"/>
          <w:sz w:val="30"/>
          <w:szCs w:val="30"/>
          <w:vertAlign w:val="superscript"/>
          <w:rtl w:val="0"/>
        </w:rPr>
        <w:footnoteReference w:id="4"/>
      </w:r>
      <w:r>
        <w:rPr>
          <w:rFonts w:ascii="Times New Roman" w:hAnsi="Times New Roman"/>
          <w:sz w:val="30"/>
          <w:szCs w:val="30"/>
          <w:rtl w:val="0"/>
          <w:lang w:val="en-US"/>
        </w:rPr>
        <w:t>, would perhaps display a more feminine scene, a point that Rabinowitz seems to strongly agree with.</w:t>
      </w:r>
      <w:r>
        <w:rPr>
          <w:rFonts w:ascii="Times New Roman" w:cs="Times New Roman" w:hAnsi="Times New Roman" w:eastAsia="Times New Roman"/>
          <w:sz w:val="30"/>
          <w:szCs w:val="30"/>
          <w:vertAlign w:val="superscript"/>
          <w:rtl w:val="0"/>
        </w:rPr>
        <w:footnoteReference w:id="5"/>
      </w:r>
      <w:r>
        <w:rPr>
          <w:rFonts w:ascii="Times New Roman" w:hAnsi="Times New Roman"/>
          <w:sz w:val="30"/>
          <w:szCs w:val="30"/>
          <w:rtl w:val="0"/>
          <w:lang w:val="en-US"/>
        </w:rPr>
        <w:t xml:space="preserve"> However, Rabinowitz also goes on to explain that there are some vases that would be less likely to have a gender-specific audience, as well as arguing that our view of vases is now obscured by the fact of viewing them outside of the natural environment in museums and in books instead of a contemporary home, arguing that their roles are deduced from the conclusions made by editors and curators. However, Robin Barrow seems to argue for a more male-centric society, suggesting, from his deductions from Aristophanes</w:t>
      </w:r>
      <w:r>
        <w:rPr>
          <w:rFonts w:ascii="Times New Roman" w:hAnsi="Times New Roman" w:hint="default"/>
          <w:sz w:val="30"/>
          <w:szCs w:val="30"/>
          <w:rtl w:val="0"/>
          <w:lang w:val="en-US"/>
        </w:rPr>
        <w:t xml:space="preserve">’ </w:t>
      </w:r>
      <w:r>
        <w:rPr>
          <w:rFonts w:ascii="Times New Roman" w:hAnsi="Times New Roman"/>
          <w:i w:val="1"/>
          <w:iCs w:val="1"/>
          <w:sz w:val="30"/>
          <w:szCs w:val="30"/>
          <w:rtl w:val="0"/>
          <w:lang w:val="en-US"/>
        </w:rPr>
        <w:t>Lysistrata</w:t>
      </w:r>
      <w:r>
        <w:rPr>
          <w:rFonts w:ascii="Times New Roman" w:hAnsi="Times New Roman"/>
          <w:sz w:val="30"/>
          <w:szCs w:val="30"/>
          <w:rtl w:val="0"/>
          <w:lang w:val="en-US"/>
        </w:rPr>
        <w:t xml:space="preserve">, that it is the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woman</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s place</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to be in the home</w:t>
      </w:r>
      <w:r>
        <w:rPr>
          <w:rFonts w:ascii="Times New Roman" w:hAnsi="Times New Roman" w:hint="default"/>
          <w:i w:val="1"/>
          <w:iCs w:val="1"/>
          <w:sz w:val="30"/>
          <w:szCs w:val="30"/>
          <w:rtl w:val="0"/>
          <w:lang w:val="en-US"/>
        </w:rPr>
        <w:t>”</w:t>
      </w:r>
      <w:r>
        <w:rPr>
          <w:rFonts w:ascii="Times New Roman" w:cs="Times New Roman" w:hAnsi="Times New Roman" w:eastAsia="Times New Roman"/>
          <w:i w:val="1"/>
          <w:iCs w:val="1"/>
          <w:sz w:val="30"/>
          <w:szCs w:val="30"/>
          <w:vertAlign w:val="superscript"/>
          <w:rtl w:val="0"/>
        </w:rPr>
        <w:footnoteReference w:id="6"/>
      </w:r>
      <w:r>
        <w:rPr>
          <w:rFonts w:ascii="Times New Roman" w:hAnsi="Times New Roman"/>
          <w:i w:val="1"/>
          <w:iCs w:val="1"/>
          <w:sz w:val="30"/>
          <w:szCs w:val="30"/>
          <w:rtl w:val="0"/>
          <w:lang w:val="en-US"/>
        </w:rPr>
        <w:t xml:space="preserve"> </w:t>
      </w:r>
      <w:r>
        <w:rPr>
          <w:rFonts w:ascii="Times New Roman" w:hAnsi="Times New Roman"/>
          <w:sz w:val="30"/>
          <w:szCs w:val="30"/>
          <w:rtl w:val="0"/>
          <w:lang w:val="en-US"/>
        </w:rPr>
        <w:t>and, if this is the case, it can be loosely deduced as to which types of vases that women would have come into contact with more.</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Rabinowitz also goes on to discuss the vases that are sometimes called the </w:t>
      </w:r>
      <w:r>
        <w:rPr>
          <w:rFonts w:ascii="Times New Roman" w:hAnsi="Times New Roman"/>
          <w:i w:val="1"/>
          <w:iCs w:val="1"/>
          <w:sz w:val="30"/>
          <w:szCs w:val="30"/>
          <w:rtl w:val="0"/>
          <w:lang w:val="en-US"/>
        </w:rPr>
        <w:t xml:space="preserve">Anakreontic </w:t>
      </w:r>
      <w:r>
        <w:rPr>
          <w:rFonts w:ascii="Times New Roman" w:hAnsi="Times New Roman"/>
          <w:sz w:val="30"/>
          <w:szCs w:val="30"/>
          <w:rtl w:val="0"/>
          <w:lang w:val="en-US"/>
        </w:rPr>
        <w:t xml:space="preserve">and their depictions of effeminate men, or perhaps depicting an </w:t>
      </w:r>
      <w:r>
        <w:rPr>
          <w:rFonts w:ascii="Times New Roman" w:hAnsi="Times New Roman" w:hint="default"/>
          <w:sz w:val="30"/>
          <w:szCs w:val="30"/>
          <w:rtl w:val="0"/>
          <w:lang w:val="en-US"/>
        </w:rPr>
        <w:t>‘</w:t>
      </w:r>
      <w:r>
        <w:rPr>
          <w:rFonts w:ascii="Times New Roman" w:hAnsi="Times New Roman"/>
          <w:sz w:val="30"/>
          <w:szCs w:val="30"/>
          <w:rtl w:val="0"/>
          <w:lang w:val="en-US"/>
        </w:rPr>
        <w:t>eastern</w:t>
      </w:r>
      <w:r>
        <w:rPr>
          <w:rFonts w:ascii="Times New Roman" w:hAnsi="Times New Roman" w:hint="default"/>
          <w:sz w:val="30"/>
          <w:szCs w:val="30"/>
          <w:rtl w:val="0"/>
          <w:lang w:val="en-US"/>
        </w:rPr>
        <w:t xml:space="preserve">’ </w:t>
      </w:r>
      <w:r>
        <w:rPr>
          <w:rFonts w:ascii="Times New Roman" w:hAnsi="Times New Roman"/>
          <w:sz w:val="30"/>
          <w:szCs w:val="30"/>
          <w:rtl w:val="0"/>
          <w:lang w:val="en-US"/>
        </w:rPr>
        <w:t>(or Persian) figure, and goes on to argue that due to this effeminate portrayal, and how this is perceived by a contemporary audience, can bring into dispute previous vase paintings, whether they depict homoerotic or heterosexual scenes of young men or men and women.</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Although these points can all be somewhat agreed with, it should not be forgotten that the popularity of these elegantly painted vases spread across most of the mediterranean, spanning from North-Eastern Spain to the Black Sea,</w:t>
      </w:r>
      <w:r>
        <w:rPr>
          <w:rFonts w:ascii="Times New Roman" w:cs="Times New Roman" w:hAnsi="Times New Roman" w:eastAsia="Times New Roman"/>
          <w:sz w:val="30"/>
          <w:szCs w:val="30"/>
          <w:vertAlign w:val="superscript"/>
          <w:rtl w:val="0"/>
        </w:rPr>
        <w:footnoteReference w:id="7"/>
      </w:r>
      <w:r>
        <w:rPr>
          <w:rFonts w:ascii="Times New Roman" w:hAnsi="Times New Roman"/>
          <w:sz w:val="30"/>
          <w:szCs w:val="30"/>
          <w:rtl w:val="0"/>
          <w:lang w:val="en-US"/>
        </w:rPr>
        <w:t xml:space="preserve"> and this popularity would have drawn in a variety of differing designs that would have been popular in these vastly different regions, and would call for depictions of the </w:t>
      </w:r>
      <w:r>
        <w:rPr>
          <w:rFonts w:ascii="Times New Roman" w:hAnsi="Times New Roman" w:hint="default"/>
          <w:sz w:val="30"/>
          <w:szCs w:val="30"/>
          <w:rtl w:val="0"/>
          <w:lang w:val="en-US"/>
        </w:rPr>
        <w:t>‘</w:t>
      </w:r>
      <w:r>
        <w:rPr>
          <w:rFonts w:ascii="Times New Roman" w:hAnsi="Times New Roman"/>
          <w:sz w:val="30"/>
          <w:szCs w:val="30"/>
          <w:rtl w:val="0"/>
          <w:lang w:val="en-US"/>
        </w:rPr>
        <w:t>Exoctic East</w:t>
      </w:r>
      <w:r>
        <w:rPr>
          <w:rFonts w:ascii="Times New Roman" w:hAnsi="Times New Roman" w:hint="default"/>
          <w:sz w:val="30"/>
          <w:szCs w:val="30"/>
          <w:rtl w:val="0"/>
          <w:lang w:val="en-US"/>
        </w:rPr>
        <w:t xml:space="preserve">’ </w:t>
      </w:r>
      <w:r>
        <w:rPr>
          <w:rFonts w:ascii="Times New Roman" w:hAnsi="Times New Roman"/>
          <w:sz w:val="30"/>
          <w:szCs w:val="30"/>
          <w:rtl w:val="0"/>
          <w:lang w:val="en-US"/>
        </w:rPr>
        <w:t>in the settlements in places such as France and Spain.</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It should also be considered that vase painting was a predominately male orientated job, with males painting scenes for a male audience, for male pleasure. This is a point that Rabinowitz also mentions,</w:t>
      </w:r>
      <w:r>
        <w:rPr>
          <w:rFonts w:ascii="Times New Roman" w:cs="Times New Roman" w:hAnsi="Times New Roman" w:eastAsia="Times New Roman"/>
          <w:sz w:val="30"/>
          <w:szCs w:val="30"/>
          <w:vertAlign w:val="superscript"/>
          <w:rtl w:val="0"/>
        </w:rPr>
        <w:footnoteReference w:id="8"/>
      </w:r>
      <w:r>
        <w:rPr>
          <w:rFonts w:ascii="Times New Roman" w:hAnsi="Times New Roman"/>
          <w:sz w:val="30"/>
          <w:szCs w:val="30"/>
          <w:rtl w:val="0"/>
          <w:lang w:val="en-US"/>
        </w:rPr>
        <w:t xml:space="preserve"> although she does also mention the possibilities of some, rare cases of female painters too, however, not enough evidence of this rarity remain in the modern era to build a strong enough argument around it.</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rPr>
        <w:tab/>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Male Propaganda and Female Idolisation.</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With the study of homosocial and homoeroticism amongst women in Attic Greek vase paintings, along the same thread as previously stated of a male-centric environment, the idea of a male propaganda should not be ignored, with Rabinowitz also mentioning Eva Keuls</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stance on the matter as seeing it as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male fantasy propaganda.</w:t>
      </w:r>
      <w:r>
        <w:rPr>
          <w:rFonts w:ascii="Times New Roman" w:hAnsi="Times New Roman" w:hint="default"/>
          <w:i w:val="1"/>
          <w:iCs w:val="1"/>
          <w:sz w:val="30"/>
          <w:szCs w:val="30"/>
          <w:rtl w:val="0"/>
          <w:lang w:val="en-US"/>
        </w:rPr>
        <w:t>”</w:t>
      </w:r>
      <w:r>
        <w:rPr>
          <w:rFonts w:ascii="Times New Roman" w:cs="Times New Roman" w:hAnsi="Times New Roman" w:eastAsia="Times New Roman"/>
          <w:i w:val="1"/>
          <w:iCs w:val="1"/>
          <w:sz w:val="30"/>
          <w:szCs w:val="30"/>
          <w:vertAlign w:val="superscript"/>
          <w:rtl w:val="0"/>
        </w:rPr>
        <w:footnoteReference w:id="9"/>
      </w:r>
      <w:r>
        <w:rPr>
          <w:rFonts w:ascii="Times New Roman" w:hAnsi="Times New Roman"/>
          <w:sz w:val="30"/>
          <w:szCs w:val="30"/>
          <w:rtl w:val="0"/>
          <w:lang w:val="en-US"/>
        </w:rPr>
        <w:t xml:space="preserve"> As mentioned, with the occupation of vase painting being a more </w:t>
      </w:r>
      <w:r>
        <w:rPr>
          <w:rFonts w:ascii="Times New Roman" w:hAnsi="Times New Roman" w:hint="default"/>
          <w:sz w:val="30"/>
          <w:szCs w:val="30"/>
          <w:rtl w:val="0"/>
          <w:lang w:val="en-US"/>
        </w:rPr>
        <w:t>‘</w:t>
      </w:r>
      <w:r>
        <w:rPr>
          <w:rFonts w:ascii="Times New Roman" w:hAnsi="Times New Roman"/>
          <w:sz w:val="30"/>
          <w:szCs w:val="30"/>
          <w:rtl w:val="0"/>
          <w:lang w:val="en-US"/>
        </w:rPr>
        <w:t>masculine</w:t>
      </w:r>
      <w:r>
        <w:rPr>
          <w:rFonts w:ascii="Times New Roman" w:hAnsi="Times New Roman" w:hint="default"/>
          <w:sz w:val="30"/>
          <w:szCs w:val="30"/>
          <w:rtl w:val="0"/>
          <w:lang w:val="en-US"/>
        </w:rPr>
        <w:t xml:space="preserve">’ </w:t>
      </w:r>
      <w:r>
        <w:rPr>
          <w:rFonts w:ascii="Times New Roman" w:hAnsi="Times New Roman"/>
          <w:sz w:val="30"/>
          <w:szCs w:val="30"/>
          <w:rtl w:val="0"/>
          <w:lang w:val="en-US"/>
        </w:rPr>
        <w:t>job, some of the vase paintings, including images of women, start to become eroticised for the male audience, for the male pleasure, although I would personally disagree with the idea that woman portrayed in a sexual natural are being portrayed as prostitutes, with Homer</w:t>
      </w:r>
      <w:r>
        <w:rPr>
          <w:rFonts w:ascii="Times New Roman" w:hAnsi="Times New Roman" w:hint="default"/>
          <w:sz w:val="30"/>
          <w:szCs w:val="30"/>
          <w:rtl w:val="0"/>
          <w:lang w:val="en-US"/>
        </w:rPr>
        <w:t>’</w:t>
      </w:r>
      <w:r>
        <w:rPr>
          <w:rFonts w:ascii="Times New Roman" w:hAnsi="Times New Roman"/>
          <w:sz w:val="30"/>
          <w:szCs w:val="30"/>
          <w:rtl w:val="0"/>
          <w:lang w:val="en-US"/>
        </w:rPr>
        <w:t>s anecdote of Aphrodite</w:t>
      </w:r>
      <w:r>
        <w:rPr>
          <w:rFonts w:ascii="Times New Roman" w:hAnsi="Times New Roman" w:hint="default"/>
          <w:sz w:val="30"/>
          <w:szCs w:val="30"/>
          <w:rtl w:val="0"/>
          <w:lang w:val="en-US"/>
        </w:rPr>
        <w:t>’</w:t>
      </w:r>
      <w:r>
        <w:rPr>
          <w:rFonts w:ascii="Times New Roman" w:hAnsi="Times New Roman"/>
          <w:sz w:val="30"/>
          <w:szCs w:val="30"/>
          <w:rtl w:val="0"/>
          <w:lang w:val="en-US"/>
        </w:rPr>
        <w:t xml:space="preserve">s sexual promiscuity with Ares in </w:t>
      </w:r>
      <w:r>
        <w:rPr>
          <w:rFonts w:ascii="Times New Roman" w:hAnsi="Times New Roman"/>
          <w:i w:val="1"/>
          <w:iCs w:val="1"/>
          <w:sz w:val="30"/>
          <w:szCs w:val="30"/>
          <w:rtl w:val="0"/>
          <w:lang w:val="en-US"/>
        </w:rPr>
        <w:t>The Odyssey</w:t>
      </w:r>
      <w:r>
        <w:rPr>
          <w:rFonts w:ascii="Times New Roman" w:hAnsi="Times New Roman"/>
          <w:sz w:val="30"/>
          <w:szCs w:val="30"/>
          <w:rtl w:val="0"/>
          <w:lang w:val="en-US"/>
        </w:rPr>
        <w:t xml:space="preserve"> being a prime example of a female figure being portrayed in a sexual light but without the connotations of prostitution (although this is in the format of epic poetry and not Attic vase painting).</w:t>
      </w:r>
      <w:r>
        <w:rPr>
          <w:rFonts w:ascii="Times New Roman" w:cs="Times New Roman" w:hAnsi="Times New Roman" w:eastAsia="Times New Roman"/>
          <w:sz w:val="30"/>
          <w:szCs w:val="30"/>
          <w:vertAlign w:val="superscript"/>
          <w:rtl w:val="0"/>
        </w:rPr>
        <w:footnoteReference w:id="10"/>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Rabinowitz also hypothesises that a display of desire between two female figures on an Attic vase painting can be deduced from their gaze upon each other, their touching of each other, even caressing, suggesting scenes of a homoerotic nature potentially for a female audiences enjoyment.</w:t>
      </w:r>
      <w:r>
        <w:rPr>
          <w:rFonts w:ascii="Times New Roman" w:cs="Times New Roman" w:hAnsi="Times New Roman" w:eastAsia="Times New Roman"/>
          <w:sz w:val="30"/>
          <w:szCs w:val="30"/>
          <w:vertAlign w:val="superscript"/>
          <w:rtl w:val="0"/>
        </w:rPr>
        <w:footnoteReference w:id="11"/>
      </w:r>
      <w:r>
        <w:rPr>
          <w:rFonts w:ascii="Times New Roman" w:hAnsi="Times New Roman"/>
          <w:sz w:val="30"/>
          <w:szCs w:val="30"/>
          <w:rtl w:val="0"/>
          <w:lang w:val="en-US"/>
        </w:rPr>
        <w:t xml:space="preserve"> However, the counter-argument for this hypothesis should again be that of male-based institute, for a male audiences satisfaction, similar to the modern societies take on female homosexuality in the pornographic industry. The homoerotic scenes between two females in this media is often stage for the audiences benefit and satisfaction; an audience that is, although not exclusively, male. </w:t>
      </w:r>
      <w:r>
        <w:rPr>
          <w:rFonts w:ascii="Times New Roman" w:hAnsi="Times New Roman"/>
          <w:i w:val="1"/>
          <w:iCs w:val="1"/>
          <w:sz w:val="30"/>
          <w:szCs w:val="30"/>
          <w:rtl w:val="0"/>
          <w:lang w:val="en-US"/>
        </w:rPr>
        <w:t>Playboy</w:t>
      </w:r>
      <w:r>
        <w:rPr>
          <w:rFonts w:ascii="Times New Roman" w:hAnsi="Times New Roman"/>
          <w:sz w:val="30"/>
          <w:szCs w:val="30"/>
          <w:rtl w:val="0"/>
          <w:lang w:val="en-US"/>
        </w:rPr>
        <w:t xml:space="preserve"> magazines, for example, states that is demographics are at 81% of a male audience, as of 2009.</w:t>
      </w:r>
      <w:r>
        <w:rPr>
          <w:rFonts w:ascii="Times New Roman" w:cs="Times New Roman" w:hAnsi="Times New Roman" w:eastAsia="Times New Roman"/>
          <w:sz w:val="30"/>
          <w:szCs w:val="30"/>
          <w:vertAlign w:val="superscript"/>
          <w:rtl w:val="0"/>
        </w:rPr>
        <w:footnoteReference w:id="12"/>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Alternatively, male propaganda in the form of female idolisation in Attic vase paintings is another from to consider, and one that Rabinowitz seems to discuss lightly.</w:t>
      </w:r>
      <w:r>
        <w:rPr>
          <w:rFonts w:ascii="Times New Roman" w:cs="Times New Roman" w:hAnsi="Times New Roman" w:eastAsia="Times New Roman"/>
          <w:sz w:val="30"/>
          <w:szCs w:val="30"/>
          <w:vertAlign w:val="superscript"/>
          <w:rtl w:val="0"/>
        </w:rPr>
        <w:footnoteReference w:id="13"/>
      </w:r>
      <w:r>
        <w:rPr>
          <w:rFonts w:ascii="Times New Roman" w:hAnsi="Times New Roman"/>
          <w:sz w:val="30"/>
          <w:szCs w:val="30"/>
          <w:rtl w:val="0"/>
          <w:lang w:val="en-US"/>
        </w:rPr>
        <w:t xml:space="preserve"> Rabinowitz discusses the way that women are often portrayed (in a non-sexualised way) working at looms or with various other textile materials. In this manner, if from a male artist, the female figures are being portrayed as how they should act in this contemporary society; tending to the more feminine aspects of the economical world, yet still helping in this world, with Rabinowitz, quoting Claude B</w:t>
      </w:r>
      <w:r>
        <w:rPr>
          <w:rFonts w:ascii="Times New Roman" w:hAnsi="Times New Roman" w:hint="default"/>
          <w:sz w:val="30"/>
          <w:szCs w:val="30"/>
          <w:rtl w:val="0"/>
          <w:lang w:val="en-US"/>
        </w:rPr>
        <w:t>é</w:t>
      </w:r>
      <w:r>
        <w:rPr>
          <w:rFonts w:ascii="Times New Roman" w:hAnsi="Times New Roman"/>
          <w:sz w:val="30"/>
          <w:szCs w:val="30"/>
          <w:rtl w:val="0"/>
          <w:lang w:val="en-US"/>
        </w:rPr>
        <w:t xml:space="preserve">rard, stating that this shows the vase paintings, and therefore the painters, as taking a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pride in wool working</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w:t>
      </w:r>
      <w:r>
        <w:rPr>
          <w:rFonts w:ascii="Times New Roman" w:cs="Times New Roman" w:hAnsi="Times New Roman" w:eastAsia="Times New Roman"/>
          <w:i w:val="1"/>
          <w:iCs w:val="1"/>
          <w:sz w:val="30"/>
          <w:szCs w:val="30"/>
          <w:vertAlign w:val="superscript"/>
          <w:rtl w:val="0"/>
        </w:rPr>
        <w:footnoteReference w:id="14"/>
      </w:r>
      <w:r>
        <w:rPr>
          <w:rFonts w:ascii="Times New Roman" w:hAnsi="Times New Roman"/>
          <w:i w:val="1"/>
          <w:iCs w:val="1"/>
          <w:sz w:val="30"/>
          <w:szCs w:val="30"/>
          <w:rtl w:val="0"/>
          <w:lang w:val="en-US"/>
        </w:rPr>
        <w:t xml:space="preserve"> </w:t>
      </w:r>
      <w:r>
        <w:rPr>
          <w:rFonts w:ascii="Times New Roman" w:hAnsi="Times New Roman"/>
          <w:sz w:val="30"/>
          <w:szCs w:val="30"/>
          <w:rtl w:val="0"/>
          <w:lang w:val="en-US"/>
        </w:rPr>
        <w:t>and therefore taking a pride in the woman</w:t>
      </w:r>
      <w:r>
        <w:rPr>
          <w:rFonts w:ascii="Times New Roman" w:hAnsi="Times New Roman" w:hint="default"/>
          <w:sz w:val="30"/>
          <w:szCs w:val="30"/>
          <w:rtl w:val="0"/>
          <w:lang w:val="en-US"/>
        </w:rPr>
        <w:t>’</w:t>
      </w:r>
      <w:r>
        <w:rPr>
          <w:rFonts w:ascii="Times New Roman" w:hAnsi="Times New Roman"/>
          <w:sz w:val="30"/>
          <w:szCs w:val="30"/>
          <w:rtl w:val="0"/>
          <w:lang w:val="en-US"/>
        </w:rPr>
        <w:t xml:space="preserve">s role in the ancient world other than that of a sexual interest. Furthermore, Rabinowitz discusses the literary and archeological evidence of the importance of women and the textile work that they undertook in the ancient world, stating that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 xml:space="preserve">it was a great honour to be one of the girls chosen to weave the </w:t>
      </w:r>
      <w:r>
        <w:rPr>
          <w:rFonts w:ascii="Times New Roman" w:hAnsi="Times New Roman"/>
          <w:sz w:val="30"/>
          <w:szCs w:val="30"/>
          <w:rtl w:val="0"/>
          <w:lang w:val="en-US"/>
        </w:rPr>
        <w:t xml:space="preserve">peplos </w:t>
      </w:r>
      <w:r>
        <w:rPr>
          <w:rFonts w:ascii="Times New Roman" w:hAnsi="Times New Roman"/>
          <w:i w:val="1"/>
          <w:iCs w:val="1"/>
          <w:sz w:val="30"/>
          <w:szCs w:val="30"/>
          <w:rtl w:val="0"/>
          <w:lang w:val="en-US"/>
        </w:rPr>
        <w:t xml:space="preserve">(robe) dedicated to the goddess Athena </w:t>
      </w:r>
      <w:r>
        <w:rPr>
          <w:rFonts w:ascii="Times New Roman" w:hAnsi="Times New Roman" w:hint="default"/>
          <w:i w:val="1"/>
          <w:iCs w:val="1"/>
          <w:sz w:val="30"/>
          <w:szCs w:val="30"/>
          <w:rtl w:val="0"/>
          <w:lang w:val="en-US"/>
        </w:rPr>
        <w:t xml:space="preserve">… </w:t>
      </w:r>
      <w:r>
        <w:rPr>
          <w:rFonts w:ascii="Times New Roman" w:hAnsi="Times New Roman"/>
          <w:sz w:val="30"/>
          <w:szCs w:val="30"/>
          <w:rtl w:val="0"/>
          <w:lang w:val="en-US"/>
        </w:rPr>
        <w:t xml:space="preserve">[and that] </w:t>
      </w:r>
      <w:r>
        <w:rPr>
          <w:rFonts w:ascii="Times New Roman" w:hAnsi="Times New Roman" w:hint="default"/>
          <w:sz w:val="30"/>
          <w:szCs w:val="30"/>
          <w:rtl w:val="0"/>
          <w:lang w:val="en-US"/>
        </w:rPr>
        <w:t xml:space="preserve">… </w:t>
      </w:r>
      <w:r>
        <w:rPr>
          <w:rFonts w:ascii="Times New Roman" w:hAnsi="Times New Roman"/>
          <w:i w:val="1"/>
          <w:iCs w:val="1"/>
          <w:sz w:val="30"/>
          <w:szCs w:val="30"/>
          <w:rtl w:val="0"/>
          <w:lang w:val="en-US"/>
        </w:rPr>
        <w:t>the young bride will oversee wool working to increase the wealth of the household.</w:t>
      </w:r>
      <w:r>
        <w:rPr>
          <w:rFonts w:ascii="Times New Roman" w:hAnsi="Times New Roman" w:hint="default"/>
          <w:i w:val="1"/>
          <w:iCs w:val="1"/>
          <w:sz w:val="30"/>
          <w:szCs w:val="30"/>
          <w:rtl w:val="0"/>
          <w:lang w:val="en-US"/>
        </w:rPr>
        <w:t>”</w:t>
      </w:r>
      <w:r>
        <w:rPr>
          <w:rFonts w:ascii="Times New Roman" w:cs="Times New Roman" w:hAnsi="Times New Roman" w:eastAsia="Times New Roman"/>
          <w:i w:val="1"/>
          <w:iCs w:val="1"/>
          <w:sz w:val="30"/>
          <w:szCs w:val="30"/>
          <w:vertAlign w:val="superscript"/>
          <w:rtl w:val="0"/>
        </w:rPr>
        <w:footnoteReference w:id="15"/>
      </w:r>
      <w:r>
        <w:rPr>
          <w:rFonts w:ascii="Times New Roman" w:hAnsi="Times New Roman"/>
          <w:i w:val="1"/>
          <w:iCs w:val="1"/>
          <w:sz w:val="30"/>
          <w:szCs w:val="30"/>
          <w:rtl w:val="0"/>
          <w:lang w:val="en-US"/>
        </w:rPr>
        <w:t xml:space="preserve"> </w:t>
      </w:r>
      <w:r>
        <w:rPr>
          <w:rFonts w:ascii="Times New Roman" w:hAnsi="Times New Roman"/>
          <w:sz w:val="30"/>
          <w:szCs w:val="30"/>
          <w:rtl w:val="0"/>
          <w:lang w:val="en-US"/>
        </w:rPr>
        <w:t>Once again, this seems not to address the question of women</w:t>
      </w:r>
      <w:r>
        <w:rPr>
          <w:rFonts w:ascii="Times New Roman" w:hAnsi="Times New Roman" w:hint="default"/>
          <w:sz w:val="30"/>
          <w:szCs w:val="30"/>
          <w:rtl w:val="0"/>
          <w:lang w:val="en-US"/>
        </w:rPr>
        <w:t>’</w:t>
      </w:r>
      <w:r>
        <w:rPr>
          <w:rFonts w:ascii="Times New Roman" w:hAnsi="Times New Roman"/>
          <w:sz w:val="30"/>
          <w:szCs w:val="30"/>
          <w:rtl w:val="0"/>
          <w:lang w:val="en-US"/>
        </w:rPr>
        <w:t>s homoeroticism in the ancient world, but does address the role of women in the ancient world, as well as how some of the artists of Attic vase paintings valued the women</w:t>
      </w:r>
      <w:r>
        <w:rPr>
          <w:rFonts w:ascii="Times New Roman" w:hAnsi="Times New Roman" w:hint="default"/>
          <w:sz w:val="30"/>
          <w:szCs w:val="30"/>
          <w:rtl w:val="0"/>
          <w:lang w:val="en-US"/>
        </w:rPr>
        <w:t>’</w:t>
      </w:r>
      <w:r>
        <w:rPr>
          <w:rFonts w:ascii="Times New Roman" w:hAnsi="Times New Roman"/>
          <w:sz w:val="30"/>
          <w:szCs w:val="30"/>
          <w:rtl w:val="0"/>
          <w:lang w:val="en-US"/>
        </w:rPr>
        <w:t>s role in society of the era.</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Marriage</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This theme of female idolisation continues into the theme of marriage, and that of what it is to be a </w:t>
      </w:r>
      <w:r>
        <w:rPr>
          <w:rFonts w:ascii="Times New Roman" w:hAnsi="Times New Roman" w:hint="default"/>
          <w:sz w:val="30"/>
          <w:szCs w:val="30"/>
          <w:rtl w:val="0"/>
          <w:lang w:val="en-US"/>
        </w:rPr>
        <w:t>‘</w:t>
      </w:r>
      <w:r>
        <w:rPr>
          <w:rFonts w:ascii="Times New Roman" w:hAnsi="Times New Roman"/>
          <w:sz w:val="30"/>
          <w:szCs w:val="30"/>
          <w:rtl w:val="0"/>
          <w:lang w:val="en-US"/>
        </w:rPr>
        <w:t>perfect</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bride, as well as a heterosexual love being portrayed, as oppose to a display of female homoeroticism. Rabinowitz even states herself about the increasing trend into Attic vase paintings depicting sexualised females as being idealised to be perfect brides instead of appearing as homoerotic displays. </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However, Rabinowitz goes on to argue that these more detailed wedding scenes that appear in the red-figure era show the intimacy between the bride-to-be and her female companions to the ceremony. Rabinowitz explains that this potentially shows an underlying homosexual relation between the bride-to-be and her companion before being literally dragged away (by her wrist) by the groom in the image,</w:t>
      </w:r>
      <w:r>
        <w:rPr>
          <w:rFonts w:ascii="Times New Roman" w:cs="Times New Roman" w:hAnsi="Times New Roman" w:eastAsia="Times New Roman"/>
          <w:sz w:val="30"/>
          <w:szCs w:val="30"/>
          <w:vertAlign w:val="superscript"/>
          <w:rtl w:val="0"/>
        </w:rPr>
        <w:footnoteReference w:id="16"/>
      </w:r>
      <w:r>
        <w:rPr>
          <w:rFonts w:ascii="Times New Roman" w:hAnsi="Times New Roman"/>
          <w:sz w:val="30"/>
          <w:szCs w:val="30"/>
          <w:rtl w:val="0"/>
          <w:lang w:val="en-US"/>
        </w:rPr>
        <w:t xml:space="preserve"> into a possibly arranged marriage away from her female lover. Although this seems like a strong assumption to make from one vase painting, it is still easy to see how Rabinowitz has come to this conclusion. Furthermore, in figure 5.7,</w:t>
      </w:r>
      <w:r>
        <w:rPr>
          <w:rFonts w:ascii="Times New Roman" w:cs="Times New Roman" w:hAnsi="Times New Roman" w:eastAsia="Times New Roman"/>
          <w:sz w:val="30"/>
          <w:szCs w:val="30"/>
          <w:vertAlign w:val="superscript"/>
          <w:rtl w:val="0"/>
        </w:rPr>
        <w:footnoteReference w:id="17"/>
      </w:r>
      <w:r>
        <w:rPr>
          <w:rFonts w:ascii="Times New Roman" w:hAnsi="Times New Roman"/>
          <w:sz w:val="30"/>
          <w:szCs w:val="30"/>
          <w:rtl w:val="0"/>
          <w:lang w:val="en-US"/>
        </w:rPr>
        <w:t xml:space="preserve"> Rabinowitz deduces an underlying sexual tension between the seated female and the female placing a necklace upon the seated female. Once again, it does seem like a plausible identification of female homoeroticism, but also again seems like a strong assumption to come to given the quality of the evidence available, and what still remains of the artwork. </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Rabinowitz also argues the emerging presence of </w:t>
      </w:r>
      <w:r>
        <w:rPr>
          <w:rFonts w:ascii="Times New Roman" w:hAnsi="Times New Roman"/>
          <w:i w:val="1"/>
          <w:iCs w:val="1"/>
          <w:sz w:val="30"/>
          <w:szCs w:val="30"/>
          <w:rtl w:val="0"/>
          <w:lang w:val="en-US"/>
        </w:rPr>
        <w:t xml:space="preserve">Erotes </w:t>
      </w:r>
      <w:r>
        <w:rPr>
          <w:rFonts w:ascii="Times New Roman" w:hAnsi="Times New Roman"/>
          <w:sz w:val="30"/>
          <w:szCs w:val="30"/>
          <w:rtl w:val="0"/>
          <w:lang w:val="en-US"/>
        </w:rPr>
        <w:t>or</w:t>
      </w:r>
      <w:r>
        <w:rPr>
          <w:rFonts w:ascii="Times New Roman" w:hAnsi="Times New Roman"/>
          <w:i w:val="1"/>
          <w:iCs w:val="1"/>
          <w:sz w:val="30"/>
          <w:szCs w:val="30"/>
          <w:rtl w:val="0"/>
          <w:lang w:val="en-US"/>
        </w:rPr>
        <w:t xml:space="preserve"> cupids</w:t>
      </w:r>
      <w:r>
        <w:rPr>
          <w:rFonts w:ascii="Times New Roman" w:hAnsi="Times New Roman"/>
          <w:sz w:val="30"/>
          <w:szCs w:val="30"/>
          <w:rtl w:val="0"/>
          <w:lang w:val="en-US"/>
        </w:rPr>
        <w:t xml:space="preserve"> on Attic vase paintings into the late fifth-century BCE, offering this as a possible nod towards an unstated homoeroticism between the bride-to-be and her other female companions at the ceremony before the bride-to-be is taken away by the groom.</w:t>
      </w:r>
      <w:r>
        <w:rPr>
          <w:rFonts w:ascii="Times New Roman" w:cs="Times New Roman" w:hAnsi="Times New Roman" w:eastAsia="Times New Roman"/>
          <w:sz w:val="30"/>
          <w:szCs w:val="30"/>
          <w:vertAlign w:val="superscript"/>
          <w:rtl w:val="0"/>
        </w:rPr>
        <w:footnoteReference w:id="18"/>
      </w:r>
      <w:r>
        <w:rPr>
          <w:rFonts w:ascii="Times New Roman" w:hAnsi="Times New Roman"/>
          <w:sz w:val="30"/>
          <w:szCs w:val="30"/>
          <w:rtl w:val="0"/>
          <w:lang w:val="en-US"/>
        </w:rPr>
        <w:t xml:space="preserve"> However, a counter-argument to this is that </w:t>
      </w:r>
      <w:r>
        <w:rPr>
          <w:rFonts w:ascii="Times New Roman" w:hAnsi="Times New Roman"/>
          <w:i w:val="1"/>
          <w:iCs w:val="1"/>
          <w:sz w:val="30"/>
          <w:szCs w:val="30"/>
          <w:rtl w:val="0"/>
          <w:lang w:val="en-US"/>
        </w:rPr>
        <w:t>Eros</w:t>
      </w:r>
      <w:r>
        <w:rPr>
          <w:rFonts w:ascii="Times New Roman" w:hAnsi="Times New Roman"/>
          <w:sz w:val="30"/>
          <w:szCs w:val="30"/>
          <w:rtl w:val="0"/>
          <w:lang w:val="en-US"/>
        </w:rPr>
        <w:t xml:space="preserve"> is the god, the symbol, of love in the ancient world, and </w:t>
      </w:r>
      <w:r>
        <w:rPr>
          <w:rFonts w:ascii="Times New Roman" w:hAnsi="Times New Roman"/>
          <w:i w:val="1"/>
          <w:iCs w:val="1"/>
          <w:sz w:val="30"/>
          <w:szCs w:val="30"/>
          <w:rtl w:val="0"/>
          <w:lang w:val="en-US"/>
        </w:rPr>
        <w:t xml:space="preserve">Erotes, </w:t>
      </w:r>
      <w:r>
        <w:rPr>
          <w:rFonts w:ascii="Times New Roman" w:hAnsi="Times New Roman"/>
          <w:sz w:val="30"/>
          <w:szCs w:val="30"/>
          <w:rtl w:val="0"/>
          <w:lang w:val="en-US"/>
        </w:rPr>
        <w:t xml:space="preserve">or </w:t>
      </w:r>
      <w:r>
        <w:rPr>
          <w:rFonts w:ascii="Times New Roman" w:hAnsi="Times New Roman"/>
          <w:i w:val="1"/>
          <w:iCs w:val="1"/>
          <w:sz w:val="30"/>
          <w:szCs w:val="30"/>
          <w:rtl w:val="0"/>
          <w:lang w:val="en-US"/>
        </w:rPr>
        <w:t>cupids</w:t>
      </w:r>
      <w:r>
        <w:rPr>
          <w:rFonts w:ascii="Times New Roman" w:hAnsi="Times New Roman"/>
          <w:sz w:val="30"/>
          <w:szCs w:val="30"/>
          <w:rtl w:val="0"/>
          <w:lang w:val="en-US"/>
        </w:rPr>
        <w:t>, would not necessarily be out of place within a depiction of a wedding scene; regardless of any underlying sexual tension between the bride-to-be and her companions. The symbolism of the god of love could just as easily be there to help convey the marriage of the man and woman.</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Sexualisation.</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Rabinowitz also discusses a bathing scene that appears on a certain vase painting (figure 5.18), suggesting that it is an example of eroticism between two women.</w:t>
      </w:r>
      <w:r>
        <w:rPr>
          <w:rFonts w:ascii="Times New Roman" w:cs="Times New Roman" w:hAnsi="Times New Roman" w:eastAsia="Times New Roman"/>
          <w:sz w:val="30"/>
          <w:szCs w:val="30"/>
          <w:vertAlign w:val="superscript"/>
          <w:rtl w:val="0"/>
        </w:rPr>
        <w:footnoteReference w:id="19"/>
      </w:r>
      <w:r>
        <w:rPr>
          <w:rFonts w:ascii="Times New Roman" w:hAnsi="Times New Roman"/>
          <w:sz w:val="30"/>
          <w:szCs w:val="30"/>
          <w:rtl w:val="0"/>
          <w:lang w:val="en-US"/>
        </w:rPr>
        <w:t xml:space="preserve"> Although they do appear to be bathing each other, which could be considered the beginning of a homoerotic scene, surely it could also be seen as Rabinowitz over sexualising a common practice of bathing to further her argument for a heavy homoerotic scene. In cities, such as Athens, especially communal bathing areas were common practice</w:t>
      </w:r>
      <w:r>
        <w:rPr>
          <w:rFonts w:ascii="Times New Roman" w:cs="Times New Roman" w:hAnsi="Times New Roman" w:eastAsia="Times New Roman"/>
          <w:sz w:val="30"/>
          <w:szCs w:val="30"/>
          <w:vertAlign w:val="superscript"/>
          <w:rtl w:val="0"/>
        </w:rPr>
        <w:footnoteReference w:id="20"/>
      </w:r>
      <w:r>
        <w:rPr>
          <w:rFonts w:ascii="Times New Roman" w:hAnsi="Times New Roman"/>
          <w:sz w:val="30"/>
          <w:szCs w:val="30"/>
          <w:rtl w:val="0"/>
          <w:lang w:val="en-US"/>
        </w:rPr>
        <w:t xml:space="preserve"> and therefore would be completely natural for two, or more, people to be completely nude, bathing together, much like figure 5.18 depicts.</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 xml:space="preserve">However, Rabinowitz does also discuss the over-sexual occurrences of the Maenads and the revelry undertaken in the name of Dionysus, and figure 5.11 seems to be a fairly good example of an Attic vase painting depicting these homoerotic actions between the [female] maenads. Maenads, by definition, were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 xml:space="preserve">women inspired to ritual frenzy </w:t>
      </w:r>
      <w:r>
        <w:rPr>
          <w:rFonts w:ascii="Times New Roman" w:hAnsi="Times New Roman"/>
          <w:sz w:val="30"/>
          <w:szCs w:val="30"/>
          <w:rtl w:val="0"/>
          <w:lang w:val="en-US"/>
        </w:rPr>
        <w:t>(mania)</w:t>
      </w:r>
      <w:r>
        <w:rPr>
          <w:rFonts w:ascii="Times New Roman" w:hAnsi="Times New Roman"/>
          <w:i w:val="1"/>
          <w:iCs w:val="1"/>
          <w:sz w:val="30"/>
          <w:szCs w:val="30"/>
          <w:rtl w:val="0"/>
          <w:lang w:val="en-US"/>
        </w:rPr>
        <w:t xml:space="preserve"> by Dionysus.</w:t>
      </w:r>
      <w:r>
        <w:rPr>
          <w:rFonts w:ascii="Times New Roman" w:hAnsi="Times New Roman" w:hint="default"/>
          <w:i w:val="1"/>
          <w:iCs w:val="1"/>
          <w:sz w:val="30"/>
          <w:szCs w:val="30"/>
          <w:rtl w:val="0"/>
          <w:lang w:val="en-US"/>
        </w:rPr>
        <w:t>”</w:t>
      </w:r>
      <w:r>
        <w:rPr>
          <w:rFonts w:ascii="Times New Roman" w:cs="Times New Roman" w:hAnsi="Times New Roman" w:eastAsia="Times New Roman"/>
          <w:i w:val="1"/>
          <w:iCs w:val="1"/>
          <w:sz w:val="30"/>
          <w:szCs w:val="30"/>
          <w:vertAlign w:val="superscript"/>
          <w:rtl w:val="0"/>
        </w:rPr>
        <w:footnoteReference w:id="21"/>
      </w:r>
      <w:r>
        <w:rPr>
          <w:rFonts w:ascii="Times New Roman" w:hAnsi="Times New Roman"/>
          <w:i w:val="1"/>
          <w:iCs w:val="1"/>
          <w:sz w:val="30"/>
          <w:szCs w:val="30"/>
          <w:rtl w:val="0"/>
          <w:lang w:val="en-US"/>
        </w:rPr>
        <w:t xml:space="preserve"> </w:t>
      </w:r>
      <w:r>
        <w:rPr>
          <w:rFonts w:ascii="Times New Roman" w:hAnsi="Times New Roman"/>
          <w:sz w:val="30"/>
          <w:szCs w:val="30"/>
          <w:rtl w:val="0"/>
          <w:lang w:val="en-US"/>
        </w:rPr>
        <w:t>The whole premise of these rituals were for women, usually of the upper-classes of society, to wander into the woods or mountainsides together and partake in revelry in honour of Dionysus, the god of wine, intoxication, and the events that ensue from this. It is also apparent that Attic vase paintings during the period that Rabinowitz is discussing started to feature many similar scenes to the ones seen in figure 5.18, of the Maenads partaking in their revelries. However, in contrast to Rabinowitz, this could be due to play writes during this period, such as Aeschylus, using Maenads within their pieces of stage work, an area that Rabinowitz has already accepted shed little light on to the topic of female homoeroticism during this era. Nevertheless, this popularity that seems to appear in various art medias could also be considered a commentary on society itself during this period of time.</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On Sparta</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To further establish this idea of female homoeroticism in the ancient world, Rabinowitz discusses Plutarch</w:t>
      </w:r>
      <w:r>
        <w:rPr>
          <w:rFonts w:ascii="Times New Roman" w:hAnsi="Times New Roman" w:hint="default"/>
          <w:sz w:val="30"/>
          <w:szCs w:val="30"/>
          <w:rtl w:val="0"/>
          <w:lang w:val="en-US"/>
        </w:rPr>
        <w:t>’</w:t>
      </w:r>
      <w:r>
        <w:rPr>
          <w:rFonts w:ascii="Times New Roman" w:hAnsi="Times New Roman"/>
          <w:sz w:val="30"/>
          <w:szCs w:val="30"/>
          <w:rtl w:val="0"/>
          <w:lang w:val="en-US"/>
        </w:rPr>
        <w:t xml:space="preserve">s </w:t>
      </w:r>
      <w:r>
        <w:rPr>
          <w:rFonts w:ascii="Times New Roman" w:hAnsi="Times New Roman"/>
          <w:i w:val="1"/>
          <w:iCs w:val="1"/>
          <w:sz w:val="30"/>
          <w:szCs w:val="30"/>
          <w:rtl w:val="0"/>
          <w:lang w:val="en-US"/>
        </w:rPr>
        <w:t>Lycurgus</w:t>
      </w:r>
      <w:r>
        <w:rPr>
          <w:rFonts w:ascii="Times New Roman" w:hAnsi="Times New Roman"/>
          <w:sz w:val="30"/>
          <w:szCs w:val="30"/>
          <w:rtl w:val="0"/>
          <w:lang w:val="en-US"/>
        </w:rPr>
        <w:t xml:space="preserve"> and the homoerotic environment of Spartan lifestyle. Although a valid point that Spartan women were encouraged to participate in public festivities and performance, whilst nude, Plutarch explains that this </w:t>
      </w:r>
      <w:r>
        <w:rPr>
          <w:rFonts w:ascii="Times New Roman" w:hAnsi="Times New Roman" w:hint="default"/>
          <w:i w:val="1"/>
          <w:iCs w:val="1"/>
          <w:sz w:val="30"/>
          <w:szCs w:val="30"/>
          <w:rtl w:val="0"/>
          <w:lang w:val="en-US"/>
        </w:rPr>
        <w:t>“</w:t>
      </w:r>
      <w:r>
        <w:rPr>
          <w:rFonts w:ascii="Times New Roman" w:hAnsi="Times New Roman"/>
          <w:i w:val="1"/>
          <w:iCs w:val="1"/>
          <w:sz w:val="30"/>
          <w:szCs w:val="30"/>
          <w:rtl w:val="0"/>
          <w:lang w:val="en-US"/>
        </w:rPr>
        <w:t>removed their physical frailty, stopped them spending all their time indoors, and in general got rid of their femininity</w:t>
      </w:r>
      <w:r>
        <w:rPr>
          <w:rFonts w:ascii="Times New Roman" w:hAnsi="Times New Roman" w:hint="default"/>
          <w:i w:val="1"/>
          <w:iCs w:val="1"/>
          <w:sz w:val="30"/>
          <w:szCs w:val="30"/>
          <w:rtl w:val="0"/>
          <w:lang w:val="en-US"/>
        </w:rPr>
        <w:t>”</w:t>
      </w:r>
      <w:r>
        <w:rPr>
          <w:rFonts w:ascii="Times New Roman" w:cs="Times New Roman" w:hAnsi="Times New Roman" w:eastAsia="Times New Roman"/>
          <w:i w:val="1"/>
          <w:iCs w:val="1"/>
          <w:sz w:val="30"/>
          <w:szCs w:val="30"/>
          <w:vertAlign w:val="superscript"/>
          <w:rtl w:val="0"/>
        </w:rPr>
        <w:footnoteReference w:id="22"/>
      </w:r>
      <w:r>
        <w:rPr>
          <w:rFonts w:ascii="Times New Roman" w:hAnsi="Times New Roman"/>
          <w:i w:val="1"/>
          <w:iCs w:val="1"/>
          <w:sz w:val="30"/>
          <w:szCs w:val="30"/>
          <w:rtl w:val="0"/>
          <w:lang w:val="en-US"/>
        </w:rPr>
        <w:t xml:space="preserve">, </w:t>
      </w:r>
      <w:r>
        <w:rPr>
          <w:rFonts w:ascii="Times New Roman" w:hAnsi="Times New Roman"/>
          <w:sz w:val="30"/>
          <w:szCs w:val="30"/>
          <w:rtl w:val="0"/>
          <w:lang w:val="en-US"/>
        </w:rPr>
        <w:t>which seems to contradict Rabinowitz</w:t>
      </w:r>
      <w:r>
        <w:rPr>
          <w:rFonts w:ascii="Times New Roman" w:hAnsi="Times New Roman" w:hint="default"/>
          <w:sz w:val="30"/>
          <w:szCs w:val="30"/>
          <w:rtl w:val="0"/>
          <w:lang w:val="en-US"/>
        </w:rPr>
        <w:t>’</w:t>
      </w:r>
      <w:r>
        <w:rPr>
          <w:rFonts w:ascii="Times New Roman" w:hAnsi="Times New Roman"/>
          <w:sz w:val="30"/>
          <w:szCs w:val="30"/>
          <w:rtl w:val="0"/>
          <w:lang w:val="en-US"/>
        </w:rPr>
        <w:t>s argument that these festivities were there to promote femininity, to encourage homoeroticism. Plutarch</w:t>
      </w:r>
      <w:r>
        <w:rPr>
          <w:rFonts w:ascii="Times New Roman" w:hAnsi="Times New Roman" w:hint="default"/>
          <w:sz w:val="30"/>
          <w:szCs w:val="30"/>
          <w:rtl w:val="0"/>
          <w:lang w:val="en-US"/>
        </w:rPr>
        <w:t>’</w:t>
      </w:r>
      <w:r>
        <w:rPr>
          <w:rFonts w:ascii="Times New Roman" w:hAnsi="Times New Roman"/>
          <w:sz w:val="30"/>
          <w:szCs w:val="30"/>
          <w:rtl w:val="0"/>
          <w:lang w:val="en-US"/>
        </w:rPr>
        <w:t>s explanation appears to be saying the opposite of Rabinowitz</w:t>
      </w:r>
      <w:r>
        <w:rPr>
          <w:rFonts w:ascii="Times New Roman" w:hAnsi="Times New Roman" w:hint="default"/>
          <w:sz w:val="30"/>
          <w:szCs w:val="30"/>
          <w:rtl w:val="0"/>
          <w:lang w:val="en-US"/>
        </w:rPr>
        <w:t>’</w:t>
      </w:r>
      <w:r>
        <w:rPr>
          <w:rFonts w:ascii="Times New Roman" w:hAnsi="Times New Roman"/>
          <w:sz w:val="30"/>
          <w:szCs w:val="30"/>
          <w:rtl w:val="0"/>
          <w:lang w:val="en-US"/>
        </w:rPr>
        <w:t>s argument, that these festivities were in place to put the young males and females of Spartan society on an equal platform, that they were both, regardless of gender, an integral and equal cog in the mechanism that was Spartan society. This notion from Rabinowitz also digresses away from trying to use Attic vase paintings as a evidence for female eroticism in the Ancient world, as well as seeming mislead.</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Conclusion</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Although some of Rabinowitz</w:t>
      </w:r>
      <w:r>
        <w:rPr>
          <w:rFonts w:ascii="Times New Roman" w:hAnsi="Times New Roman" w:hint="default"/>
          <w:sz w:val="30"/>
          <w:szCs w:val="30"/>
          <w:rtl w:val="0"/>
          <w:lang w:val="en-US"/>
        </w:rPr>
        <w:t>’</w:t>
      </w:r>
      <w:r>
        <w:rPr>
          <w:rFonts w:ascii="Times New Roman" w:hAnsi="Times New Roman"/>
          <w:sz w:val="30"/>
          <w:szCs w:val="30"/>
          <w:rtl w:val="0"/>
          <w:lang w:val="en-US"/>
        </w:rPr>
        <w:t>s arguments appears to be somewhat agreeable, there is also a level of lack of evidence on the matter from Attic vase paintings. Although it seems safe to assume that there would have been female homosexuality within the Ancient Greek world, as it is also safe to assume that male homosexuality (although this seems to be far more extensively documented) would also have happened due to people</w:t>
      </w:r>
      <w:r>
        <w:rPr>
          <w:rFonts w:ascii="Times New Roman" w:hAnsi="Times New Roman" w:hint="default"/>
          <w:sz w:val="30"/>
          <w:szCs w:val="30"/>
          <w:rtl w:val="0"/>
          <w:lang w:val="en-US"/>
        </w:rPr>
        <w:t>’</w:t>
      </w:r>
      <w:r>
        <w:rPr>
          <w:rFonts w:ascii="Times New Roman" w:hAnsi="Times New Roman"/>
          <w:sz w:val="30"/>
          <w:szCs w:val="30"/>
          <w:rtl w:val="0"/>
          <w:lang w:val="en-US"/>
        </w:rPr>
        <w:t xml:space="preserve">s natural urges and sexual preference. The representation of female figures in the art work discussed, however, seems (as stated) to be from male artists for the benefit of a predominately male audience. Scenes of a more explicit nature can just as easily be designed for the satisfaction of this male audience, in this male-centric era, with the more </w:t>
      </w:r>
      <w:r>
        <w:rPr>
          <w:rFonts w:ascii="Times New Roman" w:hAnsi="Times New Roman" w:hint="default"/>
          <w:sz w:val="30"/>
          <w:szCs w:val="30"/>
          <w:rtl w:val="0"/>
          <w:lang w:val="en-US"/>
        </w:rPr>
        <w:t>“</w:t>
      </w:r>
      <w:r>
        <w:rPr>
          <w:rFonts w:ascii="Times New Roman" w:hAnsi="Times New Roman"/>
          <w:sz w:val="30"/>
          <w:szCs w:val="30"/>
          <w:rtl w:val="0"/>
          <w:lang w:val="en-US"/>
        </w:rPr>
        <w:t>wholesome</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depictions used as a form of male propaganda to display what a </w:t>
      </w:r>
      <w:r>
        <w:rPr>
          <w:rFonts w:ascii="Times New Roman" w:hAnsi="Times New Roman" w:hint="default"/>
          <w:sz w:val="30"/>
          <w:szCs w:val="30"/>
          <w:rtl w:val="0"/>
          <w:lang w:val="en-US"/>
        </w:rPr>
        <w:t>“</w:t>
      </w:r>
      <w:r>
        <w:rPr>
          <w:rFonts w:ascii="Times New Roman" w:hAnsi="Times New Roman"/>
          <w:sz w:val="30"/>
          <w:szCs w:val="30"/>
          <w:rtl w:val="0"/>
          <w:lang w:val="en-US"/>
        </w:rPr>
        <w:t>good woman</w:t>
      </w:r>
      <w:r>
        <w:rPr>
          <w:rFonts w:ascii="Times New Roman" w:hAnsi="Times New Roman" w:hint="default"/>
          <w:sz w:val="30"/>
          <w:szCs w:val="30"/>
          <w:rtl w:val="0"/>
          <w:lang w:val="en-US"/>
        </w:rPr>
        <w:t xml:space="preserve">” </w:t>
      </w:r>
      <w:r>
        <w:rPr>
          <w:rFonts w:ascii="Times New Roman" w:hAnsi="Times New Roman"/>
          <w:sz w:val="30"/>
          <w:szCs w:val="30"/>
          <w:rtl w:val="0"/>
          <w:lang w:val="en-US"/>
        </w:rPr>
        <w:t xml:space="preserve">should be in the ancient society, a good wife, tending a loom awaiting her husband.  </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Furthermore, it would also appear that in Rabinowitz</w:t>
      </w:r>
      <w:r>
        <w:rPr>
          <w:rFonts w:ascii="Times New Roman" w:hAnsi="Times New Roman" w:hint="default"/>
          <w:sz w:val="30"/>
          <w:szCs w:val="30"/>
          <w:rtl w:val="0"/>
          <w:lang w:val="en-US"/>
        </w:rPr>
        <w:t>’</w:t>
      </w:r>
      <w:r>
        <w:rPr>
          <w:rFonts w:ascii="Times New Roman" w:hAnsi="Times New Roman"/>
          <w:sz w:val="30"/>
          <w:szCs w:val="30"/>
          <w:rtl w:val="0"/>
          <w:lang w:val="en-US"/>
        </w:rPr>
        <w:t>s essay that there appears to be the repetition of over sexualising some aspects of life, such as the bathing scenes previously discussed, to bolster her own argument. This can also be seen in her brief discussion upon the role of women in Spartan society, as it appears that Rabinowitz would like to argue that Plutarch is explaining that women are free to exercise a homoerotic practice in that society. I, however, would disagree that this is Plutarch</w:t>
      </w:r>
      <w:r>
        <w:rPr>
          <w:rFonts w:ascii="Times New Roman" w:hAnsi="Times New Roman" w:hint="default"/>
          <w:sz w:val="30"/>
          <w:szCs w:val="30"/>
          <w:rtl w:val="0"/>
          <w:lang w:val="en-US"/>
        </w:rPr>
        <w:t>’</w:t>
      </w:r>
      <w:r>
        <w:rPr>
          <w:rFonts w:ascii="Times New Roman" w:hAnsi="Times New Roman"/>
          <w:sz w:val="30"/>
          <w:szCs w:val="30"/>
          <w:rtl w:val="0"/>
          <w:lang w:val="en-US"/>
        </w:rPr>
        <w:t>s explanation. My interpretation of Plutarch</w:t>
      </w:r>
      <w:r>
        <w:rPr>
          <w:rFonts w:ascii="Times New Roman" w:hAnsi="Times New Roman" w:hint="default"/>
          <w:sz w:val="30"/>
          <w:szCs w:val="30"/>
          <w:rtl w:val="0"/>
          <w:lang w:val="en-US"/>
        </w:rPr>
        <w:t>’</w:t>
      </w:r>
      <w:r>
        <w:rPr>
          <w:rFonts w:ascii="Times New Roman" w:hAnsi="Times New Roman"/>
          <w:sz w:val="30"/>
          <w:szCs w:val="30"/>
          <w:rtl w:val="0"/>
          <w:lang w:val="en-US"/>
        </w:rPr>
        <w:t xml:space="preserve">s passage in Lycurgus is to encourage a genderless equality, a society where femininity in either genders is scene as a bad trait as oppose to encouraging women to indulge in their own homoerotic indulgences. </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cs="Times New Roman" w:hAnsi="Times New Roman" w:eastAsia="Times New Roman"/>
          <w:sz w:val="30"/>
          <w:szCs w:val="30"/>
          <w:rtl w:val="0"/>
          <w:lang w:val="en-US"/>
        </w:rPr>
        <w:tab/>
        <w:t>However, in the ancient world, just like in today</w:t>
      </w:r>
      <w:r>
        <w:rPr>
          <w:rFonts w:ascii="Times New Roman" w:hAnsi="Times New Roman" w:hint="default"/>
          <w:sz w:val="30"/>
          <w:szCs w:val="30"/>
          <w:rtl w:val="0"/>
          <w:lang w:val="en-US"/>
        </w:rPr>
        <w:t>’</w:t>
      </w:r>
      <w:r>
        <w:rPr>
          <w:rFonts w:ascii="Times New Roman" w:hAnsi="Times New Roman"/>
          <w:sz w:val="30"/>
          <w:szCs w:val="30"/>
          <w:rtl w:val="0"/>
          <w:lang w:val="en-US"/>
        </w:rPr>
        <w:t xml:space="preserve">s society, homoeroticism, whether male-to-male or female-to-female, appears to be a perfectly natural occurrence amongst the population, and in some instances, even encouraged in the ancient world, such as within the festivities of the Maenads. Although the Attic vase paintings and arguments provided by Rabinowitz seems somewhat lacking in some aspects, it is clear that homoeroticism did appear in the ancient world in many different formats. That said, unfortunately it does also seem that, at least in the Attic region, the role of the women was not to become too comfortable partaking in homoerotic adventures, as the women was expected to become a </w:t>
      </w:r>
      <w:r>
        <w:rPr>
          <w:rFonts w:ascii="Times New Roman" w:hAnsi="Times New Roman" w:hint="default"/>
          <w:sz w:val="30"/>
          <w:szCs w:val="30"/>
          <w:rtl w:val="0"/>
          <w:lang w:val="en-US"/>
        </w:rPr>
        <w:t>‘</w:t>
      </w:r>
      <w:r>
        <w:rPr>
          <w:rFonts w:ascii="Times New Roman" w:hAnsi="Times New Roman"/>
          <w:sz w:val="30"/>
          <w:szCs w:val="30"/>
          <w:rtl w:val="0"/>
          <w:lang w:val="en-US"/>
        </w:rPr>
        <w:t>good</w:t>
      </w:r>
      <w:r>
        <w:rPr>
          <w:rFonts w:ascii="Times New Roman" w:hAnsi="Times New Roman" w:hint="default"/>
          <w:sz w:val="30"/>
          <w:szCs w:val="30"/>
          <w:rtl w:val="0"/>
          <w:lang w:val="en-US"/>
        </w:rPr>
        <w:t xml:space="preserve">’ </w:t>
      </w:r>
      <w:r>
        <w:rPr>
          <w:rFonts w:ascii="Times New Roman" w:hAnsi="Times New Roman"/>
          <w:sz w:val="30"/>
          <w:szCs w:val="30"/>
          <w:rtl w:val="0"/>
          <w:lang w:val="en-US"/>
        </w:rPr>
        <w:t>wife to the man that she marries, perhaps somewhat unwillingly like the example given by Rabinowitz in figure 5.6. That it was the women</w:t>
      </w:r>
      <w:r>
        <w:rPr>
          <w:rFonts w:ascii="Times New Roman" w:hAnsi="Times New Roman" w:hint="default"/>
          <w:sz w:val="30"/>
          <w:szCs w:val="30"/>
          <w:rtl w:val="0"/>
          <w:lang w:val="en-US"/>
        </w:rPr>
        <w:t>’</w:t>
      </w:r>
      <w:r>
        <w:rPr>
          <w:rFonts w:ascii="Times New Roman" w:hAnsi="Times New Roman"/>
          <w:sz w:val="30"/>
          <w:szCs w:val="30"/>
          <w:rtl w:val="0"/>
          <w:lang w:val="en-US"/>
        </w:rPr>
        <w:t>s job, their role, to tend to the loom and to bare children. Obviously though there are some exceptions to this social construct, such as the Maenad</w:t>
      </w:r>
      <w:r>
        <w:rPr>
          <w:rFonts w:ascii="Times New Roman" w:hAnsi="Times New Roman" w:hint="default"/>
          <w:sz w:val="30"/>
          <w:szCs w:val="30"/>
          <w:rtl w:val="0"/>
          <w:lang w:val="en-US"/>
        </w:rPr>
        <w:t>’</w:t>
      </w:r>
      <w:r>
        <w:rPr>
          <w:rFonts w:ascii="Times New Roman" w:hAnsi="Times New Roman"/>
          <w:sz w:val="30"/>
          <w:szCs w:val="30"/>
          <w:rtl w:val="0"/>
          <w:lang w:val="en-US"/>
        </w:rPr>
        <w:t>s festivities, where women of select social-classes could partake in extra-marital activities.</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u w:val="single"/>
          <w:rtl w:val="0"/>
        </w:rPr>
      </w:pPr>
      <w:r>
        <w:rPr>
          <w:rFonts w:ascii="Times New Roman" w:hAnsi="Times New Roman"/>
          <w:sz w:val="30"/>
          <w:szCs w:val="30"/>
          <w:u w:val="single"/>
          <w:rtl w:val="0"/>
          <w:lang w:val="en-US"/>
        </w:rPr>
        <w:t>Bibliography</w:t>
      </w:r>
    </w:p>
    <w:p>
      <w:pPr>
        <w:pStyle w:val="Default"/>
        <w:bidi w:val="0"/>
        <w:spacing w:line="288" w:lineRule="auto"/>
        <w:ind w:left="0" w:right="0" w:firstLine="0"/>
        <w:jc w:val="left"/>
        <w:rPr>
          <w:rFonts w:ascii="Times New Roman" w:cs="Times New Roman" w:hAnsi="Times New Roman" w:eastAsia="Times New Roman"/>
          <w:sz w:val="30"/>
          <w:szCs w:val="30"/>
          <w:u w:val="single"/>
          <w:rtl w:val="0"/>
        </w:rPr>
      </w:pPr>
      <w:r>
        <w:rPr>
          <w:rFonts w:ascii="Times New Roman" w:hAnsi="Times New Roman"/>
          <w:sz w:val="30"/>
          <w:szCs w:val="30"/>
          <w:u w:val="single"/>
          <w:rtl w:val="0"/>
          <w:lang w:val="en-US"/>
        </w:rPr>
        <w:t>Ancient Sources</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 xml:space="preserve">Apollodorus, </w:t>
      </w:r>
      <w:r>
        <w:rPr>
          <w:rFonts w:ascii="Times New Roman" w:hAnsi="Times New Roman"/>
          <w:i w:val="1"/>
          <w:iCs w:val="1"/>
          <w:sz w:val="30"/>
          <w:szCs w:val="30"/>
          <w:rtl w:val="0"/>
          <w:lang w:val="en-US"/>
        </w:rPr>
        <w:t xml:space="preserve">The Library of Greek Mythology. </w:t>
      </w:r>
      <w:r>
        <w:rPr>
          <w:rFonts w:ascii="Times New Roman" w:hAnsi="Times New Roman"/>
          <w:sz w:val="30"/>
          <w:szCs w:val="30"/>
          <w:rtl w:val="0"/>
          <w:lang w:val="en-US"/>
        </w:rPr>
        <w:t xml:space="preserve">R. Hard (trans.). 2008. Oxford: </w:t>
      </w: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Oxford University Press.</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 xml:space="preserve">Homer, </w:t>
      </w:r>
      <w:r>
        <w:rPr>
          <w:rFonts w:ascii="Times New Roman" w:hAnsi="Times New Roman"/>
          <w:i w:val="1"/>
          <w:iCs w:val="1"/>
          <w:sz w:val="30"/>
          <w:szCs w:val="30"/>
          <w:rtl w:val="0"/>
          <w:lang w:val="en-US"/>
        </w:rPr>
        <w:t xml:space="preserve">The Odyssey. </w:t>
      </w:r>
      <w:r>
        <w:rPr>
          <w:rFonts w:ascii="Times New Roman" w:hAnsi="Times New Roman"/>
          <w:sz w:val="30"/>
          <w:szCs w:val="30"/>
          <w:rtl w:val="0"/>
          <w:lang w:val="en-US"/>
        </w:rPr>
        <w:t>E. V. Rieu (trans.). 2003. London: The Penguin Group.</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 xml:space="preserve">Plutarch, </w:t>
      </w:r>
      <w:r>
        <w:rPr>
          <w:rFonts w:ascii="Times New Roman" w:hAnsi="Times New Roman"/>
          <w:i w:val="1"/>
          <w:iCs w:val="1"/>
          <w:sz w:val="30"/>
          <w:szCs w:val="30"/>
          <w:rtl w:val="0"/>
          <w:lang w:val="en-US"/>
        </w:rPr>
        <w:t xml:space="preserve">Greek Lives. </w:t>
      </w:r>
      <w:r>
        <w:rPr>
          <w:rFonts w:ascii="Times New Roman" w:hAnsi="Times New Roman"/>
          <w:sz w:val="30"/>
          <w:szCs w:val="30"/>
          <w:rtl w:val="0"/>
          <w:lang w:val="en-US"/>
        </w:rPr>
        <w:t>R. Waterfield (trans.). 2008. Oxford: Oxford University Press.</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 xml:space="preserve">Plutarch, </w:t>
      </w:r>
      <w:r>
        <w:rPr>
          <w:rFonts w:ascii="Times New Roman" w:hAnsi="Times New Roman"/>
          <w:i w:val="1"/>
          <w:iCs w:val="1"/>
          <w:sz w:val="30"/>
          <w:szCs w:val="30"/>
          <w:rtl w:val="0"/>
          <w:lang w:val="en-US"/>
        </w:rPr>
        <w:t xml:space="preserve">On Sparta. </w:t>
      </w:r>
      <w:r>
        <w:rPr>
          <w:rFonts w:ascii="Times New Roman" w:hAnsi="Times New Roman"/>
          <w:sz w:val="30"/>
          <w:szCs w:val="30"/>
          <w:rtl w:val="0"/>
          <w:lang w:val="en-US"/>
        </w:rPr>
        <w:t>R. J. A. Talbert (trans.). 2005. London: The Penguin Group.</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rtl w:val="0"/>
        </w:rPr>
      </w:pPr>
      <w:r>
        <w:rPr>
          <w:rFonts w:ascii="Times New Roman" w:hAnsi="Times New Roman"/>
          <w:sz w:val="30"/>
          <w:szCs w:val="30"/>
          <w:rtl w:val="0"/>
          <w:lang w:val="en-US"/>
        </w:rPr>
        <w:t xml:space="preserve">Sophocles, </w:t>
      </w:r>
      <w:r>
        <w:rPr>
          <w:rFonts w:ascii="Times New Roman" w:hAnsi="Times New Roman"/>
          <w:i w:val="1"/>
          <w:iCs w:val="1"/>
          <w:sz w:val="30"/>
          <w:szCs w:val="30"/>
          <w:rtl w:val="0"/>
          <w:lang w:val="en-US"/>
        </w:rPr>
        <w:t xml:space="preserve">The Three Theban Plays. </w:t>
      </w:r>
      <w:r>
        <w:rPr>
          <w:rFonts w:ascii="Times New Roman" w:hAnsi="Times New Roman"/>
          <w:sz w:val="30"/>
          <w:szCs w:val="30"/>
          <w:rtl w:val="0"/>
          <w:lang w:val="en-US"/>
        </w:rPr>
        <w:t>R. Fagles (trans.). 1984. New York: The Penguin Group.</w:t>
      </w:r>
    </w:p>
    <w:p>
      <w:pPr>
        <w:pStyle w:val="Default"/>
        <w:bidi w:val="0"/>
        <w:spacing w:line="288" w:lineRule="auto"/>
        <w:ind w:left="0" w:right="0" w:firstLine="0"/>
        <w:jc w:val="left"/>
        <w:rPr>
          <w:rFonts w:ascii="Times New Roman" w:cs="Times New Roman" w:hAnsi="Times New Roman" w:eastAsia="Times New Roman"/>
          <w:sz w:val="30"/>
          <w:szCs w:val="30"/>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single"/>
          <w:rtl w:val="0"/>
          <w:lang w:val="en-US"/>
        </w:rPr>
        <w:t>Modern Scholarship</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Barrow, R. 2002. </w:t>
      </w:r>
      <w:r>
        <w:rPr>
          <w:rFonts w:ascii="Times New Roman" w:hAnsi="Times New Roman"/>
          <w:i w:val="1"/>
          <w:iCs w:val="1"/>
          <w:sz w:val="30"/>
          <w:szCs w:val="30"/>
          <w:u w:val="none"/>
          <w:rtl w:val="0"/>
          <w:lang w:val="en-US"/>
        </w:rPr>
        <w:t xml:space="preserve">Athenian Democracy. </w:t>
      </w:r>
      <w:r>
        <w:rPr>
          <w:rFonts w:ascii="Times New Roman" w:hAnsi="Times New Roman"/>
          <w:sz w:val="30"/>
          <w:szCs w:val="30"/>
          <w:u w:val="none"/>
          <w:rtl w:val="0"/>
          <w:lang w:val="en-US"/>
        </w:rPr>
        <w:t>London: Bristol Classical Press.</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Classical Art Research Centre (Beazley). </w:t>
      </w:r>
      <w:r>
        <w:rPr>
          <w:rFonts w:ascii="Times New Roman" w:hAnsi="Times New Roman" w:hint="default"/>
          <w:sz w:val="30"/>
          <w:szCs w:val="30"/>
          <w:u w:val="none"/>
          <w:rtl w:val="0"/>
          <w:lang w:val="en-US"/>
        </w:rPr>
        <w:t>‘</w:t>
      </w:r>
      <w:r>
        <w:rPr>
          <w:rFonts w:ascii="Times New Roman" w:hAnsi="Times New Roman"/>
          <w:sz w:val="30"/>
          <w:szCs w:val="30"/>
          <w:u w:val="none"/>
          <w:rtl w:val="0"/>
          <w:lang w:val="en-US"/>
        </w:rPr>
        <w:t>Pyxis and Exaleiptron</w:t>
      </w:r>
      <w:r>
        <w:rPr>
          <w:rFonts w:ascii="Times New Roman" w:hAnsi="Times New Roman" w:hint="default"/>
          <w:sz w:val="30"/>
          <w:szCs w:val="30"/>
          <w:u w:val="none"/>
          <w:rtl w:val="0"/>
          <w:lang w:val="en-US"/>
        </w:rPr>
        <w:t xml:space="preserve">’ </w:t>
      </w:r>
      <w:r>
        <w:rPr>
          <w:rStyle w:val="Hyperlink.0"/>
          <w:rFonts w:ascii="Times New Roman" w:cs="Times New Roman" w:hAnsi="Times New Roman" w:eastAsia="Times New Roman"/>
          <w:sz w:val="30"/>
          <w:szCs w:val="30"/>
          <w:u w:val="single"/>
          <w:rtl w:val="0"/>
        </w:rPr>
        <w:fldChar w:fldCharType="begin" w:fldLock="0"/>
      </w:r>
      <w:r>
        <w:rPr>
          <w:rStyle w:val="Hyperlink.0"/>
          <w:rFonts w:ascii="Times New Roman" w:cs="Times New Roman" w:hAnsi="Times New Roman" w:eastAsia="Times New Roman"/>
          <w:sz w:val="30"/>
          <w:szCs w:val="30"/>
          <w:u w:val="single"/>
          <w:rtl w:val="0"/>
        </w:rPr>
        <w:instrText xml:space="preserve"> HYPERLINK "http://www.beazley.ox.ac.uk/tools/pottery/shapes/pyxis.htm"</w:instrText>
      </w:r>
      <w:r>
        <w:rPr>
          <w:rStyle w:val="Hyperlink.0"/>
          <w:rFonts w:ascii="Times New Roman" w:cs="Times New Roman" w:hAnsi="Times New Roman" w:eastAsia="Times New Roman"/>
          <w:sz w:val="30"/>
          <w:szCs w:val="30"/>
          <w:u w:val="single"/>
          <w:rtl w:val="0"/>
        </w:rPr>
        <w:fldChar w:fldCharType="separate" w:fldLock="0"/>
      </w:r>
      <w:r>
        <w:rPr>
          <w:rStyle w:val="Hyperlink.0"/>
          <w:rFonts w:ascii="Times New Roman" w:hAnsi="Times New Roman"/>
          <w:sz w:val="30"/>
          <w:szCs w:val="30"/>
          <w:u w:val="single"/>
          <w:rtl w:val="0"/>
          <w:lang w:val="en-US"/>
        </w:rPr>
        <w:t>http://www.beazley.ox.ac.uk/tools/pottery/shapes/pyxis.htm</w:t>
      </w:r>
      <w:r>
        <w:rPr>
          <w:rFonts w:ascii="Times New Roman" w:cs="Times New Roman" w:hAnsi="Times New Roman" w:eastAsia="Times New Roman"/>
          <w:sz w:val="30"/>
          <w:szCs w:val="30"/>
          <w:u w:val="single"/>
          <w:rtl w:val="0"/>
        </w:rPr>
        <w:fldChar w:fldCharType="end" w:fldLock="0"/>
      </w:r>
      <w:r>
        <w:rPr>
          <w:rFonts w:ascii="Times New Roman" w:hAnsi="Times New Roman"/>
          <w:sz w:val="30"/>
          <w:szCs w:val="30"/>
          <w:u w:val="none"/>
          <w:rtl w:val="0"/>
          <w:lang w:val="en-US"/>
        </w:rPr>
        <w:t xml:space="preserve"> [Accessed: 24th January 2018].</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Connolly, P. &amp; Dodge, H. 2001. </w:t>
      </w:r>
      <w:r>
        <w:rPr>
          <w:rFonts w:ascii="Times New Roman" w:hAnsi="Times New Roman"/>
          <w:i w:val="1"/>
          <w:iCs w:val="1"/>
          <w:sz w:val="30"/>
          <w:szCs w:val="30"/>
          <w:u w:val="none"/>
          <w:rtl w:val="0"/>
          <w:lang w:val="en-US"/>
        </w:rPr>
        <w:t xml:space="preserve">The Ancient City. </w:t>
      </w:r>
      <w:r>
        <w:rPr>
          <w:rFonts w:ascii="Times New Roman" w:hAnsi="Times New Roman"/>
          <w:sz w:val="30"/>
          <w:szCs w:val="30"/>
          <w:u w:val="none"/>
          <w:rtl w:val="0"/>
          <w:lang w:val="en-US"/>
        </w:rPr>
        <w:t>Oxford: Oxford University Press.</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Cotterell, A. (ed.). 1980. </w:t>
      </w:r>
      <w:r>
        <w:rPr>
          <w:rFonts w:ascii="Times New Roman" w:hAnsi="Times New Roman"/>
          <w:i w:val="1"/>
          <w:iCs w:val="1"/>
          <w:sz w:val="30"/>
          <w:szCs w:val="30"/>
          <w:u w:val="none"/>
          <w:rtl w:val="0"/>
          <w:lang w:val="en-US"/>
        </w:rPr>
        <w:t xml:space="preserve">The Penguin Encyclopaedia of Ancient Civilisations. </w:t>
      </w:r>
      <w:r>
        <w:rPr>
          <w:rFonts w:ascii="Times New Roman" w:hAnsi="Times New Roman"/>
          <w:sz w:val="30"/>
          <w:szCs w:val="30"/>
          <w:u w:val="none"/>
          <w:rtl w:val="0"/>
          <w:lang w:val="en-US"/>
        </w:rPr>
        <w:t>London: The Penguin Group.</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Moignard, E. 2012. </w:t>
      </w:r>
      <w:r>
        <w:rPr>
          <w:rFonts w:ascii="Times New Roman" w:hAnsi="Times New Roman"/>
          <w:i w:val="1"/>
          <w:iCs w:val="1"/>
          <w:sz w:val="30"/>
          <w:szCs w:val="30"/>
          <w:u w:val="none"/>
          <w:rtl w:val="0"/>
          <w:lang w:val="en-US"/>
        </w:rPr>
        <w:t xml:space="preserve">Greek Vases. </w:t>
      </w:r>
      <w:r>
        <w:rPr>
          <w:rFonts w:ascii="Times New Roman" w:hAnsi="Times New Roman"/>
          <w:sz w:val="30"/>
          <w:szCs w:val="30"/>
          <w:u w:val="none"/>
          <w:rtl w:val="0"/>
          <w:lang w:val="en-US"/>
        </w:rPr>
        <w:t>London: Bristol Classical Press.</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Museum of Fine Arts: Boston. </w:t>
      </w:r>
      <w:r>
        <w:rPr>
          <w:rFonts w:ascii="Times New Roman" w:hAnsi="Times New Roman" w:hint="default"/>
          <w:sz w:val="30"/>
          <w:szCs w:val="30"/>
          <w:u w:val="none"/>
          <w:rtl w:val="0"/>
          <w:lang w:val="en-US"/>
        </w:rPr>
        <w:t>‘</w:t>
      </w:r>
      <w:r>
        <w:rPr>
          <w:rFonts w:ascii="Times New Roman" w:hAnsi="Times New Roman"/>
          <w:sz w:val="30"/>
          <w:szCs w:val="30"/>
          <w:u w:val="none"/>
          <w:rtl w:val="0"/>
          <w:lang w:val="en-US"/>
        </w:rPr>
        <w:t>Oil Flask (Aryballos)</w:t>
      </w:r>
      <w:r>
        <w:rPr>
          <w:rFonts w:ascii="Times New Roman" w:hAnsi="Times New Roman" w:hint="default"/>
          <w:sz w:val="30"/>
          <w:szCs w:val="30"/>
          <w:u w:val="none"/>
          <w:rtl w:val="0"/>
          <w:lang w:val="en-US"/>
        </w:rPr>
        <w:t xml:space="preserve">’ </w:t>
      </w:r>
      <w:r>
        <w:rPr>
          <w:rStyle w:val="Hyperlink.0"/>
          <w:rFonts w:ascii="Times New Roman" w:cs="Times New Roman" w:hAnsi="Times New Roman" w:eastAsia="Times New Roman"/>
          <w:sz w:val="30"/>
          <w:szCs w:val="30"/>
          <w:u w:val="single"/>
          <w:rtl w:val="0"/>
        </w:rPr>
        <w:fldChar w:fldCharType="begin" w:fldLock="0"/>
      </w:r>
      <w:r>
        <w:rPr>
          <w:rStyle w:val="Hyperlink.0"/>
          <w:rFonts w:ascii="Times New Roman" w:cs="Times New Roman" w:hAnsi="Times New Roman" w:eastAsia="Times New Roman"/>
          <w:sz w:val="30"/>
          <w:szCs w:val="30"/>
          <w:u w:val="single"/>
          <w:rtl w:val="0"/>
        </w:rPr>
        <w:instrText xml:space="preserve"> HYPERLINK "http://www.mfa.org/collections/object/oil-flask-aryballos-155711"</w:instrText>
      </w:r>
      <w:r>
        <w:rPr>
          <w:rStyle w:val="Hyperlink.0"/>
          <w:rFonts w:ascii="Times New Roman" w:cs="Times New Roman" w:hAnsi="Times New Roman" w:eastAsia="Times New Roman"/>
          <w:sz w:val="30"/>
          <w:szCs w:val="30"/>
          <w:u w:val="single"/>
          <w:rtl w:val="0"/>
        </w:rPr>
        <w:fldChar w:fldCharType="separate" w:fldLock="0"/>
      </w:r>
      <w:r>
        <w:rPr>
          <w:rStyle w:val="Hyperlink.0"/>
          <w:rFonts w:ascii="Times New Roman" w:hAnsi="Times New Roman"/>
          <w:sz w:val="30"/>
          <w:szCs w:val="30"/>
          <w:u w:val="single"/>
          <w:rtl w:val="0"/>
          <w:lang w:val="en-US"/>
        </w:rPr>
        <w:t>http://www.mfa.org/collections/object/oil-flask-aryballos-155711</w:t>
      </w:r>
      <w:r>
        <w:rPr>
          <w:rFonts w:ascii="Times New Roman" w:cs="Times New Roman" w:hAnsi="Times New Roman" w:eastAsia="Times New Roman"/>
          <w:sz w:val="30"/>
          <w:szCs w:val="30"/>
          <w:u w:val="single"/>
          <w:rtl w:val="0"/>
        </w:rPr>
        <w:fldChar w:fldCharType="end" w:fldLock="0"/>
      </w:r>
      <w:r>
        <w:rPr>
          <w:rFonts w:ascii="Times New Roman" w:hAnsi="Times New Roman"/>
          <w:sz w:val="30"/>
          <w:szCs w:val="30"/>
          <w:u w:val="none"/>
          <w:rtl w:val="0"/>
          <w:lang w:val="en-US"/>
        </w:rPr>
        <w:t xml:space="preserve"> [Accessed: 23rd January 2018].</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Osborne, R. 1998. </w:t>
      </w:r>
      <w:r>
        <w:rPr>
          <w:rFonts w:ascii="Times New Roman" w:hAnsi="Times New Roman"/>
          <w:i w:val="1"/>
          <w:iCs w:val="1"/>
          <w:sz w:val="30"/>
          <w:szCs w:val="30"/>
          <w:u w:val="none"/>
          <w:rtl w:val="0"/>
          <w:lang w:val="en-US"/>
        </w:rPr>
        <w:t xml:space="preserve">Archaic and Classical Greek Art. </w:t>
      </w:r>
      <w:r>
        <w:rPr>
          <w:rFonts w:ascii="Times New Roman" w:hAnsi="Times New Roman"/>
          <w:sz w:val="30"/>
          <w:szCs w:val="30"/>
          <w:u w:val="none"/>
          <w:rtl w:val="0"/>
          <w:lang w:val="en-US"/>
        </w:rPr>
        <w:t>Oxford: Oxford University Press.</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Playboy Enterprises Inc. </w:t>
      </w:r>
      <w:r>
        <w:rPr>
          <w:rFonts w:ascii="Times New Roman" w:hAnsi="Times New Roman" w:hint="default"/>
          <w:sz w:val="30"/>
          <w:szCs w:val="30"/>
          <w:u w:val="none"/>
          <w:rtl w:val="0"/>
          <w:lang w:val="en-US"/>
        </w:rPr>
        <w:t>‘</w:t>
      </w:r>
      <w:r>
        <w:rPr>
          <w:rFonts w:ascii="Times New Roman" w:hAnsi="Times New Roman"/>
          <w:sz w:val="30"/>
          <w:szCs w:val="30"/>
          <w:u w:val="none"/>
          <w:rtl w:val="0"/>
          <w:lang w:val="en-US"/>
        </w:rPr>
        <w:t>Playboy Enterprises FAQs</w:t>
      </w:r>
      <w:r>
        <w:rPr>
          <w:rFonts w:ascii="Times New Roman" w:hAnsi="Times New Roman" w:hint="default"/>
          <w:sz w:val="30"/>
          <w:szCs w:val="30"/>
          <w:u w:val="none"/>
          <w:rtl w:val="0"/>
          <w:lang w:val="en-US"/>
        </w:rPr>
        <w:t xml:space="preserve">’ </w:t>
      </w:r>
      <w:r>
        <w:rPr>
          <w:rStyle w:val="Hyperlink.0"/>
          <w:rFonts w:ascii="Times New Roman" w:cs="Times New Roman" w:hAnsi="Times New Roman" w:eastAsia="Times New Roman"/>
          <w:sz w:val="30"/>
          <w:szCs w:val="30"/>
          <w:u w:val="single"/>
          <w:rtl w:val="0"/>
        </w:rPr>
        <w:fldChar w:fldCharType="begin" w:fldLock="0"/>
      </w:r>
      <w:r>
        <w:rPr>
          <w:rStyle w:val="Hyperlink.0"/>
          <w:rFonts w:ascii="Times New Roman" w:cs="Times New Roman" w:hAnsi="Times New Roman" w:eastAsia="Times New Roman"/>
          <w:sz w:val="30"/>
          <w:szCs w:val="30"/>
          <w:u w:val="single"/>
          <w:rtl w:val="0"/>
        </w:rPr>
        <w:instrText xml:space="preserve"> HYPERLINK "http://www.playboyenterprises.com/home/content.cfm?content=t_template&amp;packet=00017B97-9135-1C72-8FEA8304E50A010D&amp;artTypeID=00025AAE-7EF7-1C72-8FEA8304E50A010D"</w:instrText>
      </w:r>
      <w:r>
        <w:rPr>
          <w:rStyle w:val="Hyperlink.0"/>
          <w:rFonts w:ascii="Times New Roman" w:cs="Times New Roman" w:hAnsi="Times New Roman" w:eastAsia="Times New Roman"/>
          <w:sz w:val="30"/>
          <w:szCs w:val="30"/>
          <w:u w:val="single"/>
          <w:rtl w:val="0"/>
        </w:rPr>
        <w:fldChar w:fldCharType="separate" w:fldLock="0"/>
      </w:r>
      <w:r>
        <w:rPr>
          <w:rStyle w:val="Hyperlink.0"/>
          <w:rFonts w:ascii="Times New Roman" w:hAnsi="Times New Roman"/>
          <w:sz w:val="30"/>
          <w:szCs w:val="30"/>
          <w:u w:val="single"/>
          <w:rtl w:val="0"/>
          <w:lang w:val="en-US"/>
        </w:rPr>
        <w:t>http://www.playboyenterprises.com/home/content.cfm?content=t_template&amp;packet=00017B97-9135-1C72-8FEA8304E50A010D&amp;artTypeID=00025AAE-7EF7-1C72-8FEA8304E50A010D</w:t>
      </w:r>
      <w:r>
        <w:rPr>
          <w:rFonts w:ascii="Times New Roman" w:cs="Times New Roman" w:hAnsi="Times New Roman" w:eastAsia="Times New Roman"/>
          <w:sz w:val="30"/>
          <w:szCs w:val="30"/>
          <w:u w:val="single"/>
          <w:rtl w:val="0"/>
        </w:rPr>
        <w:fldChar w:fldCharType="end" w:fldLock="0"/>
      </w:r>
      <w:r>
        <w:rPr>
          <w:rFonts w:ascii="Times New Roman" w:hAnsi="Times New Roman"/>
          <w:sz w:val="30"/>
          <w:szCs w:val="30"/>
          <w:u w:val="none"/>
          <w:rtl w:val="0"/>
          <w:lang w:val="en-US"/>
        </w:rPr>
        <w:t xml:space="preserve"> [Accessed: 24th January 2018].</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rPr>
        <w:t>Rabinowitz, N</w:t>
      </w:r>
      <w:r>
        <w:rPr>
          <w:rFonts w:ascii="Times New Roman" w:hAnsi="Times New Roman"/>
          <w:sz w:val="30"/>
          <w:szCs w:val="30"/>
          <w:u w:val="none"/>
          <w:rtl w:val="0"/>
          <w:lang w:val="en-US"/>
        </w:rPr>
        <w:t>.</w:t>
      </w:r>
      <w:r>
        <w:rPr>
          <w:rFonts w:ascii="Times New Roman" w:hAnsi="Times New Roman"/>
          <w:sz w:val="30"/>
          <w:szCs w:val="30"/>
          <w:u w:val="none"/>
          <w:rtl w:val="0"/>
        </w:rPr>
        <w:t xml:space="preserve"> S.</w:t>
      </w:r>
      <w:r>
        <w:rPr>
          <w:rFonts w:ascii="Times New Roman" w:hAnsi="Times New Roman"/>
          <w:sz w:val="30"/>
          <w:szCs w:val="30"/>
          <w:u w:val="none"/>
          <w:rtl w:val="0"/>
          <w:lang w:val="en-US"/>
        </w:rPr>
        <w:t xml:space="preserve"> 2002.</w:t>
      </w:r>
      <w:r>
        <w:rPr>
          <w:rFonts w:ascii="Times New Roman" w:hAnsi="Times New Roman"/>
          <w:sz w:val="30"/>
          <w:szCs w:val="30"/>
          <w:u w:val="none"/>
          <w:rtl w:val="0"/>
        </w:rPr>
        <w:t xml:space="preserve"> </w:t>
      </w:r>
      <w:r>
        <w:rPr>
          <w:rFonts w:ascii="Times New Roman" w:hAnsi="Times New Roman"/>
          <w:i w:val="1"/>
          <w:iCs w:val="1"/>
          <w:sz w:val="30"/>
          <w:szCs w:val="30"/>
          <w:u w:val="none"/>
          <w:rtl w:val="0"/>
          <w:lang w:val="en-US"/>
        </w:rPr>
        <w:t>Among women: from the homosocial to the homoerotic in the ancient world.</w:t>
      </w:r>
      <w:r>
        <w:rPr>
          <w:rFonts w:ascii="Times New Roman" w:hAnsi="Times New Roman"/>
          <w:sz w:val="30"/>
          <w:szCs w:val="30"/>
          <w:u w:val="none"/>
          <w:rtl w:val="0"/>
          <w:lang w:val="en-US"/>
        </w:rPr>
        <w:t xml:space="preserve"> Austin : University of Texas Press</w:t>
      </w:r>
      <w:r>
        <w:rPr>
          <w:rFonts w:ascii="Times New Roman" w:hAnsi="Times New Roman"/>
          <w:sz w:val="30"/>
          <w:szCs w:val="30"/>
          <w:u w:val="none"/>
          <w:rtl w:val="0"/>
          <w:lang w:val="en-US"/>
        </w:rPr>
        <w:t>.</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Roberts, J. 2007. </w:t>
      </w:r>
      <w:r>
        <w:rPr>
          <w:rFonts w:ascii="Times New Roman" w:hAnsi="Times New Roman"/>
          <w:i w:val="1"/>
          <w:iCs w:val="1"/>
          <w:sz w:val="30"/>
          <w:szCs w:val="30"/>
          <w:u w:val="none"/>
          <w:rtl w:val="0"/>
          <w:lang w:val="en-US"/>
        </w:rPr>
        <w:t xml:space="preserve">Oxford Dictionary of the Classical World. </w:t>
      </w:r>
      <w:r>
        <w:rPr>
          <w:rFonts w:ascii="Times New Roman" w:hAnsi="Times New Roman"/>
          <w:sz w:val="30"/>
          <w:szCs w:val="30"/>
          <w:u w:val="none"/>
          <w:rtl w:val="0"/>
          <w:lang w:val="en-US"/>
        </w:rPr>
        <w:t>Oxford: Oxford University Press.</w:t>
      </w: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p>
    <w:p>
      <w:pPr>
        <w:pStyle w:val="Default"/>
        <w:bidi w:val="0"/>
        <w:spacing w:line="288" w:lineRule="auto"/>
        <w:ind w:left="0" w:right="0" w:firstLine="0"/>
        <w:jc w:val="left"/>
        <w:rPr>
          <w:rFonts w:ascii="Times New Roman" w:cs="Times New Roman" w:hAnsi="Times New Roman" w:eastAsia="Times New Roman"/>
          <w:sz w:val="30"/>
          <w:szCs w:val="30"/>
          <w:u w:val="none"/>
          <w:rtl w:val="0"/>
        </w:rPr>
      </w:pPr>
      <w:r>
        <w:rPr>
          <w:rFonts w:ascii="Times New Roman" w:hAnsi="Times New Roman"/>
          <w:sz w:val="30"/>
          <w:szCs w:val="30"/>
          <w:u w:val="none"/>
          <w:rtl w:val="0"/>
          <w:lang w:val="en-US"/>
        </w:rPr>
        <w:t xml:space="preserve">Woodford, S. 2003. </w:t>
      </w:r>
      <w:r>
        <w:rPr>
          <w:rFonts w:ascii="Times New Roman" w:hAnsi="Times New Roman"/>
          <w:i w:val="1"/>
          <w:iCs w:val="1"/>
          <w:sz w:val="30"/>
          <w:szCs w:val="30"/>
          <w:u w:val="none"/>
          <w:rtl w:val="0"/>
          <w:lang w:val="en-US"/>
        </w:rPr>
        <w:t xml:space="preserve">An Introduction to Greek Art. </w:t>
      </w:r>
      <w:r>
        <w:rPr>
          <w:rFonts w:ascii="Times New Roman" w:hAnsi="Times New Roman"/>
          <w:sz w:val="30"/>
          <w:szCs w:val="30"/>
          <w:u w:val="none"/>
          <w:rtl w:val="0"/>
          <w:lang w:val="en-US"/>
        </w:rPr>
        <w:t>London: Gerald Duckworth &amp; Co LTD.</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107</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Woodford 2003: 12</w:t>
      </w:r>
    </w:p>
  </w:footnote>
  <w:footnote w:id="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Museum of Fine Arts, Boston 2018</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Woodford 2003: 12</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107</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Barrow 2002: 37</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Osborne 1998: 87</w:t>
      </w:r>
    </w:p>
  </w:footnote>
  <w:footnote w:id="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109</w:t>
      </w:r>
    </w:p>
  </w:footnote>
  <w:footnote w:id="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110</w:t>
      </w:r>
    </w:p>
  </w:footnote>
  <w:footnote w:id="1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Homer, </w:t>
      </w:r>
      <w:r>
        <w:rPr>
          <w:rFonts w:cs="Arial Unicode MS" w:eastAsia="Arial Unicode MS"/>
          <w:i w:val="1"/>
          <w:iCs w:val="1"/>
          <w:rtl w:val="0"/>
          <w:lang w:val="en-US"/>
        </w:rPr>
        <w:t xml:space="preserve">The Odyssey. </w:t>
      </w:r>
      <w:r>
        <w:rPr>
          <w:rFonts w:cs="Arial Unicode MS" w:eastAsia="Arial Unicode MS"/>
          <w:rtl w:val="0"/>
          <w:lang w:val="en-US"/>
        </w:rPr>
        <w:t>8.266-366</w:t>
      </w:r>
    </w:p>
  </w:footnote>
  <w:footnote w:id="1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113</w:t>
      </w:r>
    </w:p>
  </w:footnote>
  <w:footnote w:id="1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Playboy Enterprises Inc. 2018</w:t>
      </w:r>
    </w:p>
  </w:footnote>
  <w:footnote w:id="13">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110</w:t>
      </w:r>
    </w:p>
  </w:footnote>
  <w:footnote w:id="14">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110</w:t>
      </w:r>
    </w:p>
  </w:footnote>
  <w:footnote w:id="1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110</w:t>
      </w:r>
    </w:p>
  </w:footnote>
  <w:footnote w:id="16">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122</w:t>
      </w:r>
    </w:p>
  </w:footnote>
  <w:footnote w:id="1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124</w:t>
      </w:r>
    </w:p>
  </w:footnote>
  <w:footnote w:id="18">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125</w:t>
      </w:r>
    </w:p>
  </w:footnote>
  <w:footnote w:id="19">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Rabinowitz 2002: 138</w:t>
      </w:r>
    </w:p>
  </w:footnote>
  <w:footnote w:id="20">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Connolly &amp; Dodge 2001: 34-35</w:t>
      </w:r>
    </w:p>
  </w:footnote>
  <w:footnote w:id="2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Roberts 2007: 442</w:t>
      </w:r>
    </w:p>
  </w:footnote>
  <w:footnote w:id="2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Plutarch, </w:t>
      </w:r>
      <w:r>
        <w:rPr>
          <w:rFonts w:cs="Arial Unicode MS" w:eastAsia="Arial Unicode MS"/>
          <w:i w:val="1"/>
          <w:iCs w:val="1"/>
          <w:rtl w:val="0"/>
          <w:lang w:val="en-US"/>
        </w:rPr>
        <w:t>Lycurgus.</w:t>
      </w:r>
      <w:r>
        <w:rPr>
          <w:rFonts w:cs="Arial Unicode MS" w:eastAsia="Arial Unicode MS"/>
          <w:rtl w:val="0"/>
          <w:lang w:val="en-US"/>
        </w:rPr>
        <w:t xml:space="preserve"> 14</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