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9DBB80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F039A">
              <w:rPr>
                <w:rFonts w:ascii="Times New Roman" w:hAnsi="Times New Roman" w:cs="Times New Roman"/>
                <w:b/>
                <w:color w:val="auto"/>
                <w:sz w:val="48"/>
              </w:rPr>
              <w:t>Catherine Fraser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DF5E2A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F039A">
              <w:rPr>
                <w:rFonts w:ascii="Times New Roman" w:hAnsi="Times New Roman" w:cs="Times New Roman"/>
                <w:b/>
                <w:color w:val="auto"/>
                <w:sz w:val="48"/>
              </w:rPr>
              <w:t xml:space="preserve"> </w:t>
            </w:r>
          </w:p>
          <w:p w14:paraId="22E38809" w14:textId="5B6DDC48" w:rsidR="00986B43" w:rsidRDefault="00717A6D" w:rsidP="005D3F07">
            <w:pPr>
              <w:overflowPunct/>
              <w:autoSpaceDE/>
              <w:autoSpaceDN/>
              <w:adjustRightInd/>
              <w:ind w:right="-957"/>
              <w:textAlignment w:val="auto"/>
              <w:rPr>
                <w:rFonts w:ascii="Times New Roman" w:hAnsi="Times New Roman" w:cs="Times New Roman"/>
                <w:b/>
                <w:color w:val="auto"/>
                <w:sz w:val="48"/>
              </w:rPr>
            </w:pPr>
            <w:r w:rsidRPr="00A05A71">
              <w:rPr>
                <w:rFonts w:ascii="Times New Roman" w:hAnsi="Times New Roman" w:cs="Times New Roman"/>
                <w:b/>
                <w:color w:val="auto"/>
                <w:sz w:val="48"/>
              </w:rPr>
              <w:t>2316884@student.uwtsd.ac.uk</w:t>
            </w:r>
          </w:p>
          <w:p w14:paraId="60E4B3C1" w14:textId="77777777" w:rsidR="00717A6D" w:rsidRDefault="00717A6D"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1F331CB" w:rsidR="0085230E" w:rsidRDefault="001D20AD" w:rsidP="005D3F07">
            <w:pPr>
              <w:overflowPunct/>
              <w:autoSpaceDE/>
              <w:autoSpaceDN/>
              <w:adjustRightInd/>
              <w:ind w:right="-957"/>
              <w:textAlignment w:val="auto"/>
              <w:rPr>
                <w:rFonts w:ascii="Times New Roman" w:hAnsi="Times New Roman" w:cs="Times New Roman"/>
                <w:b/>
                <w:color w:val="auto"/>
                <w:sz w:val="48"/>
              </w:rPr>
            </w:pPr>
            <w:r w:rsidRPr="001D20AD">
              <w:rPr>
                <w:rFonts w:ascii="Times New Roman" w:hAnsi="Times New Roman" w:cs="Times New Roman"/>
                <w:b/>
                <w:color w:val="auto"/>
                <w:sz w:val="48"/>
              </w:rPr>
              <w:t>2316884</w:t>
            </w:r>
          </w:p>
          <w:p w14:paraId="4E3829FB" w14:textId="77777777" w:rsidR="001D20AD" w:rsidRPr="005D3F07" w:rsidRDefault="001D20AD" w:rsidP="005D3F07">
            <w:pPr>
              <w:overflowPunct/>
              <w:autoSpaceDE/>
              <w:autoSpaceDN/>
              <w:adjustRightInd/>
              <w:ind w:right="-957"/>
              <w:textAlignment w:val="auto"/>
              <w:rPr>
                <w:rFonts w:ascii="Times New Roman" w:hAnsi="Times New Roman" w:cs="Times New Roman"/>
                <w:b/>
                <w:color w:val="auto"/>
                <w:sz w:val="48"/>
              </w:rPr>
            </w:pPr>
          </w:p>
          <w:p w14:paraId="5F84129B" w14:textId="5131F4E1"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w:t>
            </w:r>
            <w:r w:rsidR="00DF039A">
              <w:rPr>
                <w:rFonts w:ascii="Times New Roman" w:hAnsi="Times New Roman" w:cs="Times New Roman"/>
                <w:b/>
                <w:color w:val="auto"/>
                <w:sz w:val="48"/>
              </w:rPr>
              <w:t>2</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59EBD870" w14:textId="77777777" w:rsidR="00185B06" w:rsidRDefault="00185B06" w:rsidP="00185B06">
      <w:pPr>
        <w:rPr>
          <w:rFonts w:ascii="Times New Roman" w:hAnsi="Times New Roman" w:cs="Times New Roman"/>
          <w:b/>
          <w:color w:val="auto"/>
          <w:sz w:val="48"/>
        </w:rPr>
      </w:pPr>
    </w:p>
    <w:p w14:paraId="0EF984DF" w14:textId="4D3734A7" w:rsidR="000D0BB6" w:rsidRPr="00185B06" w:rsidRDefault="00337FEF" w:rsidP="00185B06">
      <w:pPr>
        <w:jc w:val="center"/>
        <w:rPr>
          <w:b/>
          <w:sz w:val="24"/>
          <w:szCs w:val="24"/>
        </w:rPr>
      </w:pPr>
      <w:r w:rsidRPr="00DF039A">
        <w:rPr>
          <w:rFonts w:asciiTheme="minorHAnsi" w:hAnsiTheme="minorHAnsi" w:cstheme="minorHAnsi"/>
          <w:b/>
          <w:sz w:val="24"/>
          <w:szCs w:val="24"/>
        </w:rPr>
        <w:t>Task 4</w:t>
      </w:r>
    </w:p>
    <w:p w14:paraId="156B2346" w14:textId="77777777" w:rsidR="00002C7A" w:rsidRPr="00DF039A" w:rsidRDefault="00002C7A" w:rsidP="00EE5BC3">
      <w:pPr>
        <w:jc w:val="center"/>
        <w:rPr>
          <w:rFonts w:asciiTheme="minorHAnsi" w:hAnsiTheme="minorHAnsi" w:cstheme="minorHAnsi"/>
          <w:b/>
          <w:sz w:val="24"/>
          <w:szCs w:val="24"/>
        </w:rPr>
      </w:pPr>
    </w:p>
    <w:p w14:paraId="4A34FA1D" w14:textId="77777777" w:rsidR="00002C7A" w:rsidRPr="00DF039A" w:rsidRDefault="00002C7A" w:rsidP="00EE5BC3">
      <w:pPr>
        <w:jc w:val="center"/>
        <w:rPr>
          <w:rFonts w:asciiTheme="minorHAnsi" w:hAnsiTheme="minorHAnsi" w:cstheme="minorHAnsi"/>
          <w:b/>
          <w:sz w:val="24"/>
          <w:szCs w:val="24"/>
        </w:rPr>
      </w:pPr>
      <w:r w:rsidRPr="00DF039A">
        <w:rPr>
          <w:rFonts w:asciiTheme="minorHAnsi" w:hAnsiTheme="minorHAnsi" w:cstheme="minorHAnsi"/>
          <w:b/>
          <w:sz w:val="24"/>
          <w:szCs w:val="24"/>
        </w:rPr>
        <w:t>Safeguarding</w:t>
      </w:r>
      <w:r w:rsidR="005F64AA" w:rsidRPr="00DF039A">
        <w:rPr>
          <w:rFonts w:asciiTheme="minorHAnsi" w:hAnsiTheme="minorHAnsi" w:cstheme="minorHAnsi"/>
          <w:b/>
          <w:sz w:val="24"/>
          <w:szCs w:val="24"/>
        </w:rPr>
        <w:t xml:space="preserve"> in an area which is not your main area of </w:t>
      </w:r>
      <w:proofErr w:type="gramStart"/>
      <w:r w:rsidR="005F64AA" w:rsidRPr="00DF039A">
        <w:rPr>
          <w:rFonts w:asciiTheme="minorHAnsi" w:hAnsiTheme="minorHAnsi" w:cstheme="minorHAnsi"/>
          <w:b/>
          <w:sz w:val="24"/>
          <w:szCs w:val="24"/>
        </w:rPr>
        <w:t>work</w:t>
      </w:r>
      <w:proofErr w:type="gramEnd"/>
    </w:p>
    <w:p w14:paraId="6D6C0186" w14:textId="77777777" w:rsidR="000D0BB6" w:rsidRPr="00DF039A" w:rsidRDefault="000D0BB6" w:rsidP="00FF7EBB">
      <w:pPr>
        <w:jc w:val="both"/>
        <w:rPr>
          <w:rFonts w:asciiTheme="minorHAnsi" w:hAnsiTheme="minorHAnsi" w:cstheme="minorHAnsi"/>
          <w:b/>
          <w:sz w:val="24"/>
          <w:szCs w:val="24"/>
        </w:rPr>
      </w:pPr>
    </w:p>
    <w:p w14:paraId="63836D76" w14:textId="77777777" w:rsidR="00337FEF" w:rsidRPr="00DF039A" w:rsidRDefault="008B28E7" w:rsidP="00FF7EBB">
      <w:pPr>
        <w:ind w:left="-90"/>
        <w:jc w:val="both"/>
        <w:rPr>
          <w:rFonts w:asciiTheme="minorHAnsi" w:hAnsiTheme="minorHAnsi" w:cstheme="minorHAnsi"/>
          <w:b/>
          <w:i/>
          <w:sz w:val="24"/>
          <w:szCs w:val="24"/>
        </w:rPr>
      </w:pPr>
      <w:r w:rsidRPr="00DF039A">
        <w:rPr>
          <w:rFonts w:asciiTheme="minorHAnsi" w:hAnsiTheme="minorHAnsi" w:cstheme="minorHAnsi"/>
          <w:b/>
          <w:i/>
          <w:sz w:val="24"/>
          <w:szCs w:val="24"/>
        </w:rPr>
        <w:t xml:space="preserve">Guidance: </w:t>
      </w:r>
    </w:p>
    <w:p w14:paraId="440B2467" w14:textId="322DDD98" w:rsidR="00633165" w:rsidRPr="00DF039A" w:rsidRDefault="00012B16" w:rsidP="4EC15626">
      <w:pPr>
        <w:ind w:left="-90"/>
        <w:jc w:val="both"/>
        <w:rPr>
          <w:rFonts w:asciiTheme="minorHAnsi" w:hAnsiTheme="minorHAnsi" w:cstheme="minorHAnsi"/>
          <w:i/>
          <w:iCs/>
          <w:sz w:val="24"/>
          <w:szCs w:val="24"/>
        </w:rPr>
      </w:pPr>
      <w:r w:rsidRPr="00DF039A">
        <w:rPr>
          <w:rFonts w:asciiTheme="minorHAnsi" w:hAnsiTheme="minorHAnsi" w:cstheme="minorHAnsi"/>
          <w:i/>
          <w:iCs/>
          <w:sz w:val="24"/>
          <w:szCs w:val="24"/>
        </w:rPr>
        <w:t>Social Care Wales</w:t>
      </w:r>
      <w:r w:rsidR="008B28E7" w:rsidRPr="00DF039A">
        <w:rPr>
          <w:rFonts w:asciiTheme="minorHAnsi" w:hAnsiTheme="minorHAnsi" w:cstheme="minorHAnsi"/>
          <w:i/>
          <w:iCs/>
          <w:sz w:val="24"/>
          <w:szCs w:val="24"/>
        </w:rPr>
        <w:t xml:space="preserve"> require newly qualified social workers </w:t>
      </w:r>
      <w:r w:rsidR="00D60F88" w:rsidRPr="00DF039A">
        <w:rPr>
          <w:rFonts w:asciiTheme="minorHAnsi" w:hAnsiTheme="minorHAnsi" w:cstheme="minorHAnsi"/>
          <w:i/>
          <w:iCs/>
          <w:sz w:val="24"/>
          <w:szCs w:val="24"/>
        </w:rPr>
        <w:t xml:space="preserve">to provide evidence of </w:t>
      </w:r>
      <w:r w:rsidR="008B28E7" w:rsidRPr="00DF039A">
        <w:rPr>
          <w:rFonts w:asciiTheme="minorHAnsi" w:hAnsiTheme="minorHAnsi" w:cstheme="minorHAnsi"/>
          <w:i/>
          <w:iCs/>
          <w:sz w:val="24"/>
          <w:szCs w:val="24"/>
        </w:rPr>
        <w:t xml:space="preserve">their </w:t>
      </w:r>
      <w:r w:rsidR="00D60F88" w:rsidRPr="00DF039A">
        <w:rPr>
          <w:rFonts w:asciiTheme="minorHAnsi" w:hAnsiTheme="minorHAnsi" w:cstheme="minorHAnsi"/>
          <w:i/>
          <w:iCs/>
          <w:sz w:val="24"/>
          <w:szCs w:val="24"/>
        </w:rPr>
        <w:t>understanding of safeguarding work with adults and children</w:t>
      </w:r>
      <w:r w:rsidR="008B28E7" w:rsidRPr="00DF039A">
        <w:rPr>
          <w:rFonts w:asciiTheme="minorHAnsi" w:hAnsiTheme="minorHAnsi" w:cstheme="minorHAnsi"/>
          <w:i/>
          <w:iCs/>
          <w:sz w:val="24"/>
          <w:szCs w:val="24"/>
        </w:rPr>
        <w:t>.</w:t>
      </w:r>
      <w:r w:rsidR="00D60F88" w:rsidRPr="00DF039A">
        <w:rPr>
          <w:rFonts w:asciiTheme="minorHAnsi" w:hAnsiTheme="minorHAnsi" w:cstheme="minorHAnsi"/>
          <w:i/>
          <w:iCs/>
          <w:sz w:val="24"/>
          <w:szCs w:val="24"/>
        </w:rPr>
        <w:t xml:space="preserve"> </w:t>
      </w:r>
      <w:r w:rsidR="004911B4" w:rsidRPr="00DF039A">
        <w:rPr>
          <w:rFonts w:asciiTheme="minorHAnsi" w:hAnsiTheme="minorHAnsi" w:cstheme="minorHAnsi"/>
          <w:i/>
          <w:iCs/>
          <w:sz w:val="24"/>
          <w:szCs w:val="24"/>
        </w:rPr>
        <w:t>The</w:t>
      </w:r>
      <w:r w:rsidR="00D60F88" w:rsidRPr="00DF039A">
        <w:rPr>
          <w:rFonts w:asciiTheme="minorHAnsi" w:hAnsiTheme="minorHAnsi" w:cstheme="minorHAnsi"/>
          <w:i/>
          <w:iCs/>
          <w:sz w:val="24"/>
          <w:szCs w:val="24"/>
        </w:rPr>
        <w:t xml:space="preserve"> assignment below will enable you to </w:t>
      </w:r>
      <w:r w:rsidR="00EE5BC3" w:rsidRPr="00DF039A">
        <w:rPr>
          <w:rFonts w:asciiTheme="minorHAnsi" w:hAnsiTheme="minorHAnsi" w:cstheme="minorHAnsi"/>
          <w:i/>
          <w:iCs/>
          <w:sz w:val="24"/>
          <w:szCs w:val="24"/>
        </w:rPr>
        <w:t>demonstrate this</w:t>
      </w:r>
      <w:r w:rsidR="008B28E7" w:rsidRPr="00DF039A">
        <w:rPr>
          <w:rFonts w:asciiTheme="minorHAnsi" w:hAnsiTheme="minorHAnsi" w:cstheme="minorHAnsi"/>
          <w:i/>
          <w:iCs/>
          <w:sz w:val="24"/>
          <w:szCs w:val="24"/>
        </w:rPr>
        <w:t xml:space="preserve">. </w:t>
      </w:r>
      <w:r w:rsidR="008B28E7" w:rsidRPr="00DF039A">
        <w:rPr>
          <w:rFonts w:asciiTheme="minorHAnsi" w:hAnsiTheme="minorHAnsi" w:cstheme="minorHAnsi"/>
          <w:b/>
          <w:bCs/>
          <w:i/>
          <w:iCs/>
          <w:sz w:val="24"/>
          <w:szCs w:val="24"/>
        </w:rPr>
        <w:t>N.B</w:t>
      </w:r>
      <w:r w:rsidR="008B28E7" w:rsidRPr="00DF039A">
        <w:rPr>
          <w:rFonts w:asciiTheme="minorHAnsi" w:hAnsiTheme="minorHAnsi" w:cstheme="minorHAnsi"/>
          <w:i/>
          <w:iCs/>
          <w:sz w:val="24"/>
          <w:szCs w:val="24"/>
        </w:rPr>
        <w:t xml:space="preserve">. </w:t>
      </w:r>
      <w:r w:rsidR="00D60F88" w:rsidRPr="00DF039A">
        <w:rPr>
          <w:rFonts w:asciiTheme="minorHAnsi" w:hAnsiTheme="minorHAnsi" w:cstheme="minorHAnsi"/>
          <w:i/>
          <w:iCs/>
          <w:sz w:val="24"/>
          <w:szCs w:val="24"/>
        </w:rPr>
        <w:t xml:space="preserve">if your </w:t>
      </w:r>
      <w:r w:rsidR="009D477B" w:rsidRPr="00DF039A">
        <w:rPr>
          <w:rFonts w:asciiTheme="minorHAnsi" w:hAnsiTheme="minorHAnsi" w:cstheme="minorHAnsi"/>
          <w:i/>
          <w:iCs/>
          <w:sz w:val="24"/>
          <w:szCs w:val="24"/>
        </w:rPr>
        <w:t>usual area</w:t>
      </w:r>
      <w:r w:rsidR="00D60F88" w:rsidRPr="00DF039A">
        <w:rPr>
          <w:rFonts w:asciiTheme="minorHAnsi" w:hAnsiTheme="minorHAnsi" w:cstheme="minorHAnsi"/>
          <w:i/>
          <w:iCs/>
          <w:sz w:val="24"/>
          <w:szCs w:val="24"/>
        </w:rPr>
        <w:t xml:space="preserve"> of work is with children please write about adult</w:t>
      </w:r>
      <w:r w:rsidR="003C19F1" w:rsidRPr="00DF039A">
        <w:rPr>
          <w:rFonts w:asciiTheme="minorHAnsi" w:hAnsiTheme="minorHAnsi" w:cstheme="minorHAnsi"/>
          <w:i/>
          <w:iCs/>
          <w:sz w:val="24"/>
          <w:szCs w:val="24"/>
        </w:rPr>
        <w:t xml:space="preserve"> safeguarding. I</w:t>
      </w:r>
      <w:r w:rsidR="00D60F88" w:rsidRPr="00DF039A">
        <w:rPr>
          <w:rFonts w:asciiTheme="minorHAnsi" w:hAnsiTheme="minorHAnsi" w:cstheme="minorHAnsi"/>
          <w:i/>
          <w:iCs/>
          <w:sz w:val="24"/>
          <w:szCs w:val="24"/>
        </w:rPr>
        <w:t xml:space="preserve">f you </w:t>
      </w:r>
      <w:r w:rsidR="009D477B" w:rsidRPr="00DF039A">
        <w:rPr>
          <w:rFonts w:asciiTheme="minorHAnsi" w:hAnsiTheme="minorHAnsi" w:cstheme="minorHAnsi"/>
          <w:i/>
          <w:iCs/>
          <w:sz w:val="24"/>
          <w:szCs w:val="24"/>
        </w:rPr>
        <w:t>usually work</w:t>
      </w:r>
      <w:r w:rsidR="00D60F88" w:rsidRPr="00DF039A">
        <w:rPr>
          <w:rFonts w:asciiTheme="minorHAnsi" w:hAnsiTheme="minorHAnsi" w:cstheme="minorHAnsi"/>
          <w:i/>
          <w:iCs/>
          <w:sz w:val="24"/>
          <w:szCs w:val="24"/>
        </w:rPr>
        <w:t xml:space="preserve"> with adults</w:t>
      </w:r>
      <w:r w:rsidR="3CD2139F" w:rsidRPr="00DF039A">
        <w:rPr>
          <w:rFonts w:asciiTheme="minorHAnsi" w:hAnsiTheme="minorHAnsi" w:cstheme="minorHAnsi"/>
          <w:i/>
          <w:iCs/>
          <w:sz w:val="24"/>
          <w:szCs w:val="24"/>
        </w:rPr>
        <w:t>,</w:t>
      </w:r>
      <w:r w:rsidR="00D60F88" w:rsidRPr="00DF039A">
        <w:rPr>
          <w:rFonts w:asciiTheme="minorHAnsi" w:hAnsiTheme="minorHAnsi" w:cstheme="minorHAnsi"/>
          <w:i/>
          <w:iCs/>
          <w:sz w:val="24"/>
          <w:szCs w:val="24"/>
        </w:rPr>
        <w:t xml:space="preserve"> then write about child</w:t>
      </w:r>
      <w:r w:rsidR="003C19F1" w:rsidRPr="00DF039A">
        <w:rPr>
          <w:rFonts w:asciiTheme="minorHAnsi" w:hAnsiTheme="minorHAnsi" w:cstheme="minorHAnsi"/>
          <w:i/>
          <w:iCs/>
          <w:sz w:val="24"/>
          <w:szCs w:val="24"/>
        </w:rPr>
        <w:t xml:space="preserve"> safeguarding</w:t>
      </w:r>
      <w:r w:rsidR="00D60F88" w:rsidRPr="00DF039A">
        <w:rPr>
          <w:rFonts w:asciiTheme="minorHAnsi" w:hAnsiTheme="minorHAnsi" w:cstheme="minorHAnsi"/>
          <w:i/>
          <w:iCs/>
          <w:sz w:val="24"/>
          <w:szCs w:val="24"/>
        </w:rPr>
        <w:t xml:space="preserve">. </w:t>
      </w:r>
      <w:r w:rsidR="00337FEF" w:rsidRPr="00DF039A">
        <w:rPr>
          <w:rFonts w:asciiTheme="minorHAnsi" w:hAnsiTheme="minorHAnsi" w:cstheme="minorHAnsi"/>
          <w:i/>
          <w:iCs/>
          <w:sz w:val="24"/>
          <w:szCs w:val="24"/>
        </w:rPr>
        <w:t xml:space="preserve"> </w:t>
      </w:r>
      <w:r w:rsidR="0079422A" w:rsidRPr="00DF039A">
        <w:rPr>
          <w:rFonts w:asciiTheme="minorHAnsi" w:hAnsiTheme="minorHAnsi" w:cstheme="minorHAnsi"/>
          <w:i/>
          <w:iCs/>
          <w:sz w:val="24"/>
          <w:szCs w:val="24"/>
        </w:rPr>
        <w:t>E</w:t>
      </w:r>
      <w:r w:rsidR="00337FEF" w:rsidRPr="00DF039A">
        <w:rPr>
          <w:rFonts w:asciiTheme="minorHAnsi" w:hAnsiTheme="minorHAnsi" w:cstheme="minorHAnsi"/>
          <w:i/>
          <w:iCs/>
          <w:sz w:val="24"/>
          <w:szCs w:val="24"/>
        </w:rPr>
        <w:t xml:space="preserve">nsure you meet </w:t>
      </w:r>
      <w:r w:rsidR="00FC0334" w:rsidRPr="00DF039A">
        <w:rPr>
          <w:rFonts w:asciiTheme="minorHAnsi" w:hAnsiTheme="minorHAnsi" w:cstheme="minorHAnsi"/>
          <w:i/>
          <w:iCs/>
          <w:sz w:val="24"/>
          <w:szCs w:val="24"/>
        </w:rPr>
        <w:t>the</w:t>
      </w:r>
      <w:r w:rsidR="00AA7960" w:rsidRPr="00DF039A">
        <w:rPr>
          <w:rFonts w:asciiTheme="minorHAnsi" w:hAnsiTheme="minorHAnsi" w:cstheme="minorHAnsi"/>
          <w:i/>
          <w:iCs/>
          <w:sz w:val="24"/>
          <w:szCs w:val="24"/>
        </w:rPr>
        <w:t xml:space="preserve"> </w:t>
      </w:r>
      <w:r w:rsidR="00064063" w:rsidRPr="00DF039A">
        <w:rPr>
          <w:rFonts w:asciiTheme="minorHAnsi" w:hAnsiTheme="minorHAnsi" w:cstheme="minorHAnsi"/>
          <w:i/>
          <w:iCs/>
          <w:sz w:val="24"/>
          <w:szCs w:val="24"/>
        </w:rPr>
        <w:t xml:space="preserve">learning out comes for this task </w:t>
      </w:r>
      <w:r w:rsidR="0079422A" w:rsidRPr="00DF039A">
        <w:rPr>
          <w:rFonts w:asciiTheme="minorHAnsi" w:hAnsiTheme="minorHAnsi" w:cstheme="minorHAnsi"/>
          <w:i/>
          <w:iCs/>
          <w:sz w:val="24"/>
          <w:szCs w:val="24"/>
        </w:rPr>
        <w:t>(</w:t>
      </w:r>
      <w:r w:rsidR="00064063" w:rsidRPr="00DF039A">
        <w:rPr>
          <w:rFonts w:asciiTheme="minorHAnsi" w:hAnsiTheme="minorHAnsi" w:cstheme="minorHAnsi"/>
          <w:i/>
          <w:iCs/>
          <w:sz w:val="24"/>
          <w:szCs w:val="24"/>
        </w:rPr>
        <w:t xml:space="preserve">see appendix </w:t>
      </w:r>
      <w:r w:rsidR="003D1BC0" w:rsidRPr="00DF039A">
        <w:rPr>
          <w:rFonts w:asciiTheme="minorHAnsi" w:hAnsiTheme="minorHAnsi" w:cstheme="minorHAnsi"/>
          <w:i/>
          <w:iCs/>
          <w:sz w:val="24"/>
          <w:szCs w:val="24"/>
        </w:rPr>
        <w:t>5</w:t>
      </w:r>
      <w:r w:rsidR="00064063" w:rsidRPr="00DF039A">
        <w:rPr>
          <w:rFonts w:asciiTheme="minorHAnsi" w:hAnsiTheme="minorHAnsi" w:cstheme="minorHAnsi"/>
          <w:i/>
          <w:iCs/>
          <w:sz w:val="24"/>
          <w:szCs w:val="24"/>
        </w:rPr>
        <w:t xml:space="preserve"> </w:t>
      </w:r>
      <w:r w:rsidR="00FC0334" w:rsidRPr="00DF039A">
        <w:rPr>
          <w:rFonts w:asciiTheme="minorHAnsi" w:hAnsiTheme="minorHAnsi" w:cstheme="minorHAnsi"/>
          <w:i/>
          <w:iCs/>
          <w:sz w:val="24"/>
          <w:szCs w:val="24"/>
        </w:rPr>
        <w:t>of the</w:t>
      </w:r>
      <w:r w:rsidR="007A628F" w:rsidRPr="00DF039A">
        <w:rPr>
          <w:rFonts w:asciiTheme="minorHAnsi" w:hAnsiTheme="minorHAnsi" w:cstheme="minorHAnsi"/>
          <w:i/>
          <w:iCs/>
          <w:sz w:val="24"/>
          <w:szCs w:val="24"/>
        </w:rPr>
        <w:t xml:space="preserve"> h</w:t>
      </w:r>
      <w:r w:rsidR="00FC0334" w:rsidRPr="00DF039A">
        <w:rPr>
          <w:rFonts w:asciiTheme="minorHAnsi" w:hAnsiTheme="minorHAnsi" w:cstheme="minorHAnsi"/>
          <w:i/>
          <w:iCs/>
          <w:sz w:val="24"/>
          <w:szCs w:val="24"/>
        </w:rPr>
        <w:t>andbook</w:t>
      </w:r>
      <w:r w:rsidR="0079422A" w:rsidRPr="00DF039A">
        <w:rPr>
          <w:rFonts w:asciiTheme="minorHAnsi" w:hAnsiTheme="minorHAnsi" w:cstheme="minorHAnsi"/>
          <w:i/>
          <w:iCs/>
          <w:sz w:val="24"/>
          <w:szCs w:val="24"/>
        </w:rPr>
        <w:t>).</w:t>
      </w:r>
    </w:p>
    <w:p w14:paraId="7A8069C4" w14:textId="77777777" w:rsidR="00633165" w:rsidRPr="00DF039A" w:rsidRDefault="00633165" w:rsidP="00FF7EBB">
      <w:pPr>
        <w:ind w:left="360" w:hanging="360"/>
        <w:jc w:val="both"/>
        <w:rPr>
          <w:rFonts w:asciiTheme="minorHAnsi" w:hAnsiTheme="minorHAnsi" w:cstheme="minorHAnsi"/>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DF039A" w14:paraId="152141E6" w14:textId="77777777" w:rsidTr="006108C9">
        <w:tc>
          <w:tcPr>
            <w:tcW w:w="10188" w:type="dxa"/>
            <w:shd w:val="clear" w:color="auto" w:fill="auto"/>
          </w:tcPr>
          <w:p w14:paraId="2B66890D" w14:textId="56A37C4F" w:rsidR="00337FEF" w:rsidRPr="00DF039A" w:rsidRDefault="00337FEF" w:rsidP="00FF7EBB">
            <w:pPr>
              <w:jc w:val="both"/>
              <w:rPr>
                <w:rFonts w:asciiTheme="minorHAnsi" w:hAnsiTheme="minorHAnsi" w:cstheme="minorHAnsi"/>
                <w:b/>
                <w:sz w:val="24"/>
                <w:szCs w:val="24"/>
              </w:rPr>
            </w:pPr>
            <w:r w:rsidRPr="00DF039A">
              <w:rPr>
                <w:rFonts w:asciiTheme="minorHAnsi" w:hAnsiTheme="minorHAnsi" w:cstheme="minorHAnsi"/>
                <w:b/>
                <w:sz w:val="24"/>
                <w:szCs w:val="24"/>
              </w:rPr>
              <w:t>Question</w:t>
            </w:r>
            <w:r w:rsidR="00FC0334" w:rsidRPr="00DF039A">
              <w:rPr>
                <w:rFonts w:asciiTheme="minorHAnsi" w:hAnsiTheme="minorHAnsi" w:cstheme="minorHAnsi"/>
                <w:b/>
                <w:sz w:val="24"/>
                <w:szCs w:val="24"/>
              </w:rPr>
              <w:t xml:space="preserve"> a</w:t>
            </w:r>
            <w:r w:rsidR="007A628F" w:rsidRPr="00DF039A">
              <w:rPr>
                <w:rFonts w:asciiTheme="minorHAnsi" w:hAnsiTheme="minorHAnsi" w:cstheme="minorHAnsi"/>
                <w:b/>
                <w:sz w:val="24"/>
                <w:szCs w:val="24"/>
              </w:rPr>
              <w:t>:</w:t>
            </w:r>
          </w:p>
          <w:p w14:paraId="17A49383" w14:textId="77777777" w:rsidR="008B28E7" w:rsidRPr="00DF039A" w:rsidRDefault="00BB7FD2" w:rsidP="00FF7EBB">
            <w:pPr>
              <w:jc w:val="both"/>
              <w:rPr>
                <w:rFonts w:asciiTheme="minorHAnsi" w:hAnsiTheme="minorHAnsi" w:cstheme="minorHAnsi"/>
                <w:sz w:val="24"/>
                <w:szCs w:val="24"/>
              </w:rPr>
            </w:pPr>
            <w:r w:rsidRPr="00DF039A">
              <w:rPr>
                <w:rFonts w:asciiTheme="minorHAnsi" w:hAnsiTheme="minorHAnsi" w:cstheme="minorHAnsi"/>
                <w:sz w:val="24"/>
                <w:szCs w:val="24"/>
              </w:rPr>
              <w:t xml:space="preserve">In an area </w:t>
            </w:r>
            <w:r w:rsidRPr="00DF039A">
              <w:rPr>
                <w:rFonts w:asciiTheme="minorHAnsi" w:hAnsiTheme="minorHAnsi" w:cstheme="minorHAnsi"/>
                <w:b/>
                <w:sz w:val="24"/>
                <w:szCs w:val="24"/>
              </w:rPr>
              <w:t xml:space="preserve">that is not your </w:t>
            </w:r>
            <w:proofErr w:type="gramStart"/>
            <w:r w:rsidRPr="00DF039A">
              <w:rPr>
                <w:rFonts w:asciiTheme="minorHAnsi" w:hAnsiTheme="minorHAnsi" w:cstheme="minorHAnsi"/>
                <w:b/>
                <w:sz w:val="24"/>
                <w:szCs w:val="24"/>
              </w:rPr>
              <w:t>main focus</w:t>
            </w:r>
            <w:proofErr w:type="gramEnd"/>
            <w:r w:rsidRPr="00DF039A">
              <w:rPr>
                <w:rFonts w:asciiTheme="minorHAnsi" w:hAnsiTheme="minorHAnsi" w:cstheme="minorHAnsi"/>
                <w:b/>
                <w:sz w:val="24"/>
                <w:szCs w:val="24"/>
              </w:rPr>
              <w:t xml:space="preserve"> of work </w:t>
            </w:r>
            <w:r w:rsidRPr="00DF039A">
              <w:rPr>
                <w:rFonts w:asciiTheme="minorHAnsi" w:hAnsiTheme="minorHAnsi" w:cstheme="minorHAnsi"/>
                <w:sz w:val="24"/>
                <w:szCs w:val="24"/>
              </w:rPr>
              <w:t xml:space="preserve">(see guidance above), </w:t>
            </w:r>
            <w:r w:rsidR="0002440E" w:rsidRPr="00DF039A">
              <w:rPr>
                <w:rFonts w:asciiTheme="minorHAnsi" w:hAnsiTheme="minorHAnsi" w:cstheme="minorHAnsi"/>
                <w:sz w:val="24"/>
                <w:szCs w:val="24"/>
              </w:rPr>
              <w:t>explain</w:t>
            </w:r>
            <w:r w:rsidR="008340BA" w:rsidRPr="00DF039A">
              <w:rPr>
                <w:rFonts w:asciiTheme="minorHAnsi" w:hAnsiTheme="minorHAnsi" w:cstheme="minorHAnsi"/>
                <w:sz w:val="24"/>
                <w:szCs w:val="24"/>
              </w:rPr>
              <w:t xml:space="preserve"> </w:t>
            </w:r>
            <w:r w:rsidR="00DA22EC" w:rsidRPr="00DF039A">
              <w:rPr>
                <w:rFonts w:asciiTheme="minorHAnsi" w:hAnsiTheme="minorHAnsi" w:cstheme="minorHAnsi"/>
                <w:sz w:val="24"/>
                <w:szCs w:val="24"/>
              </w:rPr>
              <w:t>the</w:t>
            </w:r>
            <w:r w:rsidR="005A545C" w:rsidRPr="00DF039A">
              <w:rPr>
                <w:rFonts w:asciiTheme="minorHAnsi" w:hAnsiTheme="minorHAnsi" w:cstheme="minorHAnsi"/>
                <w:sz w:val="24"/>
                <w:szCs w:val="24"/>
              </w:rPr>
              <w:t xml:space="preserve"> relevant </w:t>
            </w:r>
            <w:r w:rsidRPr="00DF039A">
              <w:rPr>
                <w:rFonts w:asciiTheme="minorHAnsi" w:hAnsiTheme="minorHAnsi" w:cstheme="minorHAnsi"/>
                <w:sz w:val="24"/>
                <w:szCs w:val="24"/>
              </w:rPr>
              <w:t xml:space="preserve">legislation, </w:t>
            </w:r>
            <w:r w:rsidR="0002440E" w:rsidRPr="00DF039A">
              <w:rPr>
                <w:rFonts w:asciiTheme="minorHAnsi" w:hAnsiTheme="minorHAnsi" w:cstheme="minorHAnsi"/>
                <w:sz w:val="24"/>
                <w:szCs w:val="24"/>
              </w:rPr>
              <w:t>and</w:t>
            </w:r>
            <w:r w:rsidR="008340BA" w:rsidRPr="00DF039A">
              <w:rPr>
                <w:rFonts w:asciiTheme="minorHAnsi" w:hAnsiTheme="minorHAnsi" w:cstheme="minorHAnsi"/>
                <w:sz w:val="24"/>
                <w:szCs w:val="24"/>
              </w:rPr>
              <w:t xml:space="preserve"> the </w:t>
            </w:r>
            <w:r w:rsidR="005A545C" w:rsidRPr="00DF039A">
              <w:rPr>
                <w:rFonts w:asciiTheme="minorHAnsi" w:hAnsiTheme="minorHAnsi" w:cstheme="minorHAnsi"/>
                <w:sz w:val="24"/>
                <w:szCs w:val="24"/>
              </w:rPr>
              <w:t>national, local and organisational policies and procedures</w:t>
            </w:r>
            <w:r w:rsidRPr="00DF039A">
              <w:rPr>
                <w:rFonts w:asciiTheme="minorHAnsi" w:hAnsiTheme="minorHAnsi" w:cstheme="minorHAnsi"/>
                <w:sz w:val="24"/>
                <w:szCs w:val="24"/>
              </w:rPr>
              <w:t xml:space="preserve"> for safeguarding. </w:t>
            </w:r>
          </w:p>
          <w:p w14:paraId="1FBBCFA0" w14:textId="77777777" w:rsidR="006108C9" w:rsidRPr="00DF039A" w:rsidRDefault="006108C9" w:rsidP="00FF7EBB">
            <w:pPr>
              <w:jc w:val="both"/>
              <w:rPr>
                <w:rFonts w:asciiTheme="minorHAnsi" w:hAnsiTheme="minorHAnsi" w:cstheme="minorHAnsi"/>
                <w:sz w:val="24"/>
                <w:szCs w:val="24"/>
              </w:rPr>
            </w:pPr>
          </w:p>
          <w:p w14:paraId="4FF8EBF3" w14:textId="77777777" w:rsidR="005A545C" w:rsidRDefault="005414F4" w:rsidP="00FF7EBB">
            <w:pPr>
              <w:jc w:val="both"/>
              <w:rPr>
                <w:rFonts w:asciiTheme="minorHAnsi" w:hAnsiTheme="minorHAnsi" w:cstheme="minorHAnsi"/>
                <w:sz w:val="24"/>
                <w:szCs w:val="24"/>
              </w:rPr>
            </w:pPr>
            <w:r w:rsidRPr="00DF039A">
              <w:rPr>
                <w:rFonts w:asciiTheme="minorHAnsi" w:hAnsiTheme="minorHAnsi" w:cstheme="minorHAnsi"/>
                <w:i/>
                <w:sz w:val="24"/>
                <w:szCs w:val="24"/>
              </w:rPr>
              <w:t>5</w:t>
            </w:r>
            <w:r w:rsidR="00DA22EC" w:rsidRPr="00DF039A">
              <w:rPr>
                <w:rFonts w:asciiTheme="minorHAnsi" w:hAnsiTheme="minorHAnsi" w:cstheme="minorHAnsi"/>
                <w:i/>
                <w:sz w:val="24"/>
                <w:szCs w:val="24"/>
              </w:rPr>
              <w:t>00 words</w:t>
            </w:r>
            <w:r w:rsidR="00DA22EC" w:rsidRPr="00DF039A">
              <w:rPr>
                <w:rFonts w:asciiTheme="minorHAnsi" w:hAnsiTheme="minorHAnsi" w:cstheme="minorHAnsi"/>
                <w:sz w:val="24"/>
                <w:szCs w:val="24"/>
              </w:rPr>
              <w:t xml:space="preserve"> </w:t>
            </w:r>
            <w:r w:rsidR="008B28E7" w:rsidRPr="00DF039A">
              <w:rPr>
                <w:rFonts w:asciiTheme="minorHAnsi" w:hAnsiTheme="minorHAnsi" w:cstheme="minorHAnsi"/>
                <w:sz w:val="24"/>
                <w:szCs w:val="24"/>
              </w:rPr>
              <w:t>(+/- 10%: include your actual word count at the end of each section)</w:t>
            </w:r>
            <w:r w:rsidR="007A628F" w:rsidRPr="00DF039A">
              <w:rPr>
                <w:rFonts w:asciiTheme="minorHAnsi" w:hAnsiTheme="minorHAnsi" w:cstheme="minorHAnsi"/>
                <w:sz w:val="24"/>
                <w:szCs w:val="24"/>
              </w:rPr>
              <w:t>.</w:t>
            </w:r>
          </w:p>
          <w:p w14:paraId="6B4D6F3A" w14:textId="77777777" w:rsidR="00DF039A" w:rsidRDefault="00DF039A" w:rsidP="00FF7EBB">
            <w:pPr>
              <w:jc w:val="both"/>
              <w:rPr>
                <w:rFonts w:asciiTheme="minorHAnsi" w:hAnsiTheme="minorHAnsi" w:cstheme="minorHAnsi"/>
                <w:sz w:val="24"/>
                <w:szCs w:val="24"/>
              </w:rPr>
            </w:pPr>
          </w:p>
          <w:p w14:paraId="7FB8698E" w14:textId="20664FF8" w:rsidR="00DF039A" w:rsidRDefault="00DF039A" w:rsidP="00DF039A">
            <w:pPr>
              <w:jc w:val="both"/>
              <w:rPr>
                <w:rFonts w:asciiTheme="minorHAnsi" w:hAnsiTheme="minorHAnsi" w:cstheme="minorHAnsi"/>
                <w:sz w:val="24"/>
                <w:szCs w:val="24"/>
              </w:rPr>
            </w:pPr>
            <w:r w:rsidRPr="00DF039A">
              <w:rPr>
                <w:rFonts w:asciiTheme="minorHAnsi" w:hAnsiTheme="minorHAnsi" w:cstheme="minorHAnsi"/>
                <w:sz w:val="24"/>
                <w:szCs w:val="24"/>
              </w:rPr>
              <w:t xml:space="preserve">This piece of work pertains to children’s services. First, I will discuss the Social Services and Wellbeing (Wales) Act </w:t>
            </w:r>
            <w:r w:rsidR="001C141E">
              <w:rPr>
                <w:rFonts w:asciiTheme="minorHAnsi" w:hAnsiTheme="minorHAnsi" w:cstheme="minorHAnsi"/>
                <w:sz w:val="24"/>
                <w:szCs w:val="24"/>
              </w:rPr>
              <w:t>(</w:t>
            </w:r>
            <w:r w:rsidR="00B046F9">
              <w:rPr>
                <w:rFonts w:asciiTheme="minorHAnsi" w:hAnsiTheme="minorHAnsi" w:cstheme="minorHAnsi"/>
                <w:sz w:val="24"/>
                <w:szCs w:val="24"/>
              </w:rPr>
              <w:t>2014</w:t>
            </w:r>
            <w:r w:rsidR="001C141E">
              <w:rPr>
                <w:rFonts w:asciiTheme="minorHAnsi" w:hAnsiTheme="minorHAnsi" w:cstheme="minorHAnsi"/>
                <w:sz w:val="24"/>
                <w:szCs w:val="24"/>
              </w:rPr>
              <w:t>)</w:t>
            </w:r>
            <w:r w:rsidR="00B046F9">
              <w:rPr>
                <w:rFonts w:asciiTheme="minorHAnsi" w:hAnsiTheme="minorHAnsi" w:cstheme="minorHAnsi"/>
                <w:sz w:val="24"/>
                <w:szCs w:val="24"/>
              </w:rPr>
              <w:t xml:space="preserve"> </w:t>
            </w:r>
            <w:r w:rsidRPr="00DF039A">
              <w:rPr>
                <w:rFonts w:asciiTheme="minorHAnsi" w:hAnsiTheme="minorHAnsi" w:cstheme="minorHAnsi"/>
                <w:sz w:val="24"/>
                <w:szCs w:val="24"/>
              </w:rPr>
              <w:t xml:space="preserve">[Hereafter SSWWA], The Children Act </w:t>
            </w:r>
            <w:r w:rsidR="001C141E">
              <w:rPr>
                <w:rFonts w:asciiTheme="minorHAnsi" w:hAnsiTheme="minorHAnsi" w:cstheme="minorHAnsi"/>
                <w:sz w:val="24"/>
                <w:szCs w:val="24"/>
              </w:rPr>
              <w:t>(</w:t>
            </w:r>
            <w:r w:rsidR="00B046F9">
              <w:rPr>
                <w:rFonts w:asciiTheme="minorHAnsi" w:hAnsiTheme="minorHAnsi" w:cstheme="minorHAnsi"/>
                <w:sz w:val="24"/>
                <w:szCs w:val="24"/>
              </w:rPr>
              <w:t>1989</w:t>
            </w:r>
            <w:r w:rsidR="001C141E">
              <w:rPr>
                <w:rFonts w:asciiTheme="minorHAnsi" w:hAnsiTheme="minorHAnsi" w:cstheme="minorHAnsi"/>
                <w:sz w:val="24"/>
                <w:szCs w:val="24"/>
              </w:rPr>
              <w:t xml:space="preserve">) </w:t>
            </w:r>
            <w:r w:rsidRPr="00DF039A">
              <w:rPr>
                <w:rFonts w:asciiTheme="minorHAnsi" w:hAnsiTheme="minorHAnsi" w:cstheme="minorHAnsi"/>
                <w:sz w:val="24"/>
                <w:szCs w:val="24"/>
              </w:rPr>
              <w:t>[Hereafter CA], and other pieces of legislation and policy, including The United Nations Convention on the Rights of the Child</w:t>
            </w:r>
            <w:r w:rsidR="001C141E">
              <w:rPr>
                <w:rFonts w:asciiTheme="minorHAnsi" w:hAnsiTheme="minorHAnsi" w:cstheme="minorHAnsi"/>
                <w:sz w:val="24"/>
                <w:szCs w:val="24"/>
              </w:rPr>
              <w:t xml:space="preserve"> (1989)</w:t>
            </w:r>
            <w:r w:rsidRPr="00DF039A">
              <w:rPr>
                <w:rFonts w:asciiTheme="minorHAnsi" w:hAnsiTheme="minorHAnsi" w:cstheme="minorHAnsi"/>
                <w:sz w:val="24"/>
                <w:szCs w:val="24"/>
              </w:rPr>
              <w:t xml:space="preserve"> [Hereafter UNCRC]. I will then discuss some of the differences between safeguarding in adults and children’s safeguarding. Including the duty to report safeguarding concerns, the paramountcy principle, mental capacity, </w:t>
            </w:r>
            <w:r w:rsidR="00E82AA0">
              <w:rPr>
                <w:rFonts w:asciiTheme="minorHAnsi" w:hAnsiTheme="minorHAnsi" w:cstheme="minorHAnsi"/>
                <w:sz w:val="24"/>
                <w:szCs w:val="24"/>
              </w:rPr>
              <w:t xml:space="preserve">and </w:t>
            </w:r>
            <w:r w:rsidRPr="00DF039A">
              <w:rPr>
                <w:rFonts w:asciiTheme="minorHAnsi" w:hAnsiTheme="minorHAnsi" w:cstheme="minorHAnsi"/>
                <w:sz w:val="24"/>
                <w:szCs w:val="24"/>
              </w:rPr>
              <w:t xml:space="preserve">Fraser guidelines. </w:t>
            </w:r>
          </w:p>
          <w:p w14:paraId="4ECE8A87" w14:textId="77777777" w:rsidR="00E82AA0" w:rsidRPr="00DF039A" w:rsidRDefault="00E82AA0" w:rsidP="00DF039A">
            <w:pPr>
              <w:jc w:val="both"/>
              <w:rPr>
                <w:rFonts w:asciiTheme="minorHAnsi" w:hAnsiTheme="minorHAnsi" w:cstheme="minorHAnsi"/>
                <w:sz w:val="24"/>
                <w:szCs w:val="24"/>
              </w:rPr>
            </w:pPr>
          </w:p>
          <w:p w14:paraId="60B66824" w14:textId="57CAAA75" w:rsidR="00DF039A" w:rsidRPr="00DF039A" w:rsidRDefault="00DF039A" w:rsidP="00DF039A">
            <w:pPr>
              <w:jc w:val="both"/>
              <w:rPr>
                <w:rFonts w:asciiTheme="minorHAnsi" w:hAnsiTheme="minorHAnsi" w:cstheme="minorHAnsi"/>
                <w:sz w:val="24"/>
                <w:szCs w:val="24"/>
              </w:rPr>
            </w:pPr>
            <w:r w:rsidRPr="00DF039A">
              <w:rPr>
                <w:rFonts w:asciiTheme="minorHAnsi" w:hAnsiTheme="minorHAnsi" w:cstheme="minorHAnsi"/>
                <w:sz w:val="24"/>
                <w:szCs w:val="24"/>
              </w:rPr>
              <w:t>SSWWA 2014 is the overarching legislation in Wales. Part 7 of this legislation is concerned with safeguarding (</w:t>
            </w:r>
            <w:r w:rsidRPr="00165FD6">
              <w:rPr>
                <w:rFonts w:asciiTheme="minorHAnsi" w:hAnsiTheme="minorHAnsi" w:cstheme="minorHAnsi"/>
                <w:i/>
                <w:iCs/>
                <w:sz w:val="24"/>
                <w:szCs w:val="24"/>
              </w:rPr>
              <w:t xml:space="preserve">SSWWA </w:t>
            </w:r>
            <w:r w:rsidRPr="00DF039A">
              <w:rPr>
                <w:rFonts w:asciiTheme="minorHAnsi" w:hAnsiTheme="minorHAnsi" w:cstheme="minorHAnsi"/>
                <w:sz w:val="24"/>
                <w:szCs w:val="24"/>
              </w:rPr>
              <w:t>2014). This act pertains to both children and adults. According to SSWWA the definition of a child is a person who is under the age of 18. Section 130 of the Act defines a ‘child at risk’ as a child who is experiencing, or is felt to be at risk of abuse, neglect, or other kinds of harm. These children must have care and support needs, whether the local authority is providing them or not (</w:t>
            </w:r>
            <w:r w:rsidRPr="00165FD6">
              <w:rPr>
                <w:rFonts w:asciiTheme="minorHAnsi" w:hAnsiTheme="minorHAnsi" w:cstheme="minorHAnsi"/>
                <w:i/>
                <w:iCs/>
                <w:sz w:val="24"/>
                <w:szCs w:val="24"/>
              </w:rPr>
              <w:t>SSWWA</w:t>
            </w:r>
            <w:r w:rsidRPr="00DF039A">
              <w:rPr>
                <w:rFonts w:asciiTheme="minorHAnsi" w:hAnsiTheme="minorHAnsi" w:cstheme="minorHAnsi"/>
                <w:sz w:val="24"/>
                <w:szCs w:val="24"/>
              </w:rPr>
              <w:t xml:space="preserve"> 2014). Once a child has been reported under section 130 of SSWWA the guidance states that local authorities must consider safeguarding investigations under section 47 [Hereafter S47} of the CA (Welsh Government</w:t>
            </w:r>
            <w:r w:rsidR="00165FD6">
              <w:rPr>
                <w:rFonts w:asciiTheme="minorHAnsi" w:hAnsiTheme="minorHAnsi" w:cstheme="minorHAnsi"/>
                <w:sz w:val="24"/>
                <w:szCs w:val="24"/>
              </w:rPr>
              <w:t>,</w:t>
            </w:r>
            <w:r w:rsidRPr="00DF039A">
              <w:rPr>
                <w:rFonts w:asciiTheme="minorHAnsi" w:hAnsiTheme="minorHAnsi" w:cstheme="minorHAnsi"/>
                <w:sz w:val="24"/>
                <w:szCs w:val="24"/>
              </w:rPr>
              <w:t xml:space="preserve"> 2018). These S47 investigations establish whether a child is safe and well cared for and determine what actions need to be taken next - if appropriate. The CA was updated in 2004 and pertains to both Wales and England (Family Lives</w:t>
            </w:r>
            <w:r w:rsidR="00165FD6">
              <w:rPr>
                <w:rFonts w:asciiTheme="minorHAnsi" w:hAnsiTheme="minorHAnsi" w:cstheme="minorHAnsi"/>
                <w:sz w:val="24"/>
                <w:szCs w:val="24"/>
              </w:rPr>
              <w:t>,</w:t>
            </w:r>
            <w:r w:rsidRPr="00DF039A">
              <w:rPr>
                <w:rFonts w:asciiTheme="minorHAnsi" w:hAnsiTheme="minorHAnsi" w:cstheme="minorHAnsi"/>
                <w:sz w:val="24"/>
                <w:szCs w:val="24"/>
              </w:rPr>
              <w:t xml:space="preserve"> 2021).</w:t>
            </w:r>
          </w:p>
          <w:p w14:paraId="50C61B26" w14:textId="14FA3A86" w:rsidR="00DF039A" w:rsidRPr="00DF039A" w:rsidRDefault="00DF039A" w:rsidP="00DF039A">
            <w:pPr>
              <w:jc w:val="both"/>
              <w:rPr>
                <w:rFonts w:asciiTheme="minorHAnsi" w:hAnsiTheme="minorHAnsi" w:cstheme="minorHAnsi"/>
                <w:sz w:val="24"/>
                <w:szCs w:val="24"/>
              </w:rPr>
            </w:pPr>
            <w:r w:rsidRPr="00DF039A">
              <w:rPr>
                <w:rFonts w:asciiTheme="minorHAnsi" w:hAnsiTheme="minorHAnsi" w:cstheme="minorHAnsi"/>
                <w:sz w:val="24"/>
                <w:szCs w:val="24"/>
              </w:rPr>
              <w:t>Assessments undertaken while S47 investigations take place must be completed within 42 working days. A care</w:t>
            </w:r>
            <w:r w:rsidR="00930AAE">
              <w:rPr>
                <w:rFonts w:asciiTheme="minorHAnsi" w:hAnsiTheme="minorHAnsi" w:cstheme="minorHAnsi"/>
                <w:sz w:val="24"/>
                <w:szCs w:val="24"/>
              </w:rPr>
              <w:t>,</w:t>
            </w:r>
            <w:r w:rsidRPr="00DF039A">
              <w:rPr>
                <w:rFonts w:asciiTheme="minorHAnsi" w:hAnsiTheme="minorHAnsi" w:cstheme="minorHAnsi"/>
                <w:sz w:val="24"/>
                <w:szCs w:val="24"/>
              </w:rPr>
              <w:t xml:space="preserve"> support</w:t>
            </w:r>
            <w:r w:rsidR="00930AAE">
              <w:rPr>
                <w:rFonts w:asciiTheme="minorHAnsi" w:hAnsiTheme="minorHAnsi" w:cstheme="minorHAnsi"/>
                <w:sz w:val="24"/>
                <w:szCs w:val="24"/>
              </w:rPr>
              <w:t>, and protection</w:t>
            </w:r>
            <w:r w:rsidRPr="00DF039A">
              <w:rPr>
                <w:rFonts w:asciiTheme="minorHAnsi" w:hAnsiTheme="minorHAnsi" w:cstheme="minorHAnsi"/>
                <w:sz w:val="24"/>
                <w:szCs w:val="24"/>
              </w:rPr>
              <w:t xml:space="preserve"> plan under Section 4 of SSWWA should be used for children deemed to be at risk (Welsh Government</w:t>
            </w:r>
            <w:r w:rsidR="00165FD6">
              <w:rPr>
                <w:rFonts w:asciiTheme="minorHAnsi" w:hAnsiTheme="minorHAnsi" w:cstheme="minorHAnsi"/>
                <w:sz w:val="24"/>
                <w:szCs w:val="24"/>
              </w:rPr>
              <w:t>,</w:t>
            </w:r>
            <w:r w:rsidRPr="00DF039A">
              <w:rPr>
                <w:rFonts w:asciiTheme="minorHAnsi" w:hAnsiTheme="minorHAnsi" w:cstheme="minorHAnsi"/>
                <w:sz w:val="24"/>
                <w:szCs w:val="24"/>
              </w:rPr>
              <w:t xml:space="preserve"> 2018). Wales Safeguarding Procedures (2019) state that S47 investigations end when an informed decision is made. If there are concerns of the child being at risk of further harm, there will be an initial child protection conference held. This brings together all the people involved in the child’s care to make decisions about their safety, development, and wellbeing. This should take place within 15 working days of the </w:t>
            </w:r>
            <w:r w:rsidR="005E16EE">
              <w:rPr>
                <w:rFonts w:asciiTheme="minorHAnsi" w:hAnsiTheme="minorHAnsi" w:cstheme="minorHAnsi"/>
                <w:sz w:val="24"/>
                <w:szCs w:val="24"/>
              </w:rPr>
              <w:t>strategy</w:t>
            </w:r>
            <w:r w:rsidRPr="00DF039A">
              <w:rPr>
                <w:rFonts w:asciiTheme="minorHAnsi" w:hAnsiTheme="minorHAnsi" w:cstheme="minorHAnsi"/>
                <w:sz w:val="24"/>
                <w:szCs w:val="24"/>
              </w:rPr>
              <w:t xml:space="preserve"> meeting. If the child is still deemed to be at risk, then a care support and protection plan should be made, and depending on the </w:t>
            </w:r>
            <w:r w:rsidRPr="00DF039A">
              <w:rPr>
                <w:rFonts w:asciiTheme="minorHAnsi" w:hAnsiTheme="minorHAnsi" w:cstheme="minorHAnsi"/>
                <w:sz w:val="24"/>
                <w:szCs w:val="24"/>
              </w:rPr>
              <w:lastRenderedPageBreak/>
              <w:t>decision of the conference, the child</w:t>
            </w:r>
            <w:r w:rsidR="001D02F4">
              <w:rPr>
                <w:rFonts w:asciiTheme="minorHAnsi" w:hAnsiTheme="minorHAnsi" w:cstheme="minorHAnsi"/>
                <w:sz w:val="24"/>
                <w:szCs w:val="24"/>
              </w:rPr>
              <w:t>’s name</w:t>
            </w:r>
            <w:r w:rsidRPr="00DF039A">
              <w:rPr>
                <w:rFonts w:asciiTheme="minorHAnsi" w:hAnsiTheme="minorHAnsi" w:cstheme="minorHAnsi"/>
                <w:sz w:val="24"/>
                <w:szCs w:val="24"/>
              </w:rPr>
              <w:t xml:space="preserve"> may be placed on the child protection register. If a child is placed on the register, then they will be allocated a social worker who will have responsibility for the case. The social worker must work with the child, the parents, and other professionals to co-ordinate and develop a plan which is reviewed and revised until either things improve, or it is felt that improvements have not been made and the process of Public Law Outline begins. </w:t>
            </w:r>
          </w:p>
          <w:p w14:paraId="5B0C5420" w14:textId="038D4C1D" w:rsidR="00DF039A" w:rsidRPr="00DF039A" w:rsidRDefault="00DF039A" w:rsidP="00DF039A">
            <w:pPr>
              <w:jc w:val="both"/>
              <w:rPr>
                <w:rFonts w:asciiTheme="minorHAnsi" w:hAnsiTheme="minorHAnsi" w:cstheme="minorHAnsi"/>
                <w:sz w:val="24"/>
                <w:szCs w:val="24"/>
              </w:rPr>
            </w:pPr>
            <w:r w:rsidRPr="00DF039A">
              <w:rPr>
                <w:rFonts w:asciiTheme="minorHAnsi" w:hAnsiTheme="minorHAnsi" w:cstheme="minorHAnsi"/>
                <w:sz w:val="24"/>
                <w:szCs w:val="24"/>
              </w:rPr>
              <w:t>Other legislation that reaches worldwide includes the United Nations Convention on the Rights of the Child. This treaty was developed in 1989 to ensure that children worldwide have rights. These rights include the right to be alive (Article 6) and the right to give their opinions freely (Article 12) (United Nations</w:t>
            </w:r>
            <w:r w:rsidR="00EE47B4">
              <w:rPr>
                <w:rFonts w:asciiTheme="minorHAnsi" w:hAnsiTheme="minorHAnsi" w:cstheme="minorHAnsi"/>
                <w:sz w:val="24"/>
                <w:szCs w:val="24"/>
              </w:rPr>
              <w:t>,</w:t>
            </w:r>
            <w:r w:rsidRPr="00DF039A">
              <w:rPr>
                <w:rFonts w:asciiTheme="minorHAnsi" w:hAnsiTheme="minorHAnsi" w:cstheme="minorHAnsi"/>
                <w:sz w:val="24"/>
                <w:szCs w:val="24"/>
              </w:rPr>
              <w:t xml:space="preserve"> 1989). In 2004 Welsh government adopted the UNCRC as the basis for all policy making relating to children and young people (Welsh Government</w:t>
            </w:r>
            <w:r w:rsidR="00EE47B4">
              <w:rPr>
                <w:rFonts w:asciiTheme="minorHAnsi" w:hAnsiTheme="minorHAnsi" w:cstheme="minorHAnsi"/>
                <w:sz w:val="24"/>
                <w:szCs w:val="24"/>
              </w:rPr>
              <w:t>,</w:t>
            </w:r>
            <w:r w:rsidRPr="00DF039A">
              <w:rPr>
                <w:rFonts w:asciiTheme="minorHAnsi" w:hAnsiTheme="minorHAnsi" w:cstheme="minorHAnsi"/>
                <w:sz w:val="24"/>
                <w:szCs w:val="24"/>
              </w:rPr>
              <w:t xml:space="preserve"> 2022). (53</w:t>
            </w:r>
            <w:r w:rsidR="00E654EB">
              <w:rPr>
                <w:rFonts w:asciiTheme="minorHAnsi" w:hAnsiTheme="minorHAnsi" w:cstheme="minorHAnsi"/>
                <w:sz w:val="24"/>
                <w:szCs w:val="24"/>
              </w:rPr>
              <w:t>7</w:t>
            </w:r>
            <w:r w:rsidRPr="00DF039A">
              <w:rPr>
                <w:rFonts w:asciiTheme="minorHAnsi" w:hAnsiTheme="minorHAnsi" w:cstheme="minorHAnsi"/>
                <w:sz w:val="24"/>
                <w:szCs w:val="24"/>
              </w:rPr>
              <w:t>)</w:t>
            </w:r>
          </w:p>
          <w:p w14:paraId="65FAE361" w14:textId="77777777" w:rsidR="00DF039A" w:rsidRPr="00DF039A" w:rsidRDefault="00DF039A" w:rsidP="00FF7EBB">
            <w:pPr>
              <w:jc w:val="both"/>
              <w:rPr>
                <w:rFonts w:asciiTheme="minorHAnsi" w:hAnsiTheme="minorHAnsi" w:cstheme="minorHAnsi"/>
                <w:sz w:val="24"/>
                <w:szCs w:val="24"/>
              </w:rPr>
            </w:pPr>
          </w:p>
          <w:p w14:paraId="03BD6D93" w14:textId="56AD433A" w:rsidR="007A628F" w:rsidRPr="00DF039A" w:rsidRDefault="007A628F" w:rsidP="00FF7EBB">
            <w:pPr>
              <w:jc w:val="both"/>
              <w:rPr>
                <w:rFonts w:asciiTheme="minorHAnsi" w:hAnsiTheme="minorHAnsi" w:cstheme="minorHAnsi"/>
                <w:b/>
                <w:sz w:val="24"/>
                <w:szCs w:val="24"/>
              </w:rPr>
            </w:pPr>
          </w:p>
        </w:tc>
      </w:tr>
    </w:tbl>
    <w:p w14:paraId="37E9CF73" w14:textId="77777777" w:rsidR="00AA666E" w:rsidRPr="00DF039A" w:rsidRDefault="00AA666E" w:rsidP="00FF7EBB">
      <w:pPr>
        <w:jc w:val="both"/>
        <w:rPr>
          <w:rFonts w:asciiTheme="minorHAnsi" w:hAnsiTheme="minorHAnsi" w:cstheme="minorHAnsi"/>
          <w:sz w:val="24"/>
          <w:szCs w:val="24"/>
        </w:rPr>
      </w:pPr>
    </w:p>
    <w:p w14:paraId="1FC83FC7" w14:textId="77777777" w:rsidR="00AA666E" w:rsidRPr="00DF039A" w:rsidRDefault="00AA666E" w:rsidP="00FF7EBB">
      <w:pPr>
        <w:jc w:val="both"/>
        <w:rPr>
          <w:rFonts w:asciiTheme="minorHAnsi" w:hAnsiTheme="minorHAnsi" w:cstheme="minorHAnsi"/>
          <w:sz w:val="24"/>
          <w:szCs w:val="24"/>
        </w:rPr>
      </w:pPr>
    </w:p>
    <w:p w14:paraId="60437654" w14:textId="77777777" w:rsidR="00AA666E" w:rsidRPr="00DF039A" w:rsidRDefault="00AA666E" w:rsidP="00FF7EBB">
      <w:pPr>
        <w:jc w:val="both"/>
        <w:rPr>
          <w:rFonts w:asciiTheme="minorHAnsi" w:hAnsiTheme="minorHAnsi" w:cstheme="minorHAnsi"/>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DF039A" w14:paraId="3399E76C" w14:textId="77777777" w:rsidTr="00FC0334">
        <w:tc>
          <w:tcPr>
            <w:tcW w:w="10278" w:type="dxa"/>
            <w:shd w:val="clear" w:color="auto" w:fill="auto"/>
          </w:tcPr>
          <w:p w14:paraId="171F67D5" w14:textId="77777777" w:rsidR="00FC0334" w:rsidRPr="00DF039A" w:rsidRDefault="00FC0334" w:rsidP="00FC0334">
            <w:pPr>
              <w:jc w:val="both"/>
              <w:rPr>
                <w:rFonts w:asciiTheme="minorHAnsi" w:hAnsiTheme="minorHAnsi" w:cstheme="minorHAnsi"/>
                <w:b/>
                <w:sz w:val="24"/>
                <w:szCs w:val="24"/>
              </w:rPr>
            </w:pPr>
            <w:r w:rsidRPr="00DF039A">
              <w:rPr>
                <w:rFonts w:asciiTheme="minorHAnsi" w:hAnsiTheme="minorHAnsi" w:cstheme="minorHAnsi"/>
                <w:b/>
                <w:sz w:val="24"/>
                <w:szCs w:val="24"/>
              </w:rPr>
              <w:t>Question b:</w:t>
            </w:r>
          </w:p>
          <w:p w14:paraId="2ADF1EC3" w14:textId="58E4B8DE" w:rsidR="00FC0334" w:rsidRDefault="00FC0334" w:rsidP="00FC0334">
            <w:pPr>
              <w:jc w:val="both"/>
              <w:rPr>
                <w:rFonts w:asciiTheme="minorHAnsi" w:hAnsiTheme="minorHAnsi" w:cstheme="minorHAnsi"/>
                <w:sz w:val="24"/>
                <w:szCs w:val="24"/>
              </w:rPr>
            </w:pPr>
            <w:r w:rsidRPr="00DF039A">
              <w:rPr>
                <w:rFonts w:asciiTheme="minorHAnsi" w:hAnsiTheme="minorHAnsi" w:cstheme="minorHAnsi"/>
                <w:sz w:val="24"/>
                <w:szCs w:val="24"/>
              </w:rPr>
              <w:t>Reflect on the difference between safeguarding in adult</w:t>
            </w:r>
            <w:r w:rsidR="00C63CAB" w:rsidRPr="00DF039A">
              <w:rPr>
                <w:rFonts w:asciiTheme="minorHAnsi" w:hAnsiTheme="minorHAnsi" w:cstheme="minorHAnsi"/>
                <w:sz w:val="24"/>
                <w:szCs w:val="24"/>
              </w:rPr>
              <w:t>s’</w:t>
            </w:r>
            <w:r w:rsidRPr="00DF039A">
              <w:rPr>
                <w:rFonts w:asciiTheme="minorHAnsi" w:hAnsiTheme="minorHAnsi" w:cstheme="minorHAnsi"/>
                <w:sz w:val="24"/>
                <w:szCs w:val="24"/>
              </w:rPr>
              <w:t xml:space="preserve"> and children</w:t>
            </w:r>
            <w:r w:rsidR="007A628F" w:rsidRPr="00DF039A">
              <w:rPr>
                <w:rFonts w:asciiTheme="minorHAnsi" w:hAnsiTheme="minorHAnsi" w:cstheme="minorHAnsi"/>
                <w:sz w:val="24"/>
                <w:szCs w:val="24"/>
              </w:rPr>
              <w:t>’s</w:t>
            </w:r>
            <w:r w:rsidRPr="00DF039A">
              <w:rPr>
                <w:rFonts w:asciiTheme="minorHAnsi" w:hAnsiTheme="minorHAnsi" w:cstheme="minorHAnsi"/>
                <w:sz w:val="24"/>
                <w:szCs w:val="24"/>
              </w:rPr>
              <w:t xml:space="preserve"> </w:t>
            </w:r>
            <w:proofErr w:type="gramStart"/>
            <w:r w:rsidRPr="00DF039A">
              <w:rPr>
                <w:rFonts w:asciiTheme="minorHAnsi" w:hAnsiTheme="minorHAnsi" w:cstheme="minorHAnsi"/>
                <w:sz w:val="24"/>
                <w:szCs w:val="24"/>
              </w:rPr>
              <w:t>work</w:t>
            </w:r>
            <w:proofErr w:type="gramEnd"/>
          </w:p>
          <w:p w14:paraId="7297EC14" w14:textId="77777777" w:rsidR="00DF039A" w:rsidRDefault="00DF039A" w:rsidP="00FC0334">
            <w:pPr>
              <w:jc w:val="both"/>
              <w:rPr>
                <w:rFonts w:asciiTheme="minorHAnsi" w:hAnsiTheme="minorHAnsi" w:cstheme="minorHAnsi"/>
                <w:sz w:val="24"/>
                <w:szCs w:val="24"/>
              </w:rPr>
            </w:pPr>
          </w:p>
          <w:p w14:paraId="789B662E" w14:textId="77777777" w:rsidR="00DF039A" w:rsidRPr="00DF039A" w:rsidRDefault="00DF039A" w:rsidP="00DF039A">
            <w:pPr>
              <w:jc w:val="both"/>
              <w:rPr>
                <w:rFonts w:asciiTheme="minorHAnsi" w:hAnsiTheme="minorHAnsi" w:cstheme="minorHAnsi"/>
                <w:i/>
                <w:sz w:val="24"/>
                <w:szCs w:val="24"/>
              </w:rPr>
            </w:pPr>
            <w:r w:rsidRPr="00DF039A">
              <w:rPr>
                <w:rFonts w:asciiTheme="minorHAnsi" w:hAnsiTheme="minorHAnsi" w:cstheme="minorHAnsi"/>
                <w:i/>
                <w:sz w:val="24"/>
                <w:szCs w:val="24"/>
              </w:rPr>
              <w:t>400 words</w:t>
            </w:r>
            <w:r w:rsidRPr="00DF039A">
              <w:rPr>
                <w:rFonts w:asciiTheme="minorHAnsi" w:hAnsiTheme="minorHAnsi" w:cstheme="minorHAnsi"/>
                <w:sz w:val="24"/>
                <w:szCs w:val="24"/>
              </w:rPr>
              <w:t xml:space="preserve"> </w:t>
            </w:r>
            <w:r w:rsidRPr="00DF039A">
              <w:rPr>
                <w:rFonts w:asciiTheme="minorHAnsi" w:hAnsiTheme="minorHAnsi" w:cstheme="minorHAnsi"/>
                <w:i/>
                <w:sz w:val="24"/>
                <w:szCs w:val="24"/>
              </w:rPr>
              <w:t>(+/- 10%: include your actual word count at the end of each section).</w:t>
            </w:r>
          </w:p>
          <w:p w14:paraId="0397FB96" w14:textId="77777777" w:rsidR="00DF039A" w:rsidRPr="00DF039A" w:rsidRDefault="00DF039A" w:rsidP="00FC0334">
            <w:pPr>
              <w:jc w:val="both"/>
              <w:rPr>
                <w:rFonts w:asciiTheme="minorHAnsi" w:hAnsiTheme="minorHAnsi" w:cstheme="minorHAnsi"/>
                <w:sz w:val="24"/>
                <w:szCs w:val="24"/>
              </w:rPr>
            </w:pPr>
          </w:p>
          <w:p w14:paraId="049F01DB" w14:textId="47D28D4C" w:rsidR="00DF039A" w:rsidRPr="00DF039A" w:rsidRDefault="00DF039A" w:rsidP="00DF039A">
            <w:pPr>
              <w:jc w:val="both"/>
              <w:rPr>
                <w:rFonts w:asciiTheme="minorHAnsi" w:hAnsiTheme="minorHAnsi" w:cstheme="minorHAnsi"/>
                <w:sz w:val="24"/>
                <w:szCs w:val="24"/>
              </w:rPr>
            </w:pPr>
            <w:r w:rsidRPr="00DF039A">
              <w:rPr>
                <w:rFonts w:asciiTheme="minorHAnsi" w:hAnsiTheme="minorHAnsi" w:cstheme="minorHAnsi"/>
                <w:sz w:val="24"/>
                <w:szCs w:val="24"/>
              </w:rPr>
              <w:t>When safeguarding children there is a statutory duty to report safeguarding concerns to the appropriate local authority. There is a duty to report adults too, and local authorities must investigate and decide what appropriate action must be taken</w:t>
            </w:r>
            <w:r w:rsidR="0030545C">
              <w:rPr>
                <w:rFonts w:asciiTheme="minorHAnsi" w:hAnsiTheme="minorHAnsi" w:cstheme="minorHAnsi"/>
                <w:sz w:val="24"/>
                <w:szCs w:val="24"/>
              </w:rPr>
              <w:t xml:space="preserve"> </w:t>
            </w:r>
            <w:r w:rsidR="003F634A" w:rsidRPr="00DF039A">
              <w:rPr>
                <w:rFonts w:asciiTheme="minorHAnsi" w:hAnsiTheme="minorHAnsi" w:cstheme="minorHAnsi"/>
                <w:sz w:val="24"/>
                <w:szCs w:val="24"/>
              </w:rPr>
              <w:t>(</w:t>
            </w:r>
            <w:r w:rsidRPr="00EE47B4">
              <w:rPr>
                <w:rFonts w:asciiTheme="minorHAnsi" w:hAnsiTheme="minorHAnsi" w:cstheme="minorHAnsi"/>
                <w:i/>
                <w:iCs/>
                <w:sz w:val="24"/>
                <w:szCs w:val="24"/>
              </w:rPr>
              <w:t xml:space="preserve">SSWWA </w:t>
            </w:r>
            <w:r w:rsidRPr="00DF039A">
              <w:rPr>
                <w:rFonts w:asciiTheme="minorHAnsi" w:hAnsiTheme="minorHAnsi" w:cstheme="minorHAnsi"/>
                <w:sz w:val="24"/>
                <w:szCs w:val="24"/>
              </w:rPr>
              <w:t>2014). According to Safeguarding Procedures Wales, there is a duty to report any concerns to social services. They along with the police - have statutory powers to investigate concerns. The procedures</w:t>
            </w:r>
            <w:r w:rsidR="007840A5">
              <w:rPr>
                <w:rFonts w:asciiTheme="minorHAnsi" w:hAnsiTheme="minorHAnsi" w:cstheme="minorHAnsi"/>
                <w:sz w:val="24"/>
                <w:szCs w:val="24"/>
              </w:rPr>
              <w:t xml:space="preserve"> for children and young people</w:t>
            </w:r>
            <w:r w:rsidRPr="00DF039A">
              <w:rPr>
                <w:rFonts w:asciiTheme="minorHAnsi" w:hAnsiTheme="minorHAnsi" w:cstheme="minorHAnsi"/>
                <w:sz w:val="24"/>
                <w:szCs w:val="24"/>
              </w:rPr>
              <w:t xml:space="preserve"> state “This is not a matter of choice” (Social Care Wales</w:t>
            </w:r>
            <w:r w:rsidR="0030545C">
              <w:rPr>
                <w:rFonts w:asciiTheme="minorHAnsi" w:hAnsiTheme="minorHAnsi" w:cstheme="minorHAnsi"/>
                <w:sz w:val="24"/>
                <w:szCs w:val="24"/>
              </w:rPr>
              <w:t>,</w:t>
            </w:r>
            <w:r w:rsidRPr="00DF039A">
              <w:rPr>
                <w:rFonts w:asciiTheme="minorHAnsi" w:hAnsiTheme="minorHAnsi" w:cstheme="minorHAnsi"/>
                <w:sz w:val="24"/>
                <w:szCs w:val="24"/>
              </w:rPr>
              <w:t xml:space="preserve"> 2019). </w:t>
            </w:r>
          </w:p>
          <w:p w14:paraId="6316D957" w14:textId="738385CE" w:rsidR="00DF039A" w:rsidRPr="00DF039A" w:rsidRDefault="00DF039A" w:rsidP="00DF039A">
            <w:pPr>
              <w:jc w:val="both"/>
              <w:rPr>
                <w:rFonts w:asciiTheme="minorHAnsi" w:hAnsiTheme="minorHAnsi" w:cstheme="minorHAnsi"/>
                <w:sz w:val="24"/>
                <w:szCs w:val="24"/>
              </w:rPr>
            </w:pPr>
            <w:r w:rsidRPr="00DF039A">
              <w:rPr>
                <w:rFonts w:asciiTheme="minorHAnsi" w:hAnsiTheme="minorHAnsi" w:cstheme="minorHAnsi"/>
                <w:sz w:val="24"/>
                <w:szCs w:val="24"/>
              </w:rPr>
              <w:t>According to the CA (1989) when courts are considering any question regarding a child’s welfare, then the paramountcy principle should be applied (</w:t>
            </w:r>
            <w:r w:rsidRPr="0030545C">
              <w:rPr>
                <w:rFonts w:asciiTheme="minorHAnsi" w:hAnsiTheme="minorHAnsi" w:cstheme="minorHAnsi"/>
                <w:i/>
                <w:iCs/>
                <w:sz w:val="24"/>
                <w:szCs w:val="24"/>
              </w:rPr>
              <w:t xml:space="preserve">CA </w:t>
            </w:r>
            <w:r w:rsidRPr="00DF039A">
              <w:rPr>
                <w:rFonts w:asciiTheme="minorHAnsi" w:hAnsiTheme="minorHAnsi" w:cstheme="minorHAnsi"/>
                <w:sz w:val="24"/>
                <w:szCs w:val="24"/>
              </w:rPr>
              <w:t>1989). The paramountcy principle is also relevant to the Wales Safeguarding Procedures 2019. These state that as far as is reasonably practicable, the child’s views, wishes and feelings should be taken in to account, but that their best interests should always be paramount (Social Care Wales</w:t>
            </w:r>
            <w:r w:rsidR="0030545C">
              <w:rPr>
                <w:rFonts w:asciiTheme="minorHAnsi" w:hAnsiTheme="minorHAnsi" w:cstheme="minorHAnsi"/>
                <w:sz w:val="24"/>
                <w:szCs w:val="24"/>
              </w:rPr>
              <w:t>,</w:t>
            </w:r>
            <w:r w:rsidRPr="00DF039A">
              <w:rPr>
                <w:rFonts w:asciiTheme="minorHAnsi" w:hAnsiTheme="minorHAnsi" w:cstheme="minorHAnsi"/>
                <w:sz w:val="24"/>
                <w:szCs w:val="24"/>
              </w:rPr>
              <w:t xml:space="preserve"> 2019). This means that consent from the child or the child’s parents would be secondary to the child’s welfare. This is not the same in adult services, where consent must be sought. </w:t>
            </w:r>
          </w:p>
          <w:p w14:paraId="7E9CD3F1" w14:textId="17B130F1" w:rsidR="00DF039A" w:rsidRPr="00DF039A" w:rsidRDefault="00DF039A" w:rsidP="00DF039A">
            <w:pPr>
              <w:jc w:val="both"/>
              <w:rPr>
                <w:rFonts w:asciiTheme="minorHAnsi" w:hAnsiTheme="minorHAnsi" w:cstheme="minorHAnsi"/>
                <w:sz w:val="24"/>
                <w:szCs w:val="24"/>
              </w:rPr>
            </w:pPr>
            <w:r w:rsidRPr="00DF039A">
              <w:rPr>
                <w:rFonts w:asciiTheme="minorHAnsi" w:hAnsiTheme="minorHAnsi" w:cstheme="minorHAnsi"/>
                <w:sz w:val="24"/>
                <w:szCs w:val="24"/>
              </w:rPr>
              <w:t>Anyone up to the age of 18 is classed as a child according both SSWWA and the CA.  However, the age at which a child can lawfully engage in sex is 16. The National Society for the Prevention of Cruelty to Children [Hereafter NSPCC] state that Fraser guidelines are used to ascertain whether a child can receive advice about contraception without the consent of their parents. Gillick competency is also used in a wider context to ascertain if young people can make decisions about their life in the same way that adults do under The Mental Capacity Act 2005 [Hereafter MCA] (NSPCC</w:t>
            </w:r>
            <w:r w:rsidR="0030545C">
              <w:rPr>
                <w:rFonts w:asciiTheme="minorHAnsi" w:hAnsiTheme="minorHAnsi" w:cstheme="minorHAnsi"/>
                <w:sz w:val="24"/>
                <w:szCs w:val="24"/>
              </w:rPr>
              <w:t>,</w:t>
            </w:r>
            <w:r w:rsidRPr="00DF039A">
              <w:rPr>
                <w:rFonts w:asciiTheme="minorHAnsi" w:hAnsiTheme="minorHAnsi" w:cstheme="minorHAnsi"/>
                <w:sz w:val="24"/>
                <w:szCs w:val="24"/>
              </w:rPr>
              <w:t xml:space="preserve"> 2024). The MCA applies to those who are aged 16 and over. According to the principles of the MCA adults are allowed to make unwise choices (</w:t>
            </w:r>
            <w:r w:rsidRPr="0030545C">
              <w:rPr>
                <w:rFonts w:asciiTheme="minorHAnsi" w:hAnsiTheme="minorHAnsi" w:cstheme="minorHAnsi"/>
                <w:i/>
                <w:iCs/>
                <w:sz w:val="24"/>
                <w:szCs w:val="24"/>
              </w:rPr>
              <w:t>MCA</w:t>
            </w:r>
            <w:r w:rsidRPr="00DF039A">
              <w:rPr>
                <w:rFonts w:asciiTheme="minorHAnsi" w:hAnsiTheme="minorHAnsi" w:cstheme="minorHAnsi"/>
                <w:sz w:val="24"/>
                <w:szCs w:val="24"/>
              </w:rPr>
              <w:t xml:space="preserve"> 2005) this is to protect their rights under the Human Rights Act 1998.  Children are not allowed the same freedoms. Their welfare is Paramount. </w:t>
            </w:r>
          </w:p>
          <w:p w14:paraId="7B7B4827" w14:textId="17D10462" w:rsidR="00FC0334" w:rsidRPr="00DF039A" w:rsidRDefault="00DF039A" w:rsidP="00FC0334">
            <w:pPr>
              <w:jc w:val="both"/>
              <w:rPr>
                <w:rFonts w:asciiTheme="minorHAnsi" w:hAnsiTheme="minorHAnsi" w:cstheme="minorHAnsi"/>
                <w:sz w:val="24"/>
                <w:szCs w:val="24"/>
              </w:rPr>
            </w:pPr>
            <w:r w:rsidRPr="00DF039A">
              <w:rPr>
                <w:rFonts w:asciiTheme="minorHAnsi" w:hAnsiTheme="minorHAnsi" w:cstheme="minorHAnsi"/>
                <w:sz w:val="24"/>
                <w:szCs w:val="24"/>
              </w:rPr>
              <w:t xml:space="preserve">We have discussed the relevant legislation, policy and procedure pertaining to children’s safeguarding. This included SSWWA, CA, Wales Safeguarding Procedures, and the UNCRC which was adopted as the </w:t>
            </w:r>
            <w:r w:rsidRPr="00DF039A">
              <w:rPr>
                <w:rFonts w:asciiTheme="minorHAnsi" w:hAnsiTheme="minorHAnsi" w:cstheme="minorHAnsi"/>
                <w:sz w:val="24"/>
                <w:szCs w:val="24"/>
              </w:rPr>
              <w:lastRenderedPageBreak/>
              <w:t>basis for all legislation pertaining to children in Wales in 2004. We then discussed the differences between adult and children’s safeguarding where we explored the statutory duty to report, the paramountcy principle, consent, the MCA and finally, Fraser guidelines and Gillick competence.  (41</w:t>
            </w:r>
            <w:r w:rsidR="009C0352">
              <w:rPr>
                <w:rFonts w:asciiTheme="minorHAnsi" w:hAnsiTheme="minorHAnsi" w:cstheme="minorHAnsi"/>
                <w:sz w:val="24"/>
                <w:szCs w:val="24"/>
              </w:rPr>
              <w:t>1</w:t>
            </w:r>
            <w:r w:rsidRPr="00DF039A">
              <w:rPr>
                <w:rFonts w:asciiTheme="minorHAnsi" w:hAnsiTheme="minorHAnsi" w:cstheme="minorHAnsi"/>
                <w:sz w:val="24"/>
                <w:szCs w:val="24"/>
              </w:rPr>
              <w:t>)</w:t>
            </w:r>
          </w:p>
          <w:p w14:paraId="438BF787" w14:textId="77777777" w:rsidR="00FC0334" w:rsidRPr="00DF039A" w:rsidRDefault="00FC0334" w:rsidP="00FC0334">
            <w:pPr>
              <w:jc w:val="both"/>
              <w:rPr>
                <w:rFonts w:asciiTheme="minorHAnsi" w:hAnsiTheme="minorHAnsi" w:cstheme="minorHAnsi"/>
                <w:sz w:val="24"/>
                <w:szCs w:val="24"/>
              </w:rPr>
            </w:pPr>
          </w:p>
          <w:p w14:paraId="08760B3D" w14:textId="77777777" w:rsidR="00FC0334" w:rsidRPr="00DF039A" w:rsidRDefault="00FC0334" w:rsidP="00DF039A">
            <w:pPr>
              <w:jc w:val="both"/>
              <w:rPr>
                <w:rFonts w:asciiTheme="minorHAnsi" w:hAnsiTheme="minorHAnsi" w:cstheme="minorHAnsi"/>
                <w:sz w:val="24"/>
                <w:szCs w:val="24"/>
              </w:rPr>
            </w:pPr>
          </w:p>
        </w:tc>
      </w:tr>
    </w:tbl>
    <w:p w14:paraId="76FCF233" w14:textId="77777777" w:rsidR="00FC0334" w:rsidRPr="00DF039A" w:rsidRDefault="00FC0334" w:rsidP="00FC0334">
      <w:pPr>
        <w:rPr>
          <w:rFonts w:asciiTheme="minorHAnsi" w:hAnsiTheme="minorHAnsi" w:cstheme="minorHAnsi"/>
          <w:sz w:val="24"/>
          <w:szCs w:val="24"/>
        </w:rPr>
      </w:pPr>
    </w:p>
    <w:sectPr w:rsidR="00FC0334" w:rsidRPr="00DF039A"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74F6" w14:textId="77777777" w:rsidR="00130C5A" w:rsidRDefault="00130C5A">
      <w:r>
        <w:separator/>
      </w:r>
    </w:p>
  </w:endnote>
  <w:endnote w:type="continuationSeparator" w:id="0">
    <w:p w14:paraId="5587EC4F" w14:textId="77777777" w:rsidR="00130C5A" w:rsidRDefault="00130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AE650" w14:textId="77777777" w:rsidR="00130C5A" w:rsidRDefault="00130C5A">
      <w:r>
        <w:separator/>
      </w:r>
    </w:p>
  </w:footnote>
  <w:footnote w:type="continuationSeparator" w:id="0">
    <w:p w14:paraId="3057E6C5" w14:textId="77777777" w:rsidR="00130C5A" w:rsidRDefault="00130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312C"/>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0C5A"/>
    <w:rsid w:val="00132812"/>
    <w:rsid w:val="001347F8"/>
    <w:rsid w:val="001359EE"/>
    <w:rsid w:val="00137BB5"/>
    <w:rsid w:val="00137E05"/>
    <w:rsid w:val="001447F6"/>
    <w:rsid w:val="00147DE3"/>
    <w:rsid w:val="00150794"/>
    <w:rsid w:val="00151DA6"/>
    <w:rsid w:val="001608C4"/>
    <w:rsid w:val="00164832"/>
    <w:rsid w:val="00165FD6"/>
    <w:rsid w:val="00171418"/>
    <w:rsid w:val="001772BF"/>
    <w:rsid w:val="001772DE"/>
    <w:rsid w:val="00185B06"/>
    <w:rsid w:val="0019496C"/>
    <w:rsid w:val="001961CF"/>
    <w:rsid w:val="001A59BB"/>
    <w:rsid w:val="001A607E"/>
    <w:rsid w:val="001A6A51"/>
    <w:rsid w:val="001A79C4"/>
    <w:rsid w:val="001B331A"/>
    <w:rsid w:val="001C0237"/>
    <w:rsid w:val="001C0E74"/>
    <w:rsid w:val="001C141E"/>
    <w:rsid w:val="001C4DB8"/>
    <w:rsid w:val="001C50B8"/>
    <w:rsid w:val="001D02F4"/>
    <w:rsid w:val="001D20AD"/>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545C"/>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34A"/>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6EE"/>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67A65"/>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7A6D"/>
    <w:rsid w:val="007266A5"/>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40A5"/>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0AAE"/>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0352"/>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5A7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46F9"/>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58C"/>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039A"/>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54EB"/>
    <w:rsid w:val="00E6746C"/>
    <w:rsid w:val="00E7086E"/>
    <w:rsid w:val="00E71248"/>
    <w:rsid w:val="00E73C41"/>
    <w:rsid w:val="00E75911"/>
    <w:rsid w:val="00E7598F"/>
    <w:rsid w:val="00E76F60"/>
    <w:rsid w:val="00E812B5"/>
    <w:rsid w:val="00E82AA0"/>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7B4"/>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717A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1064</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Catherine Fraser</cp:lastModifiedBy>
  <cp:revision>22</cp:revision>
  <cp:lastPrinted>2020-02-11T19:20:00Z</cp:lastPrinted>
  <dcterms:created xsi:type="dcterms:W3CDTF">2024-09-27T15:10:00Z</dcterms:created>
  <dcterms:modified xsi:type="dcterms:W3CDTF">2024-09-30T18:03:00Z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