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F8302" w14:textId="77777777" w:rsidR="00B722DB" w:rsidRPr="00B722DB" w:rsidRDefault="00B722DB" w:rsidP="00B722DB">
      <w:pPr>
        <w:autoSpaceDE w:val="0"/>
        <w:autoSpaceDN w:val="0"/>
        <w:adjustRightInd w:val="0"/>
        <w:jc w:val="center"/>
        <w:rPr>
          <w:rFonts w:ascii="Verdana" w:eastAsia="Calibri" w:hAnsi="Verdana" w:cs="Calibri"/>
          <w:b/>
          <w:i/>
          <w:sz w:val="44"/>
        </w:rPr>
      </w:pPr>
    </w:p>
    <w:p w14:paraId="6291B0AD" w14:textId="77777777" w:rsidR="00B722DB" w:rsidRPr="00B722DB" w:rsidRDefault="00B722DB" w:rsidP="00B722DB">
      <w:pPr>
        <w:autoSpaceDE w:val="0"/>
        <w:autoSpaceDN w:val="0"/>
        <w:adjustRightInd w:val="0"/>
        <w:jc w:val="center"/>
        <w:rPr>
          <w:rFonts w:ascii="Verdana" w:eastAsia="Calibri" w:hAnsi="Verdana" w:cs="Calibri"/>
          <w:b/>
          <w:i/>
          <w:sz w:val="44"/>
        </w:rPr>
      </w:pPr>
    </w:p>
    <w:p w14:paraId="0A33CB98" w14:textId="77777777" w:rsidR="00B722DB" w:rsidRPr="00B722DB" w:rsidRDefault="00B722DB" w:rsidP="00B722DB">
      <w:pPr>
        <w:autoSpaceDE w:val="0"/>
        <w:autoSpaceDN w:val="0"/>
        <w:adjustRightInd w:val="0"/>
        <w:jc w:val="center"/>
        <w:rPr>
          <w:rFonts w:ascii="Verdana" w:eastAsia="Calibri" w:hAnsi="Verdana" w:cs="Calibri"/>
          <w:b/>
          <w:caps/>
          <w:sz w:val="18"/>
          <w:szCs w:val="18"/>
        </w:rPr>
      </w:pPr>
      <w:r w:rsidRPr="00B722DB">
        <w:rPr>
          <w:rFonts w:ascii="Verdana" w:eastAsia="Calibri" w:hAnsi="Verdana" w:cs="Calibri"/>
          <w:b/>
          <w:i/>
          <w:sz w:val="44"/>
        </w:rPr>
        <w:t>Financial Reporting Assignment 1 2018 – Changes in Leasing</w:t>
      </w:r>
    </w:p>
    <w:p w14:paraId="00164B88" w14:textId="77777777" w:rsidR="00B722DB" w:rsidRPr="00B722DB" w:rsidRDefault="00B722DB" w:rsidP="00B722DB">
      <w:pPr>
        <w:autoSpaceDE w:val="0"/>
        <w:autoSpaceDN w:val="0"/>
        <w:adjustRightInd w:val="0"/>
        <w:rPr>
          <w:rFonts w:ascii="Verdana" w:eastAsia="Calibri" w:hAnsi="Verdana" w:cs="Calibri"/>
          <w:b/>
          <w:caps/>
          <w:sz w:val="18"/>
          <w:szCs w:val="18"/>
        </w:rPr>
      </w:pPr>
    </w:p>
    <w:p w14:paraId="725C548E" w14:textId="77777777" w:rsidR="00B722DB" w:rsidRPr="00B722DB" w:rsidRDefault="00B722DB" w:rsidP="00B722DB">
      <w:pPr>
        <w:autoSpaceDE w:val="0"/>
        <w:autoSpaceDN w:val="0"/>
        <w:adjustRightInd w:val="0"/>
        <w:jc w:val="center"/>
        <w:rPr>
          <w:rFonts w:ascii="Verdana" w:eastAsia="Calibri" w:hAnsi="Verdana" w:cs="Calibri"/>
          <w:b/>
          <w:caps/>
          <w:sz w:val="18"/>
          <w:szCs w:val="18"/>
        </w:rPr>
      </w:pPr>
      <w:r w:rsidRPr="00B722DB">
        <w:rPr>
          <w:rFonts w:ascii="Calibri" w:eastAsia="Calibri" w:hAnsi="Calibri" w:cs="Calibri"/>
          <w:noProof/>
          <w:lang w:eastAsia="en-GB"/>
        </w:rPr>
        <w:drawing>
          <wp:inline distT="0" distB="0" distL="0" distR="0" wp14:anchorId="53828A40" wp14:editId="51FE9496">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B24B59C" w14:textId="77777777" w:rsidR="00B722DB" w:rsidRPr="00B722DB" w:rsidRDefault="00B722DB" w:rsidP="00B722DB">
      <w:pPr>
        <w:autoSpaceDE w:val="0"/>
        <w:autoSpaceDN w:val="0"/>
        <w:adjustRightInd w:val="0"/>
        <w:rPr>
          <w:rFonts w:ascii="Verdana" w:eastAsia="Calibri" w:hAnsi="Verdana" w:cs="Calibri"/>
          <w:b/>
          <w:caps/>
          <w:sz w:val="18"/>
          <w:szCs w:val="18"/>
        </w:rPr>
      </w:pPr>
    </w:p>
    <w:p w14:paraId="2A580A0C" w14:textId="77777777" w:rsidR="00B722DB" w:rsidRPr="00B722DB" w:rsidRDefault="00B722DB" w:rsidP="00B722DB">
      <w:pPr>
        <w:autoSpaceDE w:val="0"/>
        <w:autoSpaceDN w:val="0"/>
        <w:adjustRightInd w:val="0"/>
        <w:jc w:val="center"/>
        <w:rPr>
          <w:rFonts w:ascii="Verdana" w:eastAsia="Calibri" w:hAnsi="Verdana" w:cs="Calibri"/>
          <w:b/>
          <w:sz w:val="44"/>
        </w:rPr>
      </w:pPr>
      <w:r w:rsidRPr="00B722DB">
        <w:rPr>
          <w:rFonts w:ascii="Verdana" w:eastAsia="Calibri" w:hAnsi="Verdana" w:cs="Calibri"/>
          <w:b/>
          <w:sz w:val="44"/>
        </w:rPr>
        <w:t>December 2018</w:t>
      </w:r>
    </w:p>
    <w:p w14:paraId="0E86492D" w14:textId="77777777" w:rsidR="00B722DB" w:rsidRPr="00B722DB" w:rsidRDefault="00B722DB" w:rsidP="00B722DB">
      <w:pPr>
        <w:autoSpaceDE w:val="0"/>
        <w:autoSpaceDN w:val="0"/>
        <w:adjustRightInd w:val="0"/>
        <w:rPr>
          <w:rFonts w:ascii="Verdana" w:eastAsia="Calibri" w:hAnsi="Verdana" w:cs="Calibri"/>
          <w:b/>
          <w:caps/>
          <w:sz w:val="18"/>
          <w:szCs w:val="18"/>
        </w:rPr>
      </w:pPr>
    </w:p>
    <w:p w14:paraId="50B1FC84" w14:textId="77777777" w:rsidR="00B722DB" w:rsidRPr="00B722DB" w:rsidRDefault="00B722DB" w:rsidP="00B722DB">
      <w:pPr>
        <w:autoSpaceDE w:val="0"/>
        <w:autoSpaceDN w:val="0"/>
        <w:adjustRightInd w:val="0"/>
        <w:rPr>
          <w:rFonts w:ascii="Verdana" w:eastAsia="Calibri" w:hAnsi="Verdana" w:cs="Calibri"/>
          <w:b/>
          <w:caps/>
          <w:sz w:val="18"/>
          <w:szCs w:val="18"/>
        </w:rPr>
      </w:pPr>
      <w:r w:rsidRPr="00B722DB">
        <w:rPr>
          <w:rFonts w:ascii="Verdana" w:eastAsia="Calibri" w:hAnsi="Verdana" w:cs="Calibri"/>
          <w:b/>
          <w:caps/>
          <w:sz w:val="18"/>
          <w:szCs w:val="18"/>
        </w:rPr>
        <w:t>MODULE NAME:</w:t>
      </w:r>
      <w:r w:rsidRPr="00B722DB">
        <w:rPr>
          <w:rFonts w:ascii="Verdana" w:eastAsia="Calibri" w:hAnsi="Verdana" w:cs="Calibri"/>
          <w:b/>
          <w:caps/>
          <w:sz w:val="18"/>
          <w:szCs w:val="18"/>
        </w:rPr>
        <w:tab/>
      </w:r>
      <w:r w:rsidRPr="00B722DB">
        <w:rPr>
          <w:rFonts w:ascii="Verdana" w:eastAsia="Calibri" w:hAnsi="Verdana" w:cs="Calibri"/>
          <w:b/>
          <w:caps/>
          <w:sz w:val="18"/>
          <w:szCs w:val="18"/>
        </w:rPr>
        <w:tab/>
        <w:t>Financial reporting</w:t>
      </w:r>
    </w:p>
    <w:p w14:paraId="5731447F" w14:textId="77777777" w:rsidR="00B722DB" w:rsidRPr="00B722DB" w:rsidRDefault="00B722DB" w:rsidP="00B722DB">
      <w:pPr>
        <w:autoSpaceDE w:val="0"/>
        <w:autoSpaceDN w:val="0"/>
        <w:adjustRightInd w:val="0"/>
        <w:rPr>
          <w:rFonts w:ascii="Verdana" w:eastAsia="Calibri" w:hAnsi="Verdana" w:cs="Calibri"/>
          <w:b/>
          <w:caps/>
          <w:sz w:val="18"/>
          <w:szCs w:val="18"/>
        </w:rPr>
      </w:pPr>
      <w:r w:rsidRPr="00B722DB">
        <w:rPr>
          <w:rFonts w:ascii="Verdana" w:eastAsia="Calibri" w:hAnsi="Verdana" w:cs="Calibri"/>
          <w:b/>
          <w:caps/>
          <w:sz w:val="18"/>
          <w:szCs w:val="18"/>
        </w:rPr>
        <w:t>Name:</w:t>
      </w:r>
      <w:r w:rsidRPr="00B722DB">
        <w:rPr>
          <w:rFonts w:ascii="Verdana" w:eastAsia="Calibri" w:hAnsi="Verdana" w:cs="Calibri"/>
          <w:b/>
          <w:caps/>
          <w:sz w:val="18"/>
          <w:szCs w:val="18"/>
        </w:rPr>
        <w:tab/>
      </w:r>
      <w:r w:rsidRPr="00B722DB">
        <w:rPr>
          <w:rFonts w:ascii="Verdana" w:eastAsia="Calibri" w:hAnsi="Verdana" w:cs="Calibri"/>
          <w:b/>
          <w:caps/>
          <w:sz w:val="18"/>
          <w:szCs w:val="18"/>
        </w:rPr>
        <w:tab/>
      </w:r>
      <w:r w:rsidRPr="00B722DB">
        <w:rPr>
          <w:rFonts w:ascii="Verdana" w:eastAsia="Calibri" w:hAnsi="Verdana" w:cs="Calibri"/>
          <w:b/>
          <w:caps/>
          <w:sz w:val="18"/>
          <w:szCs w:val="18"/>
        </w:rPr>
        <w:tab/>
      </w:r>
      <w:r w:rsidRPr="00B722DB">
        <w:rPr>
          <w:rFonts w:ascii="Verdana" w:eastAsia="Calibri" w:hAnsi="Verdana" w:cs="Calibri"/>
          <w:b/>
          <w:caps/>
          <w:sz w:val="18"/>
          <w:szCs w:val="18"/>
        </w:rPr>
        <w:tab/>
        <w:t>Samuel lockley</w:t>
      </w:r>
    </w:p>
    <w:p w14:paraId="181D8F3C" w14:textId="77777777" w:rsidR="00B722DB" w:rsidRPr="00B722DB" w:rsidRDefault="00B722DB" w:rsidP="00B722DB">
      <w:pPr>
        <w:autoSpaceDE w:val="0"/>
        <w:autoSpaceDN w:val="0"/>
        <w:adjustRightInd w:val="0"/>
        <w:rPr>
          <w:rFonts w:ascii="Verdana" w:eastAsia="Calibri" w:hAnsi="Verdana" w:cs="Calibri"/>
          <w:b/>
          <w:caps/>
          <w:sz w:val="18"/>
          <w:szCs w:val="18"/>
        </w:rPr>
      </w:pPr>
      <w:r w:rsidRPr="00B722DB">
        <w:rPr>
          <w:rFonts w:ascii="Verdana" w:eastAsia="Calibri" w:hAnsi="Verdana" w:cs="Calibri"/>
          <w:b/>
          <w:caps/>
          <w:sz w:val="18"/>
          <w:szCs w:val="18"/>
        </w:rPr>
        <w:t>Student Number:</w:t>
      </w:r>
      <w:r w:rsidRPr="00B722DB">
        <w:rPr>
          <w:rFonts w:ascii="Verdana" w:eastAsia="Calibri" w:hAnsi="Verdana" w:cs="Calibri"/>
          <w:b/>
          <w:caps/>
          <w:sz w:val="18"/>
          <w:szCs w:val="18"/>
        </w:rPr>
        <w:tab/>
      </w:r>
      <w:r w:rsidRPr="00B722DB">
        <w:rPr>
          <w:rFonts w:ascii="Verdana" w:eastAsia="Calibri" w:hAnsi="Verdana" w:cs="Calibri"/>
          <w:b/>
          <w:caps/>
          <w:sz w:val="18"/>
          <w:szCs w:val="18"/>
        </w:rPr>
        <w:tab/>
        <w:t>1704902</w:t>
      </w:r>
    </w:p>
    <w:p w14:paraId="410CB522" w14:textId="77777777" w:rsidR="00B722DB" w:rsidRPr="00B722DB" w:rsidRDefault="00B722DB" w:rsidP="00B722DB">
      <w:pPr>
        <w:rPr>
          <w:rFonts w:ascii="Verdana" w:eastAsia="Calibri" w:hAnsi="Verdana" w:cs="Calibri"/>
          <w:b/>
          <w:caps/>
          <w:sz w:val="18"/>
          <w:szCs w:val="18"/>
        </w:rPr>
      </w:pPr>
      <w:r w:rsidRPr="00B722DB">
        <w:rPr>
          <w:rFonts w:ascii="Verdana" w:eastAsia="Calibri" w:hAnsi="Verdana" w:cs="Calibri"/>
          <w:b/>
          <w:caps/>
          <w:sz w:val="18"/>
          <w:szCs w:val="18"/>
        </w:rPr>
        <w:br w:type="page"/>
      </w:r>
    </w:p>
    <w:p w14:paraId="1F8DA601" w14:textId="77777777" w:rsidR="00B722DB" w:rsidRPr="00B722DB" w:rsidRDefault="00B722DB" w:rsidP="00B722DB">
      <w:pPr>
        <w:tabs>
          <w:tab w:val="left" w:pos="4007"/>
        </w:tabs>
        <w:autoSpaceDE w:val="0"/>
        <w:autoSpaceDN w:val="0"/>
        <w:adjustRightInd w:val="0"/>
        <w:spacing w:after="200" w:line="276" w:lineRule="auto"/>
        <w:jc w:val="center"/>
        <w:rPr>
          <w:rFonts w:ascii="Verdana" w:eastAsia="Calibri" w:hAnsi="Verdana" w:cs="Calibri"/>
          <w:b/>
          <w:caps/>
          <w:sz w:val="18"/>
          <w:szCs w:val="18"/>
        </w:rPr>
        <w:sectPr w:rsidR="00B722DB" w:rsidRPr="00B722DB" w:rsidSect="00E05928">
          <w:headerReference w:type="default" r:id="rId8"/>
          <w:footerReference w:type="default" r:id="rId9"/>
          <w:footerReference w:type="first" r:id="rId10"/>
          <w:pgSz w:w="11906" w:h="16838"/>
          <w:pgMar w:top="1440" w:right="1440" w:bottom="1440" w:left="1440" w:header="708" w:footer="708" w:gutter="0"/>
          <w:cols w:space="708"/>
          <w:titlePg/>
          <w:docGrid w:linePitch="360"/>
        </w:sectPr>
      </w:pPr>
    </w:p>
    <w:p w14:paraId="1826473D" w14:textId="77777777" w:rsidR="00B722DB" w:rsidRPr="00B722DB" w:rsidRDefault="00B722DB" w:rsidP="00B722DB">
      <w:pPr>
        <w:tabs>
          <w:tab w:val="left" w:pos="4007"/>
        </w:tabs>
        <w:autoSpaceDE w:val="0"/>
        <w:autoSpaceDN w:val="0"/>
        <w:adjustRightInd w:val="0"/>
        <w:spacing w:after="200" w:line="276" w:lineRule="auto"/>
        <w:jc w:val="center"/>
        <w:rPr>
          <w:rFonts w:ascii="Verdana" w:eastAsia="Calibri" w:hAnsi="Verdana" w:cs="Calibri"/>
          <w:caps/>
          <w:sz w:val="18"/>
          <w:szCs w:val="18"/>
        </w:rPr>
      </w:pPr>
      <w:r w:rsidRPr="00B722DB">
        <w:rPr>
          <w:rFonts w:ascii="Verdana" w:eastAsia="Calibri" w:hAnsi="Verdana" w:cs="Calibri"/>
          <w:caps/>
          <w:sz w:val="18"/>
          <w:szCs w:val="18"/>
        </w:rPr>
        <w:lastRenderedPageBreak/>
        <w:t>Table of Contents</w:t>
      </w:r>
    </w:p>
    <w:p w14:paraId="0F879E98" w14:textId="77777777" w:rsidR="00B722DB" w:rsidRPr="00B722DB" w:rsidRDefault="00B722DB" w:rsidP="00B722DB">
      <w:pPr>
        <w:autoSpaceDE w:val="0"/>
        <w:autoSpaceDN w:val="0"/>
        <w:adjustRightInd w:val="0"/>
        <w:spacing w:after="200" w:line="480" w:lineRule="auto"/>
        <w:jc w:val="both"/>
        <w:rPr>
          <w:rFonts w:ascii="Verdana" w:eastAsia="Calibri" w:hAnsi="Verdana" w:cs="Calibri"/>
          <w:caps/>
          <w:sz w:val="16"/>
          <w:szCs w:val="18"/>
        </w:rPr>
      </w:pPr>
    </w:p>
    <w:p w14:paraId="60DBDFDE" w14:textId="77777777" w:rsidR="00B722DB" w:rsidRPr="00B722DB" w:rsidRDefault="00B722DB" w:rsidP="00B722DB">
      <w:pPr>
        <w:tabs>
          <w:tab w:val="left" w:pos="440"/>
          <w:tab w:val="right" w:leader="dot" w:pos="9016"/>
        </w:tabs>
        <w:autoSpaceDE w:val="0"/>
        <w:autoSpaceDN w:val="0"/>
        <w:adjustRightInd w:val="0"/>
        <w:spacing w:before="120" w:after="120" w:line="480" w:lineRule="auto"/>
        <w:rPr>
          <w:rFonts w:ascii="Verdana" w:eastAsia="Times New Roman" w:hAnsi="Verdana" w:cs="Times New Roman"/>
          <w:noProof/>
          <w:sz w:val="18"/>
          <w:szCs w:val="18"/>
          <w:lang w:eastAsia="en-GB"/>
        </w:rPr>
      </w:pPr>
      <w:r w:rsidRPr="00B722DB">
        <w:rPr>
          <w:rFonts w:ascii="Verdana" w:eastAsia="Calibri" w:hAnsi="Verdana" w:cs="Calibri"/>
          <w:smallCaps/>
          <w:noProof/>
          <w:sz w:val="18"/>
          <w:szCs w:val="18"/>
          <w:u w:val="single"/>
        </w:rPr>
        <w:fldChar w:fldCharType="begin"/>
      </w:r>
      <w:r w:rsidRPr="00B722DB">
        <w:rPr>
          <w:rFonts w:ascii="Verdana" w:eastAsia="Calibri" w:hAnsi="Verdana" w:cs="Calibri"/>
          <w:b/>
          <w:bCs/>
          <w:smallCaps/>
          <w:noProof/>
          <w:sz w:val="18"/>
          <w:szCs w:val="18"/>
          <w:u w:val="single"/>
        </w:rPr>
        <w:instrText xml:space="preserve"> TOC \o "1-3" \u </w:instrText>
      </w:r>
      <w:r w:rsidRPr="00B722DB">
        <w:rPr>
          <w:rFonts w:ascii="Verdana" w:eastAsia="Calibri" w:hAnsi="Verdana" w:cs="Calibri"/>
          <w:smallCaps/>
          <w:noProof/>
          <w:sz w:val="18"/>
          <w:szCs w:val="18"/>
          <w:u w:val="single"/>
        </w:rPr>
        <w:fldChar w:fldCharType="separate"/>
      </w:r>
      <w:r w:rsidRPr="00B722DB">
        <w:rPr>
          <w:rFonts w:ascii="Verdana" w:eastAsia="Times New Roman" w:hAnsi="Verdana" w:cs="Arial"/>
          <w:bCs/>
          <w:caps/>
          <w:noProof/>
          <w:sz w:val="18"/>
          <w:szCs w:val="18"/>
        </w:rPr>
        <w:t>1.</w:t>
      </w:r>
      <w:r w:rsidRPr="00B722DB">
        <w:rPr>
          <w:rFonts w:ascii="Verdana" w:eastAsia="Times New Roman" w:hAnsi="Verdana" w:cs="Times New Roman"/>
          <w:noProof/>
          <w:sz w:val="18"/>
          <w:szCs w:val="18"/>
          <w:lang w:eastAsia="en-GB"/>
        </w:rPr>
        <w:tab/>
      </w:r>
      <w:r w:rsidRPr="00B722DB">
        <w:rPr>
          <w:rFonts w:ascii="Verdana" w:eastAsia="Times New Roman" w:hAnsi="Verdana" w:cs="Arial"/>
          <w:bCs/>
          <w:caps/>
          <w:noProof/>
          <w:sz w:val="18"/>
          <w:szCs w:val="18"/>
        </w:rPr>
        <w:t>eXECUTIVE sUMMARY</w:t>
      </w:r>
      <w:r w:rsidRPr="00B722DB">
        <w:rPr>
          <w:rFonts w:ascii="Verdana" w:eastAsia="Calibri" w:hAnsi="Verdana" w:cs="Calibri"/>
          <w:bCs/>
          <w:caps/>
          <w:noProof/>
          <w:sz w:val="18"/>
          <w:szCs w:val="18"/>
        </w:rPr>
        <w:t>………………………………………………………………………………………………………………….3</w:t>
      </w:r>
    </w:p>
    <w:p w14:paraId="6E283FC2" w14:textId="77777777" w:rsidR="00B722DB" w:rsidRPr="00B722DB" w:rsidRDefault="00B722DB" w:rsidP="00B722DB">
      <w:pPr>
        <w:tabs>
          <w:tab w:val="left" w:pos="440"/>
          <w:tab w:val="right" w:leader="dot" w:pos="9016"/>
        </w:tabs>
        <w:autoSpaceDE w:val="0"/>
        <w:autoSpaceDN w:val="0"/>
        <w:adjustRightInd w:val="0"/>
        <w:spacing w:before="120" w:after="120" w:line="480" w:lineRule="auto"/>
        <w:rPr>
          <w:rFonts w:ascii="Verdana" w:eastAsia="Calibri" w:hAnsi="Verdana" w:cs="Calibri"/>
          <w:bCs/>
          <w:caps/>
          <w:noProof/>
          <w:sz w:val="18"/>
          <w:szCs w:val="18"/>
        </w:rPr>
      </w:pPr>
      <w:r w:rsidRPr="00B722DB">
        <w:rPr>
          <w:rFonts w:ascii="Verdana" w:eastAsia="Times New Roman" w:hAnsi="Verdana" w:cs="Arial"/>
          <w:bCs/>
          <w:caps/>
          <w:noProof/>
          <w:sz w:val="18"/>
          <w:szCs w:val="18"/>
        </w:rPr>
        <w:t>2.</w:t>
      </w:r>
      <w:r w:rsidRPr="00B722DB">
        <w:rPr>
          <w:rFonts w:ascii="Verdana" w:eastAsia="Times New Roman" w:hAnsi="Verdana" w:cs="Times New Roman"/>
          <w:noProof/>
          <w:sz w:val="18"/>
          <w:szCs w:val="18"/>
          <w:lang w:eastAsia="en-GB"/>
        </w:rPr>
        <w:tab/>
      </w:r>
      <w:r w:rsidRPr="00B722DB">
        <w:rPr>
          <w:rFonts w:ascii="Verdana" w:eastAsia="Times New Roman" w:hAnsi="Verdana" w:cs="Arial"/>
          <w:bCs/>
          <w:caps/>
          <w:noProof/>
          <w:sz w:val="18"/>
          <w:szCs w:val="18"/>
        </w:rPr>
        <w:t>Introduction</w:t>
      </w:r>
      <w:r w:rsidRPr="00B722DB">
        <w:rPr>
          <w:rFonts w:ascii="Verdana" w:eastAsia="Calibri" w:hAnsi="Verdana" w:cs="Calibri"/>
          <w:bCs/>
          <w:caps/>
          <w:noProof/>
          <w:sz w:val="18"/>
          <w:szCs w:val="18"/>
        </w:rPr>
        <w:t>…………………………………………………………………………………………………………………………….4</w:t>
      </w:r>
    </w:p>
    <w:p w14:paraId="1922D5D6" w14:textId="77777777" w:rsidR="00B722DB" w:rsidRPr="00B722DB" w:rsidRDefault="00B722DB" w:rsidP="00B722DB">
      <w:pPr>
        <w:autoSpaceDE w:val="0"/>
        <w:autoSpaceDN w:val="0"/>
        <w:adjustRightInd w:val="0"/>
        <w:spacing w:after="200" w:line="276" w:lineRule="auto"/>
        <w:rPr>
          <w:rFonts w:ascii="Calibri" w:eastAsia="Calibri" w:hAnsi="Calibri" w:cs="Calibri"/>
        </w:rPr>
      </w:pPr>
      <w:r w:rsidRPr="00B722DB">
        <w:rPr>
          <w:rFonts w:ascii="Calibri" w:eastAsia="Calibri" w:hAnsi="Calibri" w:cs="Calibri"/>
        </w:rPr>
        <w:t xml:space="preserve">      2.1 Report Remit………………………………………………………………………………………………………………………….4</w:t>
      </w:r>
    </w:p>
    <w:p w14:paraId="68723CFE" w14:textId="77777777" w:rsidR="00B722DB" w:rsidRPr="00B722DB" w:rsidRDefault="00B722DB" w:rsidP="00B722DB">
      <w:pPr>
        <w:autoSpaceDE w:val="0"/>
        <w:autoSpaceDN w:val="0"/>
        <w:adjustRightInd w:val="0"/>
        <w:spacing w:after="200" w:line="276" w:lineRule="auto"/>
        <w:rPr>
          <w:rFonts w:ascii="Calibri" w:eastAsia="Times New Roman" w:hAnsi="Calibri" w:cs="Times New Roman"/>
          <w:smallCaps/>
          <w:noProof/>
          <w:lang w:eastAsia="en-GB"/>
        </w:rPr>
      </w:pPr>
      <w:r w:rsidRPr="00B722DB">
        <w:rPr>
          <w:rFonts w:ascii="Calibri" w:eastAsia="Times New Roman" w:hAnsi="Calibri" w:cs="Arial"/>
          <w:bCs/>
          <w:iCs/>
          <w:noProof/>
        </w:rPr>
        <w:t xml:space="preserve">       2.2</w:t>
      </w:r>
      <w:r w:rsidRPr="00B722DB">
        <w:rPr>
          <w:rFonts w:ascii="Calibri" w:eastAsia="Times New Roman" w:hAnsi="Calibri" w:cs="Times New Roman"/>
          <w:noProof/>
          <w:lang w:eastAsia="en-GB"/>
        </w:rPr>
        <w:tab/>
      </w:r>
      <w:r w:rsidRPr="00B722DB">
        <w:rPr>
          <w:rFonts w:ascii="Calibri" w:eastAsia="Times New Roman" w:hAnsi="Calibri" w:cs="Arial"/>
          <w:bCs/>
          <w:iCs/>
          <w:noProof/>
        </w:rPr>
        <w:t>What is Leasing…………………………………………………………………………………………………………………….4</w:t>
      </w:r>
    </w:p>
    <w:p w14:paraId="019ADCB4" w14:textId="77777777" w:rsidR="00B722DB" w:rsidRPr="00B722DB" w:rsidRDefault="00B722DB" w:rsidP="00B722DB">
      <w:pPr>
        <w:autoSpaceDE w:val="0"/>
        <w:autoSpaceDN w:val="0"/>
        <w:adjustRightInd w:val="0"/>
        <w:spacing w:after="200" w:line="276" w:lineRule="auto"/>
        <w:rPr>
          <w:rFonts w:ascii="Calibri" w:eastAsia="Calibri" w:hAnsi="Calibri" w:cs="Calibri"/>
          <w:noProof/>
        </w:rPr>
      </w:pPr>
      <w:r w:rsidRPr="00B722DB">
        <w:rPr>
          <w:rFonts w:ascii="Calibri" w:eastAsia="Times New Roman" w:hAnsi="Calibri" w:cs="Arial"/>
          <w:bCs/>
          <w:iCs/>
          <w:noProof/>
        </w:rPr>
        <w:t xml:space="preserve">       2.3</w:t>
      </w:r>
      <w:r w:rsidRPr="00B722DB">
        <w:rPr>
          <w:rFonts w:ascii="Calibri" w:eastAsia="Times New Roman" w:hAnsi="Calibri" w:cs="Times New Roman"/>
          <w:noProof/>
          <w:lang w:eastAsia="en-GB"/>
        </w:rPr>
        <w:tab/>
      </w:r>
      <w:r w:rsidRPr="00B722DB">
        <w:rPr>
          <w:rFonts w:ascii="Calibri" w:eastAsia="Times New Roman" w:hAnsi="Calibri" w:cs="Arial"/>
          <w:bCs/>
          <w:iCs/>
          <w:noProof/>
        </w:rPr>
        <w:t>Types of Leasing……………………………………………………………………………………………………………………4</w:t>
      </w:r>
    </w:p>
    <w:p w14:paraId="2D11A59B" w14:textId="77777777" w:rsidR="00B722DB" w:rsidRPr="00B722DB" w:rsidRDefault="00B722DB" w:rsidP="00B722DB">
      <w:pPr>
        <w:autoSpaceDE w:val="0"/>
        <w:autoSpaceDN w:val="0"/>
        <w:adjustRightInd w:val="0"/>
        <w:spacing w:after="200" w:line="276" w:lineRule="auto"/>
        <w:rPr>
          <w:rFonts w:ascii="Calibri" w:eastAsia="Calibri" w:hAnsi="Calibri" w:cs="Calibri"/>
        </w:rPr>
      </w:pPr>
      <w:r w:rsidRPr="00B722DB">
        <w:rPr>
          <w:rFonts w:ascii="Calibri" w:eastAsia="Calibri" w:hAnsi="Calibri" w:cs="Calibri"/>
        </w:rPr>
        <w:t>3.       FINANCIAL &amp; OPERATING LEASES……………………………………………………………………………………………5</w:t>
      </w:r>
    </w:p>
    <w:p w14:paraId="190AF857" w14:textId="77777777" w:rsidR="00B722DB" w:rsidRPr="00B722DB" w:rsidRDefault="00B722DB" w:rsidP="00B722DB">
      <w:pPr>
        <w:autoSpaceDE w:val="0"/>
        <w:autoSpaceDN w:val="0"/>
        <w:adjustRightInd w:val="0"/>
        <w:spacing w:after="200" w:line="276" w:lineRule="auto"/>
        <w:rPr>
          <w:rFonts w:ascii="Calibri" w:eastAsia="Calibri" w:hAnsi="Calibri" w:cs="Calibri"/>
        </w:rPr>
      </w:pPr>
      <w:r w:rsidRPr="00B722DB">
        <w:rPr>
          <w:rFonts w:ascii="Calibri" w:eastAsia="Calibri" w:hAnsi="Calibri" w:cs="Calibri"/>
        </w:rPr>
        <w:t xml:space="preserve">         3.1     Differences Between Financial &amp; Operating Leases……………………………….…………………………5</w:t>
      </w:r>
    </w:p>
    <w:p w14:paraId="54E5D617" w14:textId="77777777" w:rsidR="00B722DB" w:rsidRPr="00B722DB" w:rsidRDefault="00B722DB" w:rsidP="00B722DB">
      <w:pPr>
        <w:autoSpaceDE w:val="0"/>
        <w:autoSpaceDN w:val="0"/>
        <w:adjustRightInd w:val="0"/>
        <w:spacing w:after="200" w:line="276" w:lineRule="auto"/>
        <w:rPr>
          <w:rFonts w:ascii="Calibri" w:eastAsia="Calibri" w:hAnsi="Calibri" w:cs="Calibri"/>
        </w:rPr>
      </w:pPr>
      <w:r w:rsidRPr="00B722DB">
        <w:rPr>
          <w:rFonts w:ascii="Calibri" w:eastAsia="Calibri" w:hAnsi="Calibri" w:cs="Calibri"/>
        </w:rPr>
        <w:t xml:space="preserve">         3.2      How Leasing is Currently Accounted………………………………………………………………………………5</w:t>
      </w:r>
    </w:p>
    <w:p w14:paraId="1053268F" w14:textId="77777777" w:rsidR="00B722DB" w:rsidRPr="00B722DB" w:rsidRDefault="00B722DB" w:rsidP="00B722DB">
      <w:pPr>
        <w:autoSpaceDE w:val="0"/>
        <w:autoSpaceDN w:val="0"/>
        <w:adjustRightInd w:val="0"/>
        <w:spacing w:after="200" w:line="276" w:lineRule="auto"/>
        <w:rPr>
          <w:rFonts w:ascii="Calibri" w:eastAsia="Calibri" w:hAnsi="Calibri" w:cs="Calibri"/>
        </w:rPr>
      </w:pPr>
      <w:r w:rsidRPr="00B722DB">
        <w:rPr>
          <w:rFonts w:ascii="Calibri" w:eastAsia="Calibri" w:hAnsi="Calibri" w:cs="Calibri"/>
        </w:rPr>
        <w:t xml:space="preserve">          3.3     Changes in Accounting of Leasing…….……………………………………………………………………………6</w:t>
      </w:r>
    </w:p>
    <w:p w14:paraId="60FAF0D9" w14:textId="79CA432B" w:rsidR="00B722DB" w:rsidRPr="00B722DB" w:rsidRDefault="00B722DB" w:rsidP="00B722DB">
      <w:pPr>
        <w:pStyle w:val="NoSpacing"/>
        <w:rPr>
          <w:rFonts w:ascii="Calibri" w:eastAsia="Calibri" w:hAnsi="Calibri" w:cs="Calibri"/>
        </w:rPr>
      </w:pPr>
      <w:r w:rsidRPr="00B722DB">
        <w:rPr>
          <w:rFonts w:ascii="Calibri" w:eastAsia="Calibri" w:hAnsi="Calibri" w:cs="Calibri"/>
        </w:rPr>
        <w:t xml:space="preserve">4.      </w:t>
      </w:r>
      <w:r w:rsidRPr="00B722DB">
        <w:t>CONCLUSION……………………………………………………………………………………………………………………………7</w:t>
      </w:r>
    </w:p>
    <w:p w14:paraId="15F697D1" w14:textId="77777777" w:rsidR="00B722DB" w:rsidRPr="00B722DB" w:rsidRDefault="00B722DB" w:rsidP="00B722DB">
      <w:pPr>
        <w:tabs>
          <w:tab w:val="left" w:pos="440"/>
          <w:tab w:val="right" w:leader="dot" w:pos="9016"/>
        </w:tabs>
        <w:autoSpaceDE w:val="0"/>
        <w:autoSpaceDN w:val="0"/>
        <w:adjustRightInd w:val="0"/>
        <w:spacing w:before="120" w:after="120" w:line="480" w:lineRule="auto"/>
        <w:rPr>
          <w:rFonts w:ascii="Calibri" w:eastAsia="Times New Roman" w:hAnsi="Calibri" w:cs="Times New Roman"/>
          <w:noProof/>
          <w:lang w:eastAsia="en-GB"/>
        </w:rPr>
      </w:pPr>
      <w:r w:rsidRPr="00B722DB">
        <w:rPr>
          <w:rFonts w:ascii="Verdana" w:eastAsia="Times New Roman" w:hAnsi="Verdana" w:cs="Arial"/>
          <w:bCs/>
          <w:caps/>
          <w:noProof/>
          <w:sz w:val="18"/>
          <w:szCs w:val="18"/>
        </w:rPr>
        <w:t>5.</w:t>
      </w:r>
      <w:r w:rsidRPr="00B722DB">
        <w:rPr>
          <w:rFonts w:ascii="Verdana" w:eastAsia="Times New Roman" w:hAnsi="Verdana" w:cs="Times New Roman"/>
          <w:noProof/>
          <w:sz w:val="18"/>
          <w:szCs w:val="18"/>
          <w:lang w:eastAsia="en-GB"/>
        </w:rPr>
        <w:tab/>
      </w:r>
      <w:r w:rsidRPr="00B722DB">
        <w:rPr>
          <w:rFonts w:ascii="Verdana" w:eastAsia="Times New Roman" w:hAnsi="Verdana" w:cs="Arial"/>
          <w:bCs/>
          <w:caps/>
          <w:noProof/>
          <w:sz w:val="18"/>
          <w:szCs w:val="18"/>
        </w:rPr>
        <w:t>ReferenceS………………………………………………………………………………………………………………………………..8</w:t>
      </w:r>
    </w:p>
    <w:p w14:paraId="302ADE61" w14:textId="77777777" w:rsidR="00B722DB" w:rsidRPr="00B722DB" w:rsidRDefault="00B722DB" w:rsidP="00B722DB">
      <w:pPr>
        <w:tabs>
          <w:tab w:val="right" w:leader="dot" w:pos="9016"/>
        </w:tabs>
        <w:autoSpaceDE w:val="0"/>
        <w:autoSpaceDN w:val="0"/>
        <w:adjustRightInd w:val="0"/>
        <w:spacing w:after="0" w:line="480" w:lineRule="auto"/>
        <w:ind w:left="440" w:hanging="440"/>
        <w:rPr>
          <w:rFonts w:ascii="Verdana" w:eastAsia="Calibri" w:hAnsi="Verdana" w:cs="Calibri"/>
          <w:smallCaps/>
          <w:sz w:val="18"/>
          <w:szCs w:val="18"/>
        </w:rPr>
      </w:pPr>
      <w:r w:rsidRPr="00B722DB">
        <w:rPr>
          <w:rFonts w:ascii="Calibri" w:eastAsia="Calibri" w:hAnsi="Calibri" w:cs="Calibri"/>
          <w:bCs/>
          <w:caps/>
          <w:noProof/>
          <w:color w:val="0563C1"/>
          <w:sz w:val="20"/>
          <w:szCs w:val="18"/>
          <w:u w:val="single"/>
        </w:rPr>
        <w:fldChar w:fldCharType="end"/>
      </w:r>
    </w:p>
    <w:p w14:paraId="77A20494" w14:textId="77777777" w:rsidR="00B722DB" w:rsidRPr="00B722DB" w:rsidRDefault="00B722DB" w:rsidP="00B722DB">
      <w:pPr>
        <w:rPr>
          <w:rFonts w:ascii="Verdana" w:eastAsia="Calibri" w:hAnsi="Verdana" w:cs="Calibri"/>
          <w:b/>
          <w:caps/>
          <w:sz w:val="16"/>
          <w:szCs w:val="18"/>
        </w:rPr>
      </w:pPr>
      <w:r w:rsidRPr="00B722DB">
        <w:rPr>
          <w:rFonts w:ascii="Verdana" w:eastAsia="Calibri" w:hAnsi="Verdana" w:cs="Calibri"/>
          <w:b/>
          <w:caps/>
          <w:sz w:val="16"/>
          <w:szCs w:val="18"/>
        </w:rPr>
        <w:br w:type="page"/>
      </w:r>
    </w:p>
    <w:p w14:paraId="1D969DB3" w14:textId="77777777" w:rsidR="00B722DB" w:rsidRPr="00B722DB" w:rsidRDefault="00B722DB" w:rsidP="00B722DB">
      <w:pPr>
        <w:keepNext/>
        <w:numPr>
          <w:ilvl w:val="0"/>
          <w:numId w:val="1"/>
        </w:numPr>
        <w:tabs>
          <w:tab w:val="num" w:pos="0"/>
          <w:tab w:val="num" w:pos="851"/>
        </w:tabs>
        <w:autoSpaceDE w:val="0"/>
        <w:autoSpaceDN w:val="0"/>
        <w:adjustRightInd w:val="0"/>
        <w:spacing w:after="0" w:line="480" w:lineRule="auto"/>
        <w:ind w:left="851" w:hanging="851"/>
        <w:outlineLvl w:val="0"/>
        <w:rPr>
          <w:rFonts w:ascii="Verdana" w:eastAsia="Times New Roman" w:hAnsi="Verdana" w:cs="Arial"/>
          <w:b/>
          <w:bCs/>
          <w:caps/>
          <w:sz w:val="18"/>
          <w:szCs w:val="20"/>
        </w:rPr>
        <w:sectPr w:rsidR="00B722DB" w:rsidRPr="00B722DB" w:rsidSect="00E05928">
          <w:footerReference w:type="first" r:id="rId11"/>
          <w:pgSz w:w="11906" w:h="16838"/>
          <w:pgMar w:top="1440" w:right="1440" w:bottom="1440" w:left="1440" w:header="708" w:footer="708" w:gutter="0"/>
          <w:cols w:space="708"/>
          <w:titlePg/>
          <w:docGrid w:linePitch="360"/>
        </w:sectPr>
      </w:pPr>
      <w:bookmarkStart w:id="0" w:name="_Toc419303684"/>
    </w:p>
    <w:p w14:paraId="362CA04A" w14:textId="77777777" w:rsidR="00B722DB" w:rsidRPr="00B722DB" w:rsidRDefault="00B722DB" w:rsidP="00B722DB">
      <w:pPr>
        <w:keepNext/>
        <w:numPr>
          <w:ilvl w:val="0"/>
          <w:numId w:val="1"/>
        </w:numPr>
        <w:tabs>
          <w:tab w:val="num" w:pos="0"/>
          <w:tab w:val="num" w:pos="851"/>
        </w:tabs>
        <w:autoSpaceDE w:val="0"/>
        <w:autoSpaceDN w:val="0"/>
        <w:adjustRightInd w:val="0"/>
        <w:spacing w:after="0" w:line="480" w:lineRule="auto"/>
        <w:ind w:left="851" w:hanging="851"/>
        <w:outlineLvl w:val="0"/>
        <w:rPr>
          <w:rFonts w:ascii="Verdana" w:eastAsia="Times New Roman" w:hAnsi="Verdana" w:cs="Arial"/>
          <w:b/>
          <w:bCs/>
          <w:caps/>
          <w:sz w:val="18"/>
          <w:szCs w:val="20"/>
        </w:rPr>
      </w:pPr>
      <w:bookmarkStart w:id="1" w:name="_Toc496043657"/>
      <w:r w:rsidRPr="00B722DB">
        <w:rPr>
          <w:rFonts w:ascii="Verdana" w:eastAsia="Times New Roman" w:hAnsi="Verdana" w:cs="Arial"/>
          <w:b/>
          <w:bCs/>
          <w:caps/>
          <w:sz w:val="18"/>
          <w:szCs w:val="20"/>
        </w:rPr>
        <w:lastRenderedPageBreak/>
        <w:t>eXECUTIVE sUMMARY</w:t>
      </w:r>
      <w:bookmarkEnd w:id="1"/>
    </w:p>
    <w:p w14:paraId="690DFC90" w14:textId="77777777" w:rsidR="00B722DB" w:rsidRPr="00B722DB" w:rsidRDefault="00B722DB" w:rsidP="00B722DB">
      <w:pPr>
        <w:autoSpaceDE w:val="0"/>
        <w:autoSpaceDN w:val="0"/>
        <w:adjustRightInd w:val="0"/>
        <w:spacing w:after="0" w:line="480" w:lineRule="auto"/>
        <w:ind w:left="851"/>
        <w:jc w:val="both"/>
        <w:rPr>
          <w:rFonts w:ascii="Verdana" w:eastAsia="Times New Roman" w:hAnsi="Verdana" w:cs="Times New Roman"/>
          <w:sz w:val="18"/>
          <w:szCs w:val="24"/>
        </w:rPr>
      </w:pPr>
    </w:p>
    <w:p w14:paraId="589F1DAB"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6B41FE89" w14:textId="76B89BC7" w:rsidR="00B722DB" w:rsidRPr="00B722DB" w:rsidRDefault="00B722DB" w:rsidP="00B722DB">
      <w:pPr>
        <w:autoSpaceDE w:val="0"/>
        <w:autoSpaceDN w:val="0"/>
        <w:adjustRightInd w:val="0"/>
        <w:spacing w:after="200" w:line="276" w:lineRule="auto"/>
        <w:rPr>
          <w:rFonts w:ascii="Calibri" w:eastAsia="Calibri" w:hAnsi="Calibri" w:cs="Calibri"/>
        </w:rPr>
      </w:pPr>
      <w:r w:rsidRPr="00B722DB">
        <w:rPr>
          <w:rFonts w:ascii="Calibri" w:eastAsia="Calibri" w:hAnsi="Calibri" w:cs="Calibri"/>
        </w:rPr>
        <w:t xml:space="preserve">There are many variants of leases, with </w:t>
      </w:r>
      <w:proofErr w:type="gramStart"/>
      <w:r w:rsidRPr="00B722DB">
        <w:rPr>
          <w:rFonts w:ascii="Calibri" w:eastAsia="Calibri" w:hAnsi="Calibri" w:cs="Calibri"/>
        </w:rPr>
        <w:t>the majority of</w:t>
      </w:r>
      <w:proofErr w:type="gramEnd"/>
      <w:r w:rsidRPr="00B722DB">
        <w:rPr>
          <w:rFonts w:ascii="Calibri" w:eastAsia="Calibri" w:hAnsi="Calibri" w:cs="Calibri"/>
        </w:rPr>
        <w:t xml:space="preserve"> them coming under two broader types, known as operating and financial leases. An operating lease is one that allows the lessee use of the asset, however, it does not convey ownership. Financial leases however </w:t>
      </w:r>
      <w:r w:rsidR="00915BB6">
        <w:rPr>
          <w:rFonts w:ascii="Calibri" w:eastAsia="Calibri" w:hAnsi="Calibri" w:cs="Calibri"/>
        </w:rPr>
        <w:t xml:space="preserve">are </w:t>
      </w:r>
      <w:r w:rsidRPr="00B722DB">
        <w:rPr>
          <w:rFonts w:ascii="Calibri" w:eastAsia="Calibri" w:hAnsi="Calibri" w:cs="Calibri"/>
        </w:rPr>
        <w:t xml:space="preserve">where the lessee also has a share in the risk and reward of the asset. There are soon to be changes concerning how they are accounted for however, specifically </w:t>
      </w:r>
      <w:proofErr w:type="gramStart"/>
      <w:r w:rsidRPr="00B722DB">
        <w:rPr>
          <w:rFonts w:ascii="Calibri" w:eastAsia="Calibri" w:hAnsi="Calibri" w:cs="Calibri"/>
        </w:rPr>
        <w:t>with regard to</w:t>
      </w:r>
      <w:proofErr w:type="gramEnd"/>
      <w:r w:rsidRPr="00B722DB">
        <w:rPr>
          <w:rFonts w:ascii="Calibri" w:eastAsia="Calibri" w:hAnsi="Calibri" w:cs="Calibri"/>
        </w:rPr>
        <w:t xml:space="preserve"> operating leases. While the current method has its benefits it also comes with a huge flaw due to t</w:t>
      </w:r>
      <w:bookmarkStart w:id="2" w:name="_GoBack"/>
      <w:bookmarkEnd w:id="2"/>
      <w:r w:rsidRPr="00B722DB">
        <w:rPr>
          <w:rFonts w:ascii="Calibri" w:eastAsia="Calibri" w:hAnsi="Calibri" w:cs="Calibri"/>
        </w:rPr>
        <w:t>he methods contradiction with the concept of substance over form. Substance over form is a concept in which businesses ensure nothing of the transaction is hidden and its true intent visible to all.</w:t>
      </w:r>
    </w:p>
    <w:p w14:paraId="5DCED0AB" w14:textId="4B295425" w:rsidR="00B722DB" w:rsidRPr="00B722DB" w:rsidRDefault="00B722DB" w:rsidP="00B722DB">
      <w:pPr>
        <w:autoSpaceDE w:val="0"/>
        <w:autoSpaceDN w:val="0"/>
        <w:adjustRightInd w:val="0"/>
        <w:spacing w:after="200" w:line="276" w:lineRule="auto"/>
        <w:rPr>
          <w:rFonts w:ascii="Calibri" w:eastAsia="Calibri" w:hAnsi="Calibri" w:cs="Calibri"/>
        </w:rPr>
      </w:pPr>
      <w:r w:rsidRPr="00B722DB">
        <w:rPr>
          <w:rFonts w:ascii="Calibri" w:eastAsia="Calibri" w:hAnsi="Calibri" w:cs="Calibri"/>
        </w:rPr>
        <w:t>As it currently stands, operating leases are not accounted for within the business’ accounts, while financial leases are</w:t>
      </w:r>
      <w:r w:rsidR="00915BB6">
        <w:rPr>
          <w:rFonts w:ascii="Calibri" w:eastAsia="Calibri" w:hAnsi="Calibri" w:cs="Calibri"/>
        </w:rPr>
        <w:t>.</w:t>
      </w:r>
      <w:r w:rsidRPr="00B722DB">
        <w:rPr>
          <w:rFonts w:ascii="Calibri" w:eastAsia="Calibri" w:hAnsi="Calibri" w:cs="Calibri"/>
        </w:rPr>
        <w:t xml:space="preserve"> </w:t>
      </w:r>
      <w:r w:rsidR="00915BB6">
        <w:rPr>
          <w:rFonts w:ascii="Calibri" w:eastAsia="Calibri" w:hAnsi="Calibri" w:cs="Calibri"/>
        </w:rPr>
        <w:t>T</w:t>
      </w:r>
      <w:r w:rsidRPr="00B722DB">
        <w:rPr>
          <w:rFonts w:ascii="Calibri" w:eastAsia="Calibri" w:hAnsi="Calibri" w:cs="Calibri"/>
        </w:rPr>
        <w:t>his leads to a flaw that makes the business’ accounts seem better to the eyes of potential investors and other interested parties due to the leases</w:t>
      </w:r>
      <w:r w:rsidR="00F27541">
        <w:rPr>
          <w:rFonts w:ascii="Calibri" w:eastAsia="Calibri" w:hAnsi="Calibri" w:cs="Calibri"/>
        </w:rPr>
        <w:t xml:space="preserve"> liabilities</w:t>
      </w:r>
      <w:r w:rsidRPr="00B722DB">
        <w:rPr>
          <w:rFonts w:ascii="Calibri" w:eastAsia="Calibri" w:hAnsi="Calibri" w:cs="Calibri"/>
        </w:rPr>
        <w:t xml:space="preserve"> not appearing in the accounts. The changes that are coming into </w:t>
      </w:r>
      <w:r w:rsidR="00B56460">
        <w:rPr>
          <w:rFonts w:ascii="Calibri" w:eastAsia="Calibri" w:hAnsi="Calibri" w:cs="Calibri"/>
        </w:rPr>
        <w:t>force</w:t>
      </w:r>
      <w:r w:rsidRPr="00B722DB">
        <w:rPr>
          <w:rFonts w:ascii="Calibri" w:eastAsia="Calibri" w:hAnsi="Calibri" w:cs="Calibri"/>
        </w:rPr>
        <w:t xml:space="preserve"> aim to resolve this, by ensuring all leases are accounted </w:t>
      </w:r>
      <w:r w:rsidR="00915BB6">
        <w:rPr>
          <w:rFonts w:ascii="Calibri" w:eastAsia="Calibri" w:hAnsi="Calibri" w:cs="Calibri"/>
        </w:rPr>
        <w:t xml:space="preserve">for </w:t>
      </w:r>
      <w:r w:rsidRPr="00B722DB">
        <w:rPr>
          <w:rFonts w:ascii="Calibri" w:eastAsia="Calibri" w:hAnsi="Calibri" w:cs="Calibri"/>
        </w:rPr>
        <w:t>in the same way, improving the reliability of all business accounts</w:t>
      </w:r>
      <w:r w:rsidR="00915BB6">
        <w:rPr>
          <w:rFonts w:ascii="Calibri" w:eastAsia="Calibri" w:hAnsi="Calibri" w:cs="Calibri"/>
        </w:rPr>
        <w:t>.</w:t>
      </w:r>
      <w:r w:rsidRPr="00B722DB">
        <w:rPr>
          <w:rFonts w:ascii="Calibri" w:eastAsia="Calibri" w:hAnsi="Calibri" w:cs="Calibri"/>
        </w:rPr>
        <w:t xml:space="preserve"> </w:t>
      </w:r>
      <w:r w:rsidR="00915BB6">
        <w:rPr>
          <w:rFonts w:ascii="Calibri" w:eastAsia="Calibri" w:hAnsi="Calibri" w:cs="Calibri"/>
        </w:rPr>
        <w:t xml:space="preserve"> This will also ensure that </w:t>
      </w:r>
      <w:r w:rsidRPr="00B722DB">
        <w:rPr>
          <w:rFonts w:ascii="Calibri" w:eastAsia="Calibri" w:hAnsi="Calibri" w:cs="Calibri"/>
        </w:rPr>
        <w:t>the lessee</w:t>
      </w:r>
      <w:r w:rsidR="00915BB6">
        <w:rPr>
          <w:rFonts w:ascii="Calibri" w:eastAsia="Calibri" w:hAnsi="Calibri" w:cs="Calibri"/>
        </w:rPr>
        <w:t xml:space="preserve"> is</w:t>
      </w:r>
      <w:r w:rsidRPr="00B722DB">
        <w:rPr>
          <w:rFonts w:ascii="Calibri" w:eastAsia="Calibri" w:hAnsi="Calibri" w:cs="Calibri"/>
        </w:rPr>
        <w:t xml:space="preserve"> aware of the benefits and liabilities such as the requirement to ensure they make payments on the lease. Issues may still arise in future, but further improvements should come as </w:t>
      </w:r>
      <w:r w:rsidR="00915BB6">
        <w:rPr>
          <w:rFonts w:ascii="Calibri" w:eastAsia="Calibri" w:hAnsi="Calibri" w:cs="Calibri"/>
        </w:rPr>
        <w:t xml:space="preserve">such legislation is </w:t>
      </w:r>
      <w:r w:rsidRPr="00B722DB">
        <w:rPr>
          <w:rFonts w:ascii="Calibri" w:eastAsia="Calibri" w:hAnsi="Calibri" w:cs="Calibri"/>
        </w:rPr>
        <w:t>ever changing.</w:t>
      </w:r>
    </w:p>
    <w:p w14:paraId="6228168C"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36F5DE50"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115E7AA8"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70943F78"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0253C087"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620DBE1A"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4442DB17"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53DBE48F"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35DC2EAC"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5AF74577"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5B30BCEC"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77CC89A4"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7CC94598"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049045B0" w14:textId="77777777" w:rsidR="00B722DB" w:rsidRPr="00B722DB" w:rsidRDefault="00B722DB" w:rsidP="00B722DB">
      <w:pPr>
        <w:autoSpaceDE w:val="0"/>
        <w:autoSpaceDN w:val="0"/>
        <w:adjustRightInd w:val="0"/>
        <w:spacing w:after="200" w:line="276" w:lineRule="auto"/>
        <w:rPr>
          <w:rFonts w:ascii="Calibri" w:eastAsia="Calibri" w:hAnsi="Calibri" w:cs="Calibri"/>
        </w:rPr>
      </w:pPr>
    </w:p>
    <w:p w14:paraId="2DCE2683" w14:textId="77777777" w:rsidR="00B722DB" w:rsidRPr="00B722DB" w:rsidRDefault="00B722DB" w:rsidP="00B722DB">
      <w:pPr>
        <w:keepNext/>
        <w:numPr>
          <w:ilvl w:val="0"/>
          <w:numId w:val="1"/>
        </w:numPr>
        <w:tabs>
          <w:tab w:val="num" w:pos="0"/>
          <w:tab w:val="num" w:pos="851"/>
        </w:tabs>
        <w:autoSpaceDE w:val="0"/>
        <w:autoSpaceDN w:val="0"/>
        <w:adjustRightInd w:val="0"/>
        <w:spacing w:after="0" w:line="480" w:lineRule="auto"/>
        <w:ind w:left="851" w:hanging="851"/>
        <w:outlineLvl w:val="0"/>
        <w:rPr>
          <w:rFonts w:ascii="Verdana" w:eastAsia="Times New Roman" w:hAnsi="Verdana" w:cs="Arial"/>
          <w:bCs/>
          <w:caps/>
          <w:sz w:val="18"/>
          <w:szCs w:val="20"/>
        </w:rPr>
      </w:pPr>
      <w:bookmarkStart w:id="3" w:name="_Toc496043658"/>
      <w:r w:rsidRPr="00B722DB">
        <w:rPr>
          <w:rFonts w:ascii="Verdana" w:eastAsia="Times New Roman" w:hAnsi="Verdana" w:cs="Arial"/>
          <w:bCs/>
          <w:caps/>
          <w:sz w:val="18"/>
          <w:szCs w:val="20"/>
        </w:rPr>
        <w:lastRenderedPageBreak/>
        <w:t>Introduction</w:t>
      </w:r>
      <w:bookmarkEnd w:id="0"/>
      <w:bookmarkEnd w:id="3"/>
    </w:p>
    <w:p w14:paraId="58A8448F" w14:textId="77777777" w:rsidR="00B722DB" w:rsidRPr="00B722DB" w:rsidRDefault="00B722DB" w:rsidP="00B722DB">
      <w:pPr>
        <w:autoSpaceDE w:val="0"/>
        <w:autoSpaceDN w:val="0"/>
        <w:adjustRightInd w:val="0"/>
        <w:spacing w:after="0" w:line="480" w:lineRule="auto"/>
        <w:jc w:val="both"/>
        <w:rPr>
          <w:rFonts w:ascii="Verdana" w:eastAsia="Times New Roman" w:hAnsi="Verdana" w:cs="Times New Roman"/>
          <w:sz w:val="18"/>
          <w:szCs w:val="24"/>
        </w:rPr>
      </w:pPr>
    </w:p>
    <w:p w14:paraId="4A5AFB0A" w14:textId="77777777" w:rsidR="00B722DB" w:rsidRPr="00B722DB" w:rsidRDefault="00B722DB" w:rsidP="00B722DB">
      <w:pPr>
        <w:keepNext/>
        <w:numPr>
          <w:ilvl w:val="1"/>
          <w:numId w:val="1"/>
        </w:numPr>
        <w:tabs>
          <w:tab w:val="num" w:pos="0"/>
          <w:tab w:val="left" w:pos="851"/>
        </w:tabs>
        <w:autoSpaceDE w:val="0"/>
        <w:autoSpaceDN w:val="0"/>
        <w:adjustRightInd w:val="0"/>
        <w:spacing w:after="0" w:line="480" w:lineRule="auto"/>
        <w:outlineLvl w:val="1"/>
        <w:rPr>
          <w:rFonts w:ascii="Verdana" w:eastAsia="Times New Roman" w:hAnsi="Verdana" w:cs="Arial"/>
          <w:bCs/>
          <w:iCs/>
          <w:caps/>
          <w:sz w:val="18"/>
          <w:szCs w:val="28"/>
        </w:rPr>
      </w:pPr>
      <w:r w:rsidRPr="00B722DB">
        <w:rPr>
          <w:rFonts w:ascii="Verdana" w:eastAsia="Times New Roman" w:hAnsi="Verdana" w:cs="Arial"/>
          <w:bCs/>
          <w:iCs/>
          <w:caps/>
          <w:sz w:val="18"/>
          <w:szCs w:val="28"/>
        </w:rPr>
        <w:t>Report Remit</w:t>
      </w:r>
    </w:p>
    <w:p w14:paraId="1F5D875A" w14:textId="300DF706" w:rsidR="00B722DB" w:rsidRPr="00B722DB" w:rsidRDefault="00B722DB" w:rsidP="00B722DB">
      <w:pPr>
        <w:autoSpaceDE w:val="0"/>
        <w:autoSpaceDN w:val="0"/>
        <w:adjustRightInd w:val="0"/>
        <w:spacing w:after="200" w:line="276" w:lineRule="auto"/>
        <w:ind w:left="720"/>
        <w:rPr>
          <w:rFonts w:ascii="Calibri" w:eastAsia="Calibri" w:hAnsi="Calibri" w:cs="Calibri"/>
        </w:rPr>
      </w:pPr>
      <w:r w:rsidRPr="00B722DB">
        <w:rPr>
          <w:rFonts w:ascii="Calibri" w:eastAsia="Calibri" w:hAnsi="Calibri" w:cs="Calibri"/>
        </w:rPr>
        <w:t xml:space="preserve">There are various types of leases, each of which are accounted for in different ways, however these anomalies will soon be changing with an update to the existing legislation. </w:t>
      </w:r>
      <w:proofErr w:type="gramStart"/>
      <w:r w:rsidRPr="00B722DB">
        <w:rPr>
          <w:rFonts w:ascii="Calibri" w:eastAsia="Calibri" w:hAnsi="Calibri" w:cs="Calibri"/>
        </w:rPr>
        <w:t>During the course of</w:t>
      </w:r>
      <w:proofErr w:type="gramEnd"/>
      <w:r w:rsidRPr="00B722DB">
        <w:rPr>
          <w:rFonts w:ascii="Calibri" w:eastAsia="Calibri" w:hAnsi="Calibri" w:cs="Calibri"/>
        </w:rPr>
        <w:t xml:space="preserve"> this essay, the way they are currently accounted for, the benefits and current flaws of the methods of</w:t>
      </w:r>
      <w:r w:rsidR="00B56460">
        <w:rPr>
          <w:rFonts w:ascii="Calibri" w:eastAsia="Calibri" w:hAnsi="Calibri" w:cs="Calibri"/>
        </w:rPr>
        <w:t xml:space="preserve"> </w:t>
      </w:r>
      <w:r w:rsidR="00915BB6">
        <w:rPr>
          <w:rFonts w:ascii="Calibri" w:eastAsia="Calibri" w:hAnsi="Calibri" w:cs="Calibri"/>
        </w:rPr>
        <w:t>current methodology</w:t>
      </w:r>
      <w:r w:rsidRPr="00B722DB">
        <w:rPr>
          <w:rFonts w:ascii="Calibri" w:eastAsia="Calibri" w:hAnsi="Calibri" w:cs="Calibri"/>
        </w:rPr>
        <w:t>, the conflicting nature regarding current legislation, as well as how this is being addressed in the upcoming changes, will be discussed.</w:t>
      </w:r>
    </w:p>
    <w:p w14:paraId="621E3D91" w14:textId="77777777" w:rsidR="00B722DB" w:rsidRPr="00B722DB" w:rsidRDefault="00B722DB" w:rsidP="00B722DB">
      <w:pPr>
        <w:autoSpaceDE w:val="0"/>
        <w:autoSpaceDN w:val="0"/>
        <w:adjustRightInd w:val="0"/>
        <w:spacing w:after="0" w:line="480" w:lineRule="auto"/>
        <w:ind w:left="851"/>
        <w:jc w:val="both"/>
        <w:rPr>
          <w:rFonts w:ascii="Verdana" w:eastAsia="Times New Roman" w:hAnsi="Verdana" w:cs="Times New Roman"/>
          <w:sz w:val="18"/>
          <w:szCs w:val="24"/>
        </w:rPr>
      </w:pPr>
    </w:p>
    <w:p w14:paraId="3D2CD485" w14:textId="77777777" w:rsidR="00B722DB" w:rsidRPr="00B722DB" w:rsidRDefault="00B722DB" w:rsidP="00B722DB">
      <w:pPr>
        <w:keepNext/>
        <w:numPr>
          <w:ilvl w:val="1"/>
          <w:numId w:val="1"/>
        </w:numPr>
        <w:tabs>
          <w:tab w:val="num" w:pos="0"/>
          <w:tab w:val="left" w:pos="851"/>
        </w:tabs>
        <w:autoSpaceDE w:val="0"/>
        <w:autoSpaceDN w:val="0"/>
        <w:adjustRightInd w:val="0"/>
        <w:spacing w:after="0" w:line="480" w:lineRule="auto"/>
        <w:outlineLvl w:val="1"/>
        <w:rPr>
          <w:rFonts w:ascii="Verdana" w:eastAsia="Times New Roman" w:hAnsi="Verdana" w:cs="Arial"/>
          <w:bCs/>
          <w:iCs/>
          <w:caps/>
          <w:sz w:val="18"/>
          <w:szCs w:val="28"/>
        </w:rPr>
      </w:pPr>
      <w:r w:rsidRPr="00B722DB">
        <w:rPr>
          <w:rFonts w:ascii="Verdana" w:eastAsia="Times New Roman" w:hAnsi="Verdana" w:cs="Arial"/>
          <w:bCs/>
          <w:iCs/>
          <w:caps/>
          <w:sz w:val="18"/>
          <w:szCs w:val="28"/>
        </w:rPr>
        <w:t>What is Leasing?</w:t>
      </w:r>
    </w:p>
    <w:p w14:paraId="7BE1BAEB" w14:textId="01DBF80D" w:rsidR="00B722DB" w:rsidRPr="00B722DB" w:rsidRDefault="00B722DB" w:rsidP="00B722DB">
      <w:pPr>
        <w:autoSpaceDE w:val="0"/>
        <w:autoSpaceDN w:val="0"/>
        <w:adjustRightInd w:val="0"/>
        <w:spacing w:after="200" w:line="276" w:lineRule="auto"/>
        <w:ind w:left="720"/>
        <w:rPr>
          <w:rFonts w:ascii="Calibri" w:eastAsia="Calibri" w:hAnsi="Calibri" w:cs="Calibri"/>
        </w:rPr>
      </w:pPr>
      <w:r w:rsidRPr="00B722DB">
        <w:rPr>
          <w:rFonts w:ascii="Calibri" w:eastAsia="Calibri" w:hAnsi="Calibri" w:cs="Calibri"/>
        </w:rPr>
        <w:t>Cambridge dictionary (Cambridge Dictionary, 2018), defines leasing as where a person or a company, known as the lessee, pay</w:t>
      </w:r>
      <w:r w:rsidR="00915BB6">
        <w:rPr>
          <w:rFonts w:ascii="Calibri" w:eastAsia="Calibri" w:hAnsi="Calibri" w:cs="Calibri"/>
        </w:rPr>
        <w:t>s</w:t>
      </w:r>
      <w:r w:rsidRPr="00B722DB">
        <w:rPr>
          <w:rFonts w:ascii="Calibri" w:eastAsia="Calibri" w:hAnsi="Calibri" w:cs="Calibri"/>
        </w:rPr>
        <w:t xml:space="preserve"> for the use of various property such as land, vehicles or machinery for a specified </w:t>
      </w:r>
      <w:proofErr w:type="gramStart"/>
      <w:r w:rsidRPr="00B722DB">
        <w:rPr>
          <w:rFonts w:ascii="Calibri" w:eastAsia="Calibri" w:hAnsi="Calibri" w:cs="Calibri"/>
        </w:rPr>
        <w:t>period of time</w:t>
      </w:r>
      <w:proofErr w:type="gramEnd"/>
      <w:r w:rsidRPr="00B722DB">
        <w:rPr>
          <w:rFonts w:ascii="Calibri" w:eastAsia="Calibri" w:hAnsi="Calibri" w:cs="Calibri"/>
        </w:rPr>
        <w:t xml:space="preserve">, however extensions can be discussed between both parties, from another person or business, known as the lessor.  It is the obligation of the lessee to ensure that payments on the lease are made and ensure they inform the lessor of their decision as to </w:t>
      </w:r>
      <w:proofErr w:type="gramStart"/>
      <w:r w:rsidRPr="00B722DB">
        <w:rPr>
          <w:rFonts w:ascii="Calibri" w:eastAsia="Calibri" w:hAnsi="Calibri" w:cs="Calibri"/>
        </w:rPr>
        <w:t>whether or not</w:t>
      </w:r>
      <w:proofErr w:type="gramEnd"/>
      <w:r w:rsidRPr="00B722DB">
        <w:rPr>
          <w:rFonts w:ascii="Calibri" w:eastAsia="Calibri" w:hAnsi="Calibri" w:cs="Calibri"/>
        </w:rPr>
        <w:t xml:space="preserve"> </w:t>
      </w:r>
      <w:r w:rsidR="00915BB6">
        <w:rPr>
          <w:rFonts w:ascii="Calibri" w:eastAsia="Calibri" w:hAnsi="Calibri" w:cs="Calibri"/>
        </w:rPr>
        <w:t xml:space="preserve">they wish </w:t>
      </w:r>
      <w:r w:rsidRPr="00B722DB">
        <w:rPr>
          <w:rFonts w:ascii="Calibri" w:eastAsia="Calibri" w:hAnsi="Calibri" w:cs="Calibri"/>
        </w:rPr>
        <w:t xml:space="preserve">to attempt to acquire ownership </w:t>
      </w:r>
      <w:r w:rsidR="00915BB6">
        <w:rPr>
          <w:rFonts w:ascii="Calibri" w:eastAsia="Calibri" w:hAnsi="Calibri" w:cs="Calibri"/>
        </w:rPr>
        <w:t>at</w:t>
      </w:r>
      <w:r w:rsidRPr="00B722DB">
        <w:rPr>
          <w:rFonts w:ascii="Calibri" w:eastAsia="Calibri" w:hAnsi="Calibri" w:cs="Calibri"/>
        </w:rPr>
        <w:t xml:space="preserve"> the end of the lease. On the other side it is the obligation of the lessor to ensure that whatever is being leased is within the condition it was promised during the negotiations of the lease.</w:t>
      </w:r>
    </w:p>
    <w:p w14:paraId="1DCCC9F3" w14:textId="77777777" w:rsidR="00B722DB" w:rsidRPr="00B722DB" w:rsidRDefault="00B722DB" w:rsidP="00B722DB">
      <w:pPr>
        <w:autoSpaceDE w:val="0"/>
        <w:autoSpaceDN w:val="0"/>
        <w:adjustRightInd w:val="0"/>
        <w:spacing w:after="0" w:line="480" w:lineRule="auto"/>
        <w:ind w:left="851"/>
        <w:jc w:val="both"/>
        <w:rPr>
          <w:rFonts w:ascii="Verdana" w:eastAsia="Times New Roman" w:hAnsi="Verdana" w:cs="Times New Roman"/>
          <w:sz w:val="18"/>
          <w:szCs w:val="24"/>
        </w:rPr>
      </w:pPr>
    </w:p>
    <w:p w14:paraId="546C3D6D" w14:textId="77777777" w:rsidR="00B722DB" w:rsidRPr="00B722DB" w:rsidRDefault="00B722DB" w:rsidP="00B722DB">
      <w:pPr>
        <w:keepNext/>
        <w:numPr>
          <w:ilvl w:val="1"/>
          <w:numId w:val="1"/>
        </w:numPr>
        <w:tabs>
          <w:tab w:val="num" w:pos="0"/>
          <w:tab w:val="left" w:pos="851"/>
        </w:tabs>
        <w:autoSpaceDE w:val="0"/>
        <w:autoSpaceDN w:val="0"/>
        <w:adjustRightInd w:val="0"/>
        <w:spacing w:after="0" w:line="480" w:lineRule="auto"/>
        <w:outlineLvl w:val="1"/>
        <w:rPr>
          <w:rFonts w:ascii="Verdana" w:eastAsia="Times New Roman" w:hAnsi="Verdana" w:cs="Arial"/>
          <w:bCs/>
          <w:iCs/>
          <w:caps/>
          <w:sz w:val="18"/>
          <w:szCs w:val="28"/>
        </w:rPr>
      </w:pPr>
      <w:r w:rsidRPr="00B722DB">
        <w:rPr>
          <w:rFonts w:ascii="Verdana" w:eastAsia="Times New Roman" w:hAnsi="Verdana" w:cs="Arial"/>
          <w:bCs/>
          <w:iCs/>
          <w:caps/>
          <w:sz w:val="18"/>
          <w:szCs w:val="28"/>
        </w:rPr>
        <w:t>Types of Leasing</w:t>
      </w:r>
    </w:p>
    <w:p w14:paraId="577D69BE" w14:textId="7DB654C5" w:rsidR="00B722DB" w:rsidRPr="00B722DB" w:rsidRDefault="00B722DB" w:rsidP="00B722DB">
      <w:pPr>
        <w:autoSpaceDE w:val="0"/>
        <w:autoSpaceDN w:val="0"/>
        <w:adjustRightInd w:val="0"/>
        <w:spacing w:after="200" w:line="276" w:lineRule="auto"/>
        <w:ind w:left="720"/>
        <w:rPr>
          <w:rFonts w:ascii="Calibri" w:eastAsia="Calibri" w:hAnsi="Calibri" w:cs="Calibri"/>
        </w:rPr>
      </w:pPr>
      <w:r w:rsidRPr="00B722DB">
        <w:rPr>
          <w:rFonts w:ascii="Calibri" w:eastAsia="Calibri" w:hAnsi="Calibri" w:cs="Calibri"/>
        </w:rPr>
        <w:t xml:space="preserve">FRS 102 (Financial Reporting Council, 2015) covers general leasing within section 20, however there are number of other types of leases that are addressed elsewhere within the document, these are as follows; Leases that cover the use of land for extracting non-renewable resources such as minerals, natural gases, oil etc. This type of leasing comes under section 34 titled specialised activities. Another would be </w:t>
      </w:r>
      <w:proofErr w:type="gramStart"/>
      <w:r w:rsidRPr="00B722DB">
        <w:rPr>
          <w:rFonts w:ascii="Calibri" w:eastAsia="Calibri" w:hAnsi="Calibri" w:cs="Calibri"/>
        </w:rPr>
        <w:t>in regard to</w:t>
      </w:r>
      <w:proofErr w:type="gramEnd"/>
      <w:r w:rsidRPr="00B722DB">
        <w:rPr>
          <w:rFonts w:ascii="Calibri" w:eastAsia="Calibri" w:hAnsi="Calibri" w:cs="Calibri"/>
        </w:rPr>
        <w:t xml:space="preserve"> leasing of intellectual property for use such as films, plays, patents etc all of which fall under section 18 dubbed ‘’Intangible Assets other than Goodwill’’ a third group of leases regarding land and machinery, covered under section 16 titled ‘’Investment Property’’. This sort of leasing does not provide much encouragement for investment if the transfer of assets at the contracts end becomes considerably difficult (Yoder, J, Et Al, 2008). A final type of leas</w:t>
      </w:r>
      <w:r w:rsidR="00915BB6">
        <w:rPr>
          <w:rFonts w:ascii="Calibri" w:eastAsia="Calibri" w:hAnsi="Calibri" w:cs="Calibri"/>
        </w:rPr>
        <w:t>e</w:t>
      </w:r>
      <w:r w:rsidRPr="00B722DB">
        <w:rPr>
          <w:rFonts w:ascii="Calibri" w:eastAsia="Calibri" w:hAnsi="Calibri" w:cs="Calibri"/>
        </w:rPr>
        <w:t xml:space="preserve"> is one that could potentially lead to a loss for the person who takes out the lease, this comes under section 12, paragraph 12.3. There are however, two main types of leasing </w:t>
      </w:r>
      <w:r w:rsidR="00915BB6">
        <w:rPr>
          <w:rFonts w:ascii="Calibri" w:eastAsia="Calibri" w:hAnsi="Calibri" w:cs="Calibri"/>
        </w:rPr>
        <w:t xml:space="preserve">arrangements </w:t>
      </w:r>
      <w:r w:rsidRPr="00B722DB">
        <w:rPr>
          <w:rFonts w:ascii="Calibri" w:eastAsia="Calibri" w:hAnsi="Calibri" w:cs="Calibri"/>
        </w:rPr>
        <w:t>which all these various types of leasing fall under.</w:t>
      </w:r>
    </w:p>
    <w:p w14:paraId="014E947D" w14:textId="77777777" w:rsidR="00B722DB" w:rsidRPr="00B722DB" w:rsidRDefault="00B722DB" w:rsidP="00B722DB">
      <w:pPr>
        <w:keepNext/>
        <w:autoSpaceDE w:val="0"/>
        <w:autoSpaceDN w:val="0"/>
        <w:adjustRightInd w:val="0"/>
        <w:spacing w:after="0" w:line="480" w:lineRule="auto"/>
        <w:outlineLvl w:val="0"/>
        <w:rPr>
          <w:rFonts w:ascii="Verdana" w:eastAsia="Times New Roman" w:hAnsi="Verdana" w:cs="Arial"/>
          <w:bCs/>
          <w:caps/>
          <w:sz w:val="18"/>
          <w:szCs w:val="20"/>
        </w:rPr>
        <w:sectPr w:rsidR="00B722DB" w:rsidRPr="00B722DB" w:rsidSect="00BD2D16">
          <w:headerReference w:type="default" r:id="rId12"/>
          <w:headerReference w:type="first" r:id="rId13"/>
          <w:pgSz w:w="11906" w:h="16838"/>
          <w:pgMar w:top="1440" w:right="1440" w:bottom="1440" w:left="1440" w:header="567" w:footer="567" w:gutter="0"/>
          <w:cols w:space="708"/>
          <w:titlePg/>
          <w:docGrid w:linePitch="360"/>
        </w:sectPr>
      </w:pPr>
      <w:bookmarkStart w:id="4" w:name="_Toc305165507"/>
    </w:p>
    <w:bookmarkEnd w:id="4"/>
    <w:p w14:paraId="3EA3398E" w14:textId="77777777" w:rsidR="00B722DB" w:rsidRPr="00B722DB" w:rsidRDefault="00B722DB" w:rsidP="00B722DB">
      <w:pPr>
        <w:keepNext/>
        <w:numPr>
          <w:ilvl w:val="0"/>
          <w:numId w:val="1"/>
        </w:numPr>
        <w:autoSpaceDE w:val="0"/>
        <w:autoSpaceDN w:val="0"/>
        <w:adjustRightInd w:val="0"/>
        <w:spacing w:after="0" w:line="480" w:lineRule="auto"/>
        <w:outlineLvl w:val="0"/>
        <w:rPr>
          <w:rFonts w:ascii="Verdana" w:eastAsia="Times New Roman" w:hAnsi="Verdana" w:cs="Arial"/>
          <w:bCs/>
          <w:caps/>
          <w:sz w:val="18"/>
          <w:szCs w:val="20"/>
        </w:rPr>
      </w:pPr>
      <w:r w:rsidRPr="00B722DB">
        <w:rPr>
          <w:rFonts w:ascii="Verdana" w:eastAsia="Times New Roman" w:hAnsi="Verdana" w:cs="Arial"/>
          <w:bCs/>
          <w:caps/>
          <w:sz w:val="18"/>
          <w:szCs w:val="20"/>
        </w:rPr>
        <w:lastRenderedPageBreak/>
        <w:t>Financial &amp; Operating Leases</w:t>
      </w:r>
    </w:p>
    <w:p w14:paraId="16E3D4A1" w14:textId="77777777" w:rsidR="00B722DB" w:rsidRPr="00B722DB" w:rsidRDefault="00B722DB" w:rsidP="00B722DB">
      <w:pPr>
        <w:autoSpaceDE w:val="0"/>
        <w:autoSpaceDN w:val="0"/>
        <w:adjustRightInd w:val="0"/>
        <w:spacing w:after="0" w:line="480" w:lineRule="auto"/>
        <w:ind w:left="851"/>
        <w:jc w:val="both"/>
        <w:rPr>
          <w:rFonts w:ascii="Verdana" w:eastAsia="Times New Roman" w:hAnsi="Verdana" w:cs="Times New Roman"/>
          <w:sz w:val="18"/>
          <w:szCs w:val="24"/>
        </w:rPr>
      </w:pPr>
    </w:p>
    <w:p w14:paraId="3D60F3D6" w14:textId="77777777" w:rsidR="00B722DB" w:rsidRPr="00B722DB" w:rsidRDefault="00B722DB" w:rsidP="00B722DB">
      <w:pPr>
        <w:autoSpaceDE w:val="0"/>
        <w:autoSpaceDN w:val="0"/>
        <w:adjustRightInd w:val="0"/>
        <w:spacing w:after="0" w:line="480" w:lineRule="auto"/>
        <w:jc w:val="both"/>
        <w:rPr>
          <w:rFonts w:ascii="Calibri" w:eastAsia="Times New Roman" w:hAnsi="Calibri" w:cs="Calibri"/>
          <w:color w:val="222222"/>
          <w:lang w:eastAsia="en-GB"/>
        </w:rPr>
      </w:pPr>
      <w:r w:rsidRPr="00B722DB">
        <w:rPr>
          <w:rFonts w:ascii="Calibri" w:eastAsia="Times New Roman" w:hAnsi="Calibri" w:cs="Calibri"/>
          <w:color w:val="222222"/>
          <w:lang w:eastAsia="en-GB"/>
        </w:rPr>
        <w:t xml:space="preserve">             3.1 Differences Between Financial &amp; Operating Leases</w:t>
      </w:r>
    </w:p>
    <w:p w14:paraId="4B77404B" w14:textId="448B83C1"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r w:rsidRPr="00B722DB">
        <w:rPr>
          <w:rFonts w:ascii="Calibri" w:eastAsia="Calibri" w:hAnsi="Calibri" w:cs="Calibri"/>
          <w:lang w:eastAsia="en-GB"/>
        </w:rPr>
        <w:t>According to the Association of Accounting Technicians (2016), determining whether a lease is to be considered an operating lease, or a financing lease is entirely down to who the risk and rewards of the lease fall upon in terms of the ownership of the asset. When the rights of ownership are given to the lessee, it will be considered a financ</w:t>
      </w:r>
      <w:r w:rsidR="002915D4">
        <w:rPr>
          <w:rFonts w:ascii="Calibri" w:eastAsia="Calibri" w:hAnsi="Calibri" w:cs="Calibri"/>
          <w:lang w:eastAsia="en-GB"/>
        </w:rPr>
        <w:t>ia</w:t>
      </w:r>
      <w:r w:rsidR="00F27541">
        <w:rPr>
          <w:rFonts w:ascii="Calibri" w:eastAsia="Calibri" w:hAnsi="Calibri" w:cs="Calibri"/>
          <w:lang w:eastAsia="en-GB"/>
        </w:rPr>
        <w:t>l</w:t>
      </w:r>
      <w:r w:rsidRPr="00B722DB">
        <w:rPr>
          <w:rFonts w:ascii="Calibri" w:eastAsia="Calibri" w:hAnsi="Calibri" w:cs="Calibri"/>
          <w:lang w:eastAsia="en-GB"/>
        </w:rPr>
        <w:t xml:space="preserve"> lease. A financ</w:t>
      </w:r>
      <w:r w:rsidR="002915D4">
        <w:rPr>
          <w:rFonts w:ascii="Calibri" w:eastAsia="Calibri" w:hAnsi="Calibri" w:cs="Calibri"/>
          <w:lang w:eastAsia="en-GB"/>
        </w:rPr>
        <w:t>ial</w:t>
      </w:r>
      <w:r w:rsidRPr="00B722DB">
        <w:rPr>
          <w:rFonts w:ascii="Calibri" w:eastAsia="Calibri" w:hAnsi="Calibri" w:cs="Calibri"/>
          <w:lang w:eastAsia="en-GB"/>
        </w:rPr>
        <w:t xml:space="preserve"> lease will be included in both the company’s balance sheet and as a company creditor. When both the risks and rewards of the lease are retained by the lessor, then it refers to an operating lease, currently, this form of lease is not accounted for on the company’s balance sheet, however, there are currently plans to change how this type of leasing is accounted for as of January 1st 2019 by the Financial Accounting Standards Board (2016) </w:t>
      </w:r>
      <w:r w:rsidR="002915D4">
        <w:rPr>
          <w:rFonts w:ascii="Calibri" w:eastAsia="Calibri" w:hAnsi="Calibri" w:cs="Calibri"/>
          <w:lang w:eastAsia="en-GB"/>
        </w:rPr>
        <w:t>but</w:t>
      </w:r>
      <w:r w:rsidRPr="00B722DB">
        <w:rPr>
          <w:rFonts w:ascii="Calibri" w:eastAsia="Calibri" w:hAnsi="Calibri" w:cs="Calibri"/>
          <w:lang w:eastAsia="en-GB"/>
        </w:rPr>
        <w:t xml:space="preserve"> it will be permitted for use by businesses prior to the date that the new method will be put into place on if the business so wishes.</w:t>
      </w:r>
    </w:p>
    <w:p w14:paraId="38EA5823"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1143F6DB"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r w:rsidRPr="00B722DB">
        <w:rPr>
          <w:rFonts w:ascii="Calibri" w:eastAsia="Calibri" w:hAnsi="Calibri" w:cs="Calibri"/>
          <w:lang w:eastAsia="en-GB"/>
        </w:rPr>
        <w:t>3.2 How Leasing is Accounted for</w:t>
      </w:r>
    </w:p>
    <w:p w14:paraId="087D318B" w14:textId="22CA6FA2" w:rsidR="00B722DB" w:rsidRDefault="00B722DB" w:rsidP="00B722DB">
      <w:pPr>
        <w:autoSpaceDE w:val="0"/>
        <w:autoSpaceDN w:val="0"/>
        <w:adjustRightInd w:val="0"/>
        <w:spacing w:after="200" w:line="276" w:lineRule="auto"/>
        <w:ind w:left="720"/>
        <w:rPr>
          <w:rFonts w:ascii="Calibri" w:eastAsia="Calibri" w:hAnsi="Calibri" w:cs="Calibri"/>
          <w:lang w:eastAsia="en-GB"/>
        </w:rPr>
      </w:pPr>
      <w:r w:rsidRPr="00B722DB">
        <w:rPr>
          <w:rFonts w:ascii="Calibri" w:eastAsia="Calibri" w:hAnsi="Calibri" w:cs="Calibri"/>
          <w:lang w:eastAsia="en-GB"/>
        </w:rPr>
        <w:t>Currently leasing is accounted for in such a way that it conflicts with the principles of substance over form, Donaldson (1964) describes substance over form as an instance in which transactions are controlled by its substance more so than merely its form to be able to enhance the reliability of any financial statements. The Association of Chartered Certified Accountants (2018) argues that rather than improving the reliability that the way that leases are currently accounted for unintentionally improve</w:t>
      </w:r>
      <w:r w:rsidR="002915D4">
        <w:rPr>
          <w:rFonts w:ascii="Calibri" w:eastAsia="Calibri" w:hAnsi="Calibri" w:cs="Calibri"/>
          <w:lang w:eastAsia="en-GB"/>
        </w:rPr>
        <w:t>s</w:t>
      </w:r>
      <w:r w:rsidRPr="00B722DB">
        <w:rPr>
          <w:rFonts w:ascii="Calibri" w:eastAsia="Calibri" w:hAnsi="Calibri" w:cs="Calibri"/>
          <w:lang w:eastAsia="en-GB"/>
        </w:rPr>
        <w:t xml:space="preserve"> a business</w:t>
      </w:r>
      <w:r w:rsidR="002915D4">
        <w:rPr>
          <w:rFonts w:ascii="Calibri" w:eastAsia="Calibri" w:hAnsi="Calibri" w:cs="Calibri"/>
          <w:lang w:eastAsia="en-GB"/>
        </w:rPr>
        <w:t>;</w:t>
      </w:r>
      <w:r w:rsidRPr="00B722DB">
        <w:rPr>
          <w:rFonts w:ascii="Calibri" w:eastAsia="Calibri" w:hAnsi="Calibri" w:cs="Calibri"/>
          <w:lang w:eastAsia="en-GB"/>
        </w:rPr>
        <w:t xml:space="preserve"> </w:t>
      </w:r>
      <w:r w:rsidR="00F27541">
        <w:rPr>
          <w:rFonts w:ascii="Calibri" w:eastAsia="Calibri" w:hAnsi="Calibri" w:cs="Calibri"/>
          <w:lang w:eastAsia="en-GB"/>
        </w:rPr>
        <w:t>balance sheet</w:t>
      </w:r>
      <w:r w:rsidR="00F27541" w:rsidRPr="00B722DB">
        <w:rPr>
          <w:rFonts w:ascii="Calibri" w:eastAsia="Calibri" w:hAnsi="Calibri" w:cs="Calibri"/>
          <w:lang w:eastAsia="en-GB"/>
        </w:rPr>
        <w:t xml:space="preserve"> </w:t>
      </w:r>
      <w:r w:rsidRPr="00B722DB">
        <w:rPr>
          <w:rFonts w:ascii="Calibri" w:eastAsia="Calibri" w:hAnsi="Calibri" w:cs="Calibri"/>
          <w:lang w:eastAsia="en-GB"/>
        </w:rPr>
        <w:t>due to the leases not being included within the accounts. It can also be used with an intention to warp certain aspects of the financial ratios, legally, to fit their needs, making it no longer faithful as a representation of a transaction, this is due to the business</w:t>
      </w:r>
      <w:r w:rsidR="002915D4">
        <w:rPr>
          <w:rFonts w:ascii="Calibri" w:eastAsia="Calibri" w:hAnsi="Calibri" w:cs="Calibri"/>
          <w:lang w:eastAsia="en-GB"/>
        </w:rPr>
        <w:t>’</w:t>
      </w:r>
      <w:r w:rsidRPr="00B722DB">
        <w:rPr>
          <w:rFonts w:ascii="Calibri" w:eastAsia="Calibri" w:hAnsi="Calibri" w:cs="Calibri"/>
          <w:lang w:eastAsia="en-GB"/>
        </w:rPr>
        <w:t xml:space="preserve"> accounts </w:t>
      </w:r>
      <w:r w:rsidR="002915D4">
        <w:rPr>
          <w:rFonts w:ascii="Calibri" w:eastAsia="Calibri" w:hAnsi="Calibri" w:cs="Calibri"/>
          <w:lang w:eastAsia="en-GB"/>
        </w:rPr>
        <w:t>appearing</w:t>
      </w:r>
      <w:r w:rsidR="00B56460">
        <w:rPr>
          <w:rFonts w:ascii="Calibri" w:eastAsia="Calibri" w:hAnsi="Calibri" w:cs="Calibri"/>
          <w:lang w:eastAsia="en-GB"/>
        </w:rPr>
        <w:t xml:space="preserve"> </w:t>
      </w:r>
      <w:r w:rsidRPr="00B722DB">
        <w:rPr>
          <w:rFonts w:ascii="Calibri" w:eastAsia="Calibri" w:hAnsi="Calibri" w:cs="Calibri"/>
          <w:lang w:eastAsia="en-GB"/>
        </w:rPr>
        <w:t xml:space="preserve">more positive than they </w:t>
      </w:r>
      <w:proofErr w:type="gramStart"/>
      <w:r w:rsidRPr="00B722DB">
        <w:rPr>
          <w:rFonts w:ascii="Calibri" w:eastAsia="Calibri" w:hAnsi="Calibri" w:cs="Calibri"/>
          <w:lang w:eastAsia="en-GB"/>
        </w:rPr>
        <w:t>actually are</w:t>
      </w:r>
      <w:proofErr w:type="gramEnd"/>
      <w:r w:rsidR="002915D4">
        <w:rPr>
          <w:rFonts w:ascii="Calibri" w:eastAsia="Calibri" w:hAnsi="Calibri" w:cs="Calibri"/>
          <w:lang w:eastAsia="en-GB"/>
        </w:rPr>
        <w:t>.</w:t>
      </w:r>
      <w:r w:rsidRPr="00B722DB">
        <w:rPr>
          <w:rFonts w:ascii="Calibri" w:eastAsia="Calibri" w:hAnsi="Calibri" w:cs="Calibri"/>
          <w:lang w:eastAsia="en-GB"/>
        </w:rPr>
        <w:t xml:space="preserve"> </w:t>
      </w:r>
      <w:r w:rsidR="002915D4">
        <w:rPr>
          <w:rFonts w:ascii="Calibri" w:eastAsia="Calibri" w:hAnsi="Calibri" w:cs="Calibri"/>
          <w:lang w:eastAsia="en-GB"/>
        </w:rPr>
        <w:t>T</w:t>
      </w:r>
      <w:r w:rsidRPr="00B722DB">
        <w:rPr>
          <w:rFonts w:ascii="Calibri" w:eastAsia="Calibri" w:hAnsi="Calibri" w:cs="Calibri"/>
          <w:lang w:eastAsia="en-GB"/>
        </w:rPr>
        <w:t xml:space="preserve">his is because the leases do not appear on the businesses accounts. This contradiction between the method and the concept of substance over forms is alarming considering its conflicting with the Conceptual Framework. The Conceptual Framework lays out the basic concepts </w:t>
      </w:r>
      <w:proofErr w:type="gramStart"/>
      <w:r w:rsidRPr="00B722DB">
        <w:rPr>
          <w:rFonts w:ascii="Calibri" w:eastAsia="Calibri" w:hAnsi="Calibri" w:cs="Calibri"/>
          <w:lang w:eastAsia="en-GB"/>
        </w:rPr>
        <w:t>with regard to</w:t>
      </w:r>
      <w:proofErr w:type="gramEnd"/>
      <w:r w:rsidRPr="00B722DB">
        <w:rPr>
          <w:rFonts w:ascii="Calibri" w:eastAsia="Calibri" w:hAnsi="Calibri" w:cs="Calibri"/>
          <w:lang w:eastAsia="en-GB"/>
        </w:rPr>
        <w:t xml:space="preserve"> financial reporting. It aids in ensuring that the standards remain consistent and that transactions which are similar are treated equally so that stakeholders are provided with useful information. It also helps companies when there is no specific standard that applies to the individual transaction and thus covers a broader range. (International Financial Reporting Standards Foundation, 2018) The fact that the current accounting method makes it possible to </w:t>
      </w:r>
      <w:r w:rsidR="00F27541">
        <w:rPr>
          <w:rFonts w:ascii="Calibri" w:eastAsia="Calibri" w:hAnsi="Calibri" w:cs="Calibri"/>
          <w:lang w:eastAsia="en-GB"/>
        </w:rPr>
        <w:t xml:space="preserve">intentionally or unintentionally hide </w:t>
      </w:r>
      <w:r w:rsidRPr="00B722DB">
        <w:rPr>
          <w:rFonts w:ascii="Calibri" w:eastAsia="Calibri" w:hAnsi="Calibri" w:cs="Calibri"/>
          <w:lang w:eastAsia="en-GB"/>
        </w:rPr>
        <w:t xml:space="preserve">certain </w:t>
      </w:r>
      <w:r w:rsidR="00F27541">
        <w:rPr>
          <w:rFonts w:ascii="Calibri" w:eastAsia="Calibri" w:hAnsi="Calibri" w:cs="Calibri"/>
          <w:lang w:eastAsia="en-GB"/>
        </w:rPr>
        <w:t xml:space="preserve">figures from stakeholder, this </w:t>
      </w:r>
      <w:r w:rsidRPr="00B722DB">
        <w:rPr>
          <w:rFonts w:ascii="Calibri" w:eastAsia="Calibri" w:hAnsi="Calibri" w:cs="Calibri"/>
          <w:lang w:eastAsia="en-GB"/>
        </w:rPr>
        <w:t>contradicts the statement that the Conceptual Framework is there to help provide stakeholders with useful information.  Information cannot be useful if it has been manipulated by the business.</w:t>
      </w:r>
    </w:p>
    <w:p w14:paraId="10F7149B"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45E2592B"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r w:rsidRPr="00B722DB">
        <w:rPr>
          <w:rFonts w:ascii="Calibri" w:eastAsia="Calibri" w:hAnsi="Calibri" w:cs="Calibri"/>
          <w:lang w:eastAsia="en-GB"/>
        </w:rPr>
        <w:lastRenderedPageBreak/>
        <w:t>3.3 Changes in Account of Leases</w:t>
      </w:r>
    </w:p>
    <w:p w14:paraId="17839EE4" w14:textId="03A90A5D"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r w:rsidRPr="00B722DB">
        <w:rPr>
          <w:rFonts w:ascii="Calibri" w:eastAsia="Calibri" w:hAnsi="Calibri" w:cs="Calibri"/>
          <w:lang w:eastAsia="en-GB"/>
        </w:rPr>
        <w:t>The changes that are coming as to how leasing will be accounted for, will be known as IFRS 16 and will be replacing the current method titled IAS 17. It will ensure that the lessee is able to recognize what assets and liabilities are a result of the lease. Its objective is to iron out the issues arising from the use of substance over form within IAS 17. Under the current legislation, operation lease payments are considered a straight</w:t>
      </w:r>
      <w:r w:rsidR="002915D4">
        <w:rPr>
          <w:rFonts w:ascii="Calibri" w:eastAsia="Calibri" w:hAnsi="Calibri" w:cs="Calibri"/>
          <w:lang w:eastAsia="en-GB"/>
        </w:rPr>
        <w:t>-</w:t>
      </w:r>
      <w:r w:rsidRPr="00B722DB">
        <w:rPr>
          <w:rFonts w:ascii="Calibri" w:eastAsia="Calibri" w:hAnsi="Calibri" w:cs="Calibri"/>
          <w:lang w:eastAsia="en-GB"/>
        </w:rPr>
        <w:t xml:space="preserve">line type of expense and with financial leases the lessee recognizes the leases as a liability as well as an asset (International Accounting Standards, 2017) (Financial Accounting Standards Board, 2018). The changes will ensure that the lessee is able to recognize the assets and liabilities of a lease for both operating and financial leasing. This will only be applied to any lease that has a term of over 12 months, except in the case where the asset </w:t>
      </w:r>
      <w:proofErr w:type="gramStart"/>
      <w:r w:rsidRPr="00B722DB">
        <w:rPr>
          <w:rFonts w:ascii="Calibri" w:eastAsia="Calibri" w:hAnsi="Calibri" w:cs="Calibri"/>
          <w:lang w:eastAsia="en-GB"/>
        </w:rPr>
        <w:t>is considered to be</w:t>
      </w:r>
      <w:proofErr w:type="gramEnd"/>
      <w:r w:rsidRPr="00B722DB">
        <w:rPr>
          <w:rFonts w:ascii="Calibri" w:eastAsia="Calibri" w:hAnsi="Calibri" w:cs="Calibri"/>
          <w:lang w:eastAsia="en-GB"/>
        </w:rPr>
        <w:t xml:space="preserve"> of low value. With IFRS 16 there will be a sole model of accounting as opposed to there being multiple, as well as making sure that the lessee has to recognize a ‘’right-of-use asset’’ in order to represent the lessee’s right to make use of the leased asset as well as recognizing the lessee’s liability representing its on</w:t>
      </w:r>
      <w:r w:rsidR="002915D4">
        <w:rPr>
          <w:rFonts w:ascii="Calibri" w:eastAsia="Calibri" w:hAnsi="Calibri" w:cs="Calibri"/>
          <w:lang w:eastAsia="en-GB"/>
        </w:rPr>
        <w:t>-</w:t>
      </w:r>
      <w:r w:rsidRPr="00B722DB">
        <w:rPr>
          <w:rFonts w:ascii="Calibri" w:eastAsia="Calibri" w:hAnsi="Calibri" w:cs="Calibri"/>
          <w:lang w:eastAsia="en-GB"/>
        </w:rPr>
        <w:t>going obligation for the lessee to make their payments under the lease. All existing financial leases will remain treated as they already</w:t>
      </w:r>
      <w:r w:rsidR="00F27541">
        <w:rPr>
          <w:rFonts w:ascii="Calibri" w:eastAsia="Calibri" w:hAnsi="Calibri" w:cs="Calibri"/>
          <w:lang w:eastAsia="en-GB"/>
        </w:rPr>
        <w:t xml:space="preserve"> </w:t>
      </w:r>
      <w:r w:rsidR="002915D4">
        <w:rPr>
          <w:rFonts w:ascii="Calibri" w:eastAsia="Calibri" w:hAnsi="Calibri" w:cs="Calibri"/>
          <w:lang w:eastAsia="en-GB"/>
        </w:rPr>
        <w:t>are</w:t>
      </w:r>
      <w:r w:rsidRPr="00B722DB">
        <w:rPr>
          <w:rFonts w:ascii="Calibri" w:eastAsia="Calibri" w:hAnsi="Calibri" w:cs="Calibri"/>
          <w:lang w:eastAsia="en-GB"/>
        </w:rPr>
        <w:t>, however, any and all existing operating leases will be changed to reflect the new standards set by IFRS 16.</w:t>
      </w:r>
    </w:p>
    <w:p w14:paraId="2F734342"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73E7F7D1"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251AF9A6"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16E81E5D"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61E18D15"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24EE3A6B"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6243E1E7"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613E3C40"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2B9A3B38"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56DE9042"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335127AB"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4B6B8FFB"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787F673F"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6C6C4615"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10C990D6" w14:textId="77777777" w:rsidR="00B722DB" w:rsidRPr="00B722DB" w:rsidRDefault="00B722DB" w:rsidP="00B722DB">
      <w:pPr>
        <w:numPr>
          <w:ilvl w:val="0"/>
          <w:numId w:val="1"/>
        </w:numPr>
        <w:autoSpaceDE w:val="0"/>
        <w:autoSpaceDN w:val="0"/>
        <w:adjustRightInd w:val="0"/>
        <w:spacing w:after="200" w:line="276" w:lineRule="auto"/>
        <w:contextualSpacing/>
        <w:rPr>
          <w:rFonts w:ascii="Verdana" w:eastAsia="Calibri" w:hAnsi="Verdana" w:cs="Calibri"/>
          <w:caps/>
          <w:sz w:val="18"/>
          <w:szCs w:val="18"/>
        </w:rPr>
      </w:pPr>
      <w:r w:rsidRPr="00B722DB">
        <w:rPr>
          <w:rFonts w:ascii="Calibri" w:eastAsia="Calibri" w:hAnsi="Calibri" w:cs="Calibri"/>
          <w:lang w:eastAsia="en-GB"/>
        </w:rPr>
        <w:lastRenderedPageBreak/>
        <w:t xml:space="preserve">  </w:t>
      </w:r>
      <w:r w:rsidRPr="00B722DB">
        <w:rPr>
          <w:rFonts w:ascii="Verdana" w:eastAsia="Calibri" w:hAnsi="Verdana" w:cs="Calibri"/>
          <w:caps/>
          <w:sz w:val="18"/>
          <w:szCs w:val="18"/>
        </w:rPr>
        <w:t>Conclusion</w:t>
      </w:r>
    </w:p>
    <w:p w14:paraId="74457C65" w14:textId="77777777" w:rsid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1FC6294D" w14:textId="7E01CCBA"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r w:rsidRPr="00B722DB">
        <w:rPr>
          <w:rFonts w:ascii="Calibri" w:eastAsia="Calibri" w:hAnsi="Calibri" w:cs="Calibri"/>
          <w:lang w:eastAsia="en-GB"/>
        </w:rPr>
        <w:t xml:space="preserve">In conclusion, the background of how the conduct of accounting </w:t>
      </w:r>
      <w:proofErr w:type="gramStart"/>
      <w:r w:rsidRPr="00B722DB">
        <w:rPr>
          <w:rFonts w:ascii="Calibri" w:eastAsia="Calibri" w:hAnsi="Calibri" w:cs="Calibri"/>
          <w:lang w:eastAsia="en-GB"/>
        </w:rPr>
        <w:t>with regard to</w:t>
      </w:r>
      <w:proofErr w:type="gramEnd"/>
      <w:r w:rsidRPr="00B722DB">
        <w:rPr>
          <w:rFonts w:ascii="Calibri" w:eastAsia="Calibri" w:hAnsi="Calibri" w:cs="Calibri"/>
          <w:lang w:eastAsia="en-GB"/>
        </w:rPr>
        <w:t xml:space="preserve"> leasing is rather complex. Various issues that have arisen with the way that leases are currently accounted for should hopefully be resolved with the upcoming changes that will be implemented with the coming of the new year, effective the 1</w:t>
      </w:r>
      <w:r w:rsidRPr="00B722DB">
        <w:rPr>
          <w:rFonts w:ascii="Calibri" w:eastAsia="Calibri" w:hAnsi="Calibri" w:cs="Calibri"/>
          <w:vertAlign w:val="superscript"/>
          <w:lang w:eastAsia="en-GB"/>
        </w:rPr>
        <w:t>st</w:t>
      </w:r>
      <w:r w:rsidRPr="00B722DB">
        <w:rPr>
          <w:rFonts w:ascii="Calibri" w:eastAsia="Calibri" w:hAnsi="Calibri" w:cs="Calibri"/>
          <w:lang w:eastAsia="en-GB"/>
        </w:rPr>
        <w:t xml:space="preserve"> of January</w:t>
      </w:r>
      <w:r w:rsidR="00B3013C">
        <w:rPr>
          <w:rFonts w:ascii="Calibri" w:eastAsia="Calibri" w:hAnsi="Calibri" w:cs="Calibri"/>
          <w:lang w:eastAsia="en-GB"/>
        </w:rPr>
        <w:t xml:space="preserve"> 2019</w:t>
      </w:r>
      <w:r w:rsidRPr="00B722DB">
        <w:rPr>
          <w:rFonts w:ascii="Calibri" w:eastAsia="Calibri" w:hAnsi="Calibri" w:cs="Calibri"/>
          <w:lang w:eastAsia="en-GB"/>
        </w:rPr>
        <w:t xml:space="preserve">. However, as it has yet to be put into practice, it is still unknown as to </w:t>
      </w:r>
      <w:proofErr w:type="gramStart"/>
      <w:r w:rsidRPr="00B722DB">
        <w:rPr>
          <w:rFonts w:ascii="Calibri" w:eastAsia="Calibri" w:hAnsi="Calibri" w:cs="Calibri"/>
          <w:lang w:eastAsia="en-GB"/>
        </w:rPr>
        <w:t>whether or not</w:t>
      </w:r>
      <w:proofErr w:type="gramEnd"/>
      <w:r w:rsidRPr="00B722DB">
        <w:rPr>
          <w:rFonts w:ascii="Calibri" w:eastAsia="Calibri" w:hAnsi="Calibri" w:cs="Calibri"/>
          <w:lang w:eastAsia="en-GB"/>
        </w:rPr>
        <w:t xml:space="preserve"> these changes will truly help improve the reliability of the accounts of a business for those viewing them, as similar issues may crop up from these changes</w:t>
      </w:r>
      <w:r w:rsidR="00F27541">
        <w:rPr>
          <w:rFonts w:ascii="Calibri" w:eastAsia="Calibri" w:hAnsi="Calibri" w:cs="Calibri"/>
          <w:lang w:eastAsia="en-GB"/>
        </w:rPr>
        <w:t xml:space="preserve"> in the future</w:t>
      </w:r>
      <w:r w:rsidRPr="00B722DB">
        <w:rPr>
          <w:rFonts w:ascii="Calibri" w:eastAsia="Calibri" w:hAnsi="Calibri" w:cs="Calibri"/>
          <w:lang w:eastAsia="en-GB"/>
        </w:rPr>
        <w:t>. However, with these changes everything should at least be able to fall in line with the conceptual framework and the principles of substance over form. Future changes are expected however, as over time flaws will be brought up and thus will need to be adjusted to fix them.</w:t>
      </w:r>
    </w:p>
    <w:p w14:paraId="102B345C"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6484688A"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46AB5C09"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36F6A04F"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2E70C4C7"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3739C41C"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3E253A64"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353DEE76"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23F2006E"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16075474"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323FAD79"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4FEED1CC"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17F36CF5"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70A7B16B"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6C4E3B79"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104C767D"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606A51AE" w14:textId="77777777" w:rsidR="00B722DB" w:rsidRPr="00B722DB" w:rsidRDefault="00B722DB" w:rsidP="00B722DB">
      <w:pPr>
        <w:autoSpaceDE w:val="0"/>
        <w:autoSpaceDN w:val="0"/>
        <w:adjustRightInd w:val="0"/>
        <w:spacing w:after="200" w:line="276" w:lineRule="auto"/>
        <w:ind w:left="720"/>
        <w:rPr>
          <w:rFonts w:ascii="Calibri" w:eastAsia="Calibri" w:hAnsi="Calibri" w:cs="Calibri"/>
          <w:lang w:eastAsia="en-GB"/>
        </w:rPr>
      </w:pPr>
    </w:p>
    <w:p w14:paraId="69CC69DC" w14:textId="77777777" w:rsidR="00B722DB" w:rsidRPr="00B722DB" w:rsidRDefault="00B722DB" w:rsidP="00B722DB">
      <w:pPr>
        <w:autoSpaceDE w:val="0"/>
        <w:autoSpaceDN w:val="0"/>
        <w:adjustRightInd w:val="0"/>
        <w:spacing w:after="200" w:line="276" w:lineRule="auto"/>
        <w:rPr>
          <w:rFonts w:ascii="Calibri" w:eastAsia="Calibri" w:hAnsi="Calibri" w:cs="Calibri"/>
          <w:lang w:eastAsia="en-GB"/>
        </w:rPr>
      </w:pPr>
    </w:p>
    <w:p w14:paraId="6205FB1B" w14:textId="77777777" w:rsidR="00B722DB" w:rsidRPr="00B722DB" w:rsidRDefault="00B722DB" w:rsidP="00B722DB">
      <w:pPr>
        <w:numPr>
          <w:ilvl w:val="0"/>
          <w:numId w:val="1"/>
        </w:numPr>
        <w:autoSpaceDE w:val="0"/>
        <w:autoSpaceDN w:val="0"/>
        <w:adjustRightInd w:val="0"/>
        <w:spacing w:after="200" w:line="276" w:lineRule="auto"/>
        <w:contextualSpacing/>
        <w:rPr>
          <w:rFonts w:ascii="Calibri" w:eastAsia="Calibri" w:hAnsi="Calibri" w:cs="Calibri"/>
          <w:lang w:eastAsia="en-GB"/>
        </w:rPr>
      </w:pPr>
      <w:r w:rsidRPr="00B722DB">
        <w:rPr>
          <w:rFonts w:ascii="Calibri" w:eastAsia="Calibri" w:hAnsi="Calibri" w:cs="Calibri"/>
          <w:lang w:eastAsia="en-GB"/>
        </w:rPr>
        <w:t>REFERENCES</w:t>
      </w:r>
    </w:p>
    <w:p w14:paraId="1A7F2103"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1A2240A4"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Association of Accounting Technicians, 2016. FRS 102 and Leasing. [Online] </w:t>
      </w:r>
    </w:p>
    <w:p w14:paraId="2F16912C"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Available at: </w:t>
      </w:r>
      <w:hyperlink r:id="rId14" w:history="1">
        <w:r w:rsidRPr="00B722DB">
          <w:rPr>
            <w:rFonts w:ascii="Calibri" w:eastAsia="Calibri" w:hAnsi="Calibri" w:cs="Calibri"/>
            <w:color w:val="0563C1"/>
            <w:u w:val="single"/>
            <w:lang w:eastAsia="en-GB"/>
          </w:rPr>
          <w:t>https://www.aatcomment.org.uk/frs-102-and-leasing/</w:t>
        </w:r>
      </w:hyperlink>
      <w:r w:rsidRPr="00B722DB">
        <w:rPr>
          <w:rFonts w:ascii="Calibri" w:eastAsia="Calibri" w:hAnsi="Calibri" w:cs="Calibri"/>
          <w:lang w:eastAsia="en-GB"/>
        </w:rPr>
        <w:t xml:space="preserve"> [Accessed 19 11 2018].</w:t>
      </w:r>
    </w:p>
    <w:p w14:paraId="0FCC044D"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20CDC41C"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Association of Chartered Certified Accountants, 2018. Accounting for leases. [Online] </w:t>
      </w:r>
    </w:p>
    <w:p w14:paraId="10E91A40"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Available at: </w:t>
      </w:r>
      <w:hyperlink r:id="rId15" w:history="1">
        <w:r w:rsidRPr="00B722DB">
          <w:rPr>
            <w:rFonts w:ascii="Calibri" w:eastAsia="Calibri" w:hAnsi="Calibri" w:cs="Calibri"/>
            <w:color w:val="0563C1"/>
            <w:u w:val="single"/>
            <w:lang w:eastAsia="en-GB"/>
          </w:rPr>
          <w:t>https://www.accaglobal.com/uk/en/student/exam-support-resources/fundamentals-exams-study-resources/f7/technical-articles/accounting-for-leases.html</w:t>
        </w:r>
      </w:hyperlink>
      <w:r w:rsidRPr="00B722DB">
        <w:rPr>
          <w:rFonts w:ascii="Calibri" w:eastAsia="Calibri" w:hAnsi="Calibri" w:cs="Calibri"/>
          <w:lang w:eastAsia="en-GB"/>
        </w:rPr>
        <w:t xml:space="preserve"> [Accessed 24 11 2018].</w:t>
      </w:r>
    </w:p>
    <w:p w14:paraId="59A0C5F1"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07D68D57"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Cambridge Dictionary, 2018. leasing. [Online] Available at: </w:t>
      </w:r>
      <w:hyperlink r:id="rId16" w:history="1">
        <w:r w:rsidRPr="00B722DB">
          <w:rPr>
            <w:rFonts w:ascii="Calibri" w:eastAsia="Calibri" w:hAnsi="Calibri" w:cs="Calibri"/>
            <w:color w:val="0563C1"/>
            <w:u w:val="single"/>
            <w:lang w:eastAsia="en-GB"/>
          </w:rPr>
          <w:t>https://dictionary.cambridge.org/dictionary/english/leasing</w:t>
        </w:r>
      </w:hyperlink>
      <w:r w:rsidRPr="00B722DB">
        <w:rPr>
          <w:rFonts w:ascii="Calibri" w:eastAsia="Calibri" w:hAnsi="Calibri" w:cs="Calibri"/>
          <w:lang w:eastAsia="en-GB"/>
        </w:rPr>
        <w:t xml:space="preserve"> [Accessed 19 11 2018].</w:t>
      </w:r>
    </w:p>
    <w:p w14:paraId="4CF8ED77"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04BAC42D"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Donaldson, J.B., 1964. When Substance-Over-Form Argument is Available to the Taxpayer. </w:t>
      </w:r>
      <w:proofErr w:type="spellStart"/>
      <w:r w:rsidRPr="00B722DB">
        <w:rPr>
          <w:rFonts w:ascii="Calibri" w:eastAsia="Calibri" w:hAnsi="Calibri" w:cs="Calibri"/>
          <w:lang w:eastAsia="en-GB"/>
        </w:rPr>
        <w:t>Marq</w:t>
      </w:r>
      <w:proofErr w:type="spellEnd"/>
      <w:r w:rsidRPr="00B722DB">
        <w:rPr>
          <w:rFonts w:ascii="Calibri" w:eastAsia="Calibri" w:hAnsi="Calibri" w:cs="Calibri"/>
          <w:lang w:eastAsia="en-GB"/>
        </w:rPr>
        <w:t>. L. Rev., 48, p.41.</w:t>
      </w:r>
    </w:p>
    <w:p w14:paraId="0C04B2F0"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2B516AB2"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Financial Accounting Standards Board, 2016. PREPARING FOR THE UPCOMING LEASING </w:t>
      </w:r>
      <w:proofErr w:type="gramStart"/>
      <w:r w:rsidRPr="00B722DB">
        <w:rPr>
          <w:rFonts w:ascii="Calibri" w:eastAsia="Calibri" w:hAnsi="Calibri" w:cs="Calibri"/>
          <w:lang w:eastAsia="en-GB"/>
        </w:rPr>
        <w:t>STANDARD:.</w:t>
      </w:r>
      <w:proofErr w:type="gramEnd"/>
      <w:r w:rsidRPr="00B722DB">
        <w:rPr>
          <w:rFonts w:ascii="Calibri" w:eastAsia="Calibri" w:hAnsi="Calibri" w:cs="Calibri"/>
          <w:lang w:eastAsia="en-GB"/>
        </w:rPr>
        <w:t xml:space="preserve"> [Online] Available at: </w:t>
      </w:r>
      <w:hyperlink r:id="rId17" w:history="1">
        <w:r w:rsidRPr="00B722DB">
          <w:rPr>
            <w:rFonts w:ascii="Calibri" w:eastAsia="Calibri" w:hAnsi="Calibri" w:cs="Calibri"/>
            <w:color w:val="0563C1"/>
            <w:u w:val="single"/>
            <w:lang w:eastAsia="en-GB"/>
          </w:rPr>
          <w:t>https://www.fasb.org/jsp/FASB/Page/SectionPage&amp;cid=1176167771931</w:t>
        </w:r>
      </w:hyperlink>
      <w:r w:rsidRPr="00B722DB">
        <w:rPr>
          <w:rFonts w:ascii="Calibri" w:eastAsia="Calibri" w:hAnsi="Calibri" w:cs="Calibri"/>
          <w:lang w:eastAsia="en-GB"/>
        </w:rPr>
        <w:t xml:space="preserve"> [Accessed 19 11 2018].</w:t>
      </w:r>
    </w:p>
    <w:p w14:paraId="6D76E968"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05E52436"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Financial Accounting Standards Board, 2018. WHAT ARE THE CORE PRINCIPLES OF THE NEW </w:t>
      </w:r>
      <w:proofErr w:type="gramStart"/>
      <w:r w:rsidRPr="00B722DB">
        <w:rPr>
          <w:rFonts w:ascii="Calibri" w:eastAsia="Calibri" w:hAnsi="Calibri" w:cs="Calibri"/>
          <w:lang w:eastAsia="en-GB"/>
        </w:rPr>
        <w:t>STANDARD?.</w:t>
      </w:r>
      <w:proofErr w:type="gramEnd"/>
      <w:r w:rsidRPr="00B722DB">
        <w:rPr>
          <w:rFonts w:ascii="Calibri" w:eastAsia="Calibri" w:hAnsi="Calibri" w:cs="Calibri"/>
          <w:lang w:eastAsia="en-GB"/>
        </w:rPr>
        <w:t xml:space="preserve"> [Online] Available at: </w:t>
      </w:r>
      <w:hyperlink r:id="rId18" w:history="1">
        <w:r w:rsidRPr="00B722DB">
          <w:rPr>
            <w:rFonts w:ascii="Calibri" w:eastAsia="Calibri" w:hAnsi="Calibri" w:cs="Calibri"/>
            <w:color w:val="0563C1"/>
            <w:u w:val="single"/>
            <w:lang w:eastAsia="en-GB"/>
          </w:rPr>
          <w:t>https://www.fasb.org/cs/ContentServer?c=Page&amp;cid=1176169253354&amp;d=&amp;pagename=FASB%2FPage%2FImageBridgePage</w:t>
        </w:r>
      </w:hyperlink>
      <w:r w:rsidRPr="00B722DB">
        <w:rPr>
          <w:rFonts w:ascii="Calibri" w:eastAsia="Calibri" w:hAnsi="Calibri" w:cs="Calibri"/>
          <w:lang w:eastAsia="en-GB"/>
        </w:rPr>
        <w:t xml:space="preserve"> [Accessed 28 11 2018].</w:t>
      </w:r>
    </w:p>
    <w:p w14:paraId="42AACE9C"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2DC509D8"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Financial Reporting Council, 2015. The Financial Reporting Standard. [Online] </w:t>
      </w:r>
    </w:p>
    <w:p w14:paraId="7B176EC5"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Available at: </w:t>
      </w:r>
      <w:hyperlink r:id="rId19" w:history="1">
        <w:r w:rsidRPr="00B722DB">
          <w:rPr>
            <w:rFonts w:ascii="Calibri" w:eastAsia="Calibri" w:hAnsi="Calibri" w:cs="Calibri"/>
            <w:color w:val="0563C1"/>
            <w:u w:val="single"/>
            <w:lang w:eastAsia="en-GB"/>
          </w:rPr>
          <w:t>https://www.frc.org.uk/getattachment/e1d6b167-6cdb-4550-bde3-f94484226fbd/FRS-102-WEB-Ready-2015.pdf</w:t>
        </w:r>
      </w:hyperlink>
      <w:r w:rsidRPr="00B722DB">
        <w:rPr>
          <w:rFonts w:ascii="Calibri" w:eastAsia="Calibri" w:hAnsi="Calibri" w:cs="Calibri"/>
          <w:lang w:eastAsia="en-GB"/>
        </w:rPr>
        <w:t xml:space="preserve"> [Accessed 19 11 2018].</w:t>
      </w:r>
    </w:p>
    <w:p w14:paraId="4D016A76"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4A5E041D"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International Accounting Standards, 2017. IAS 17 Leases. [Online] </w:t>
      </w:r>
    </w:p>
    <w:p w14:paraId="13D09ECF"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Available at: </w:t>
      </w:r>
      <w:hyperlink r:id="rId20" w:history="1">
        <w:r w:rsidRPr="00B722DB">
          <w:rPr>
            <w:rFonts w:ascii="Calibri" w:eastAsia="Calibri" w:hAnsi="Calibri" w:cs="Calibri"/>
            <w:color w:val="0563C1"/>
            <w:u w:val="single"/>
            <w:lang w:eastAsia="en-GB"/>
          </w:rPr>
          <w:t>https://www.ifrs.org/issued-standards/list-of-standards/ias-17-leases/</w:t>
        </w:r>
      </w:hyperlink>
      <w:r w:rsidRPr="00B722DB">
        <w:rPr>
          <w:rFonts w:ascii="Calibri" w:eastAsia="Calibri" w:hAnsi="Calibri" w:cs="Calibri"/>
          <w:lang w:eastAsia="en-GB"/>
        </w:rPr>
        <w:t xml:space="preserve"> [Accessed 27 11 2018].</w:t>
      </w:r>
    </w:p>
    <w:p w14:paraId="45692F9C"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6F54474A"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International Financial Reporting Standards Foundation, 2018. Conceptual Framework for Financial Reporting. [Online] </w:t>
      </w:r>
    </w:p>
    <w:p w14:paraId="0F3FD700"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t xml:space="preserve">Available at: </w:t>
      </w:r>
      <w:hyperlink r:id="rId21" w:history="1">
        <w:r w:rsidRPr="00B722DB">
          <w:rPr>
            <w:rFonts w:ascii="Calibri" w:eastAsia="Calibri" w:hAnsi="Calibri" w:cs="Calibri"/>
            <w:color w:val="0563C1"/>
            <w:u w:val="single"/>
            <w:lang w:eastAsia="en-GB"/>
          </w:rPr>
          <w:t>https://www.ifrs.org/issued-standards/list-of-standards/conceptual-framework/</w:t>
        </w:r>
      </w:hyperlink>
      <w:r w:rsidRPr="00B722DB">
        <w:rPr>
          <w:rFonts w:ascii="Calibri" w:eastAsia="Calibri" w:hAnsi="Calibri" w:cs="Calibri"/>
          <w:lang w:eastAsia="en-GB"/>
        </w:rPr>
        <w:t xml:space="preserve"> [Accessed 24 11 2018].</w:t>
      </w:r>
    </w:p>
    <w:p w14:paraId="1F27CAE2"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549EF633"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r w:rsidRPr="00B722DB">
        <w:rPr>
          <w:rFonts w:ascii="Calibri" w:eastAsia="Calibri" w:hAnsi="Calibri" w:cs="Calibri"/>
          <w:lang w:eastAsia="en-GB"/>
        </w:rPr>
        <w:lastRenderedPageBreak/>
        <w:t xml:space="preserve">Yoder, J., Hossain, I., </w:t>
      </w:r>
      <w:proofErr w:type="spellStart"/>
      <w:r w:rsidRPr="00B722DB">
        <w:rPr>
          <w:rFonts w:ascii="Calibri" w:eastAsia="Calibri" w:hAnsi="Calibri" w:cs="Calibri"/>
          <w:lang w:eastAsia="en-GB"/>
        </w:rPr>
        <w:t>Epplin</w:t>
      </w:r>
      <w:proofErr w:type="spellEnd"/>
      <w:r w:rsidRPr="00B722DB">
        <w:rPr>
          <w:rFonts w:ascii="Calibri" w:eastAsia="Calibri" w:hAnsi="Calibri" w:cs="Calibri"/>
          <w:lang w:eastAsia="en-GB"/>
        </w:rPr>
        <w:t xml:space="preserve">, F. and </w:t>
      </w:r>
      <w:proofErr w:type="spellStart"/>
      <w:r w:rsidRPr="00B722DB">
        <w:rPr>
          <w:rFonts w:ascii="Calibri" w:eastAsia="Calibri" w:hAnsi="Calibri" w:cs="Calibri"/>
          <w:lang w:eastAsia="en-GB"/>
        </w:rPr>
        <w:t>Doye</w:t>
      </w:r>
      <w:proofErr w:type="spellEnd"/>
      <w:r w:rsidRPr="00B722DB">
        <w:rPr>
          <w:rFonts w:ascii="Calibri" w:eastAsia="Calibri" w:hAnsi="Calibri" w:cs="Calibri"/>
          <w:lang w:eastAsia="en-GB"/>
        </w:rPr>
        <w:t xml:space="preserve">, D., 2008. Contract duration and the division of </w:t>
      </w:r>
      <w:proofErr w:type="spellStart"/>
      <w:r w:rsidRPr="00B722DB">
        <w:rPr>
          <w:rFonts w:ascii="Calibri" w:eastAsia="Calibri" w:hAnsi="Calibri" w:cs="Calibri"/>
          <w:lang w:eastAsia="en-GB"/>
        </w:rPr>
        <w:t>labor</w:t>
      </w:r>
      <w:proofErr w:type="spellEnd"/>
      <w:r w:rsidRPr="00B722DB">
        <w:rPr>
          <w:rFonts w:ascii="Calibri" w:eastAsia="Calibri" w:hAnsi="Calibri" w:cs="Calibri"/>
          <w:lang w:eastAsia="en-GB"/>
        </w:rPr>
        <w:t xml:space="preserve"> in agricultural land leases. Journal of Economic </w:t>
      </w:r>
      <w:proofErr w:type="spellStart"/>
      <w:r w:rsidRPr="00B722DB">
        <w:rPr>
          <w:rFonts w:ascii="Calibri" w:eastAsia="Calibri" w:hAnsi="Calibri" w:cs="Calibri"/>
          <w:lang w:eastAsia="en-GB"/>
        </w:rPr>
        <w:t>Behavior</w:t>
      </w:r>
      <w:proofErr w:type="spellEnd"/>
      <w:r w:rsidRPr="00B722DB">
        <w:rPr>
          <w:rFonts w:ascii="Calibri" w:eastAsia="Calibri" w:hAnsi="Calibri" w:cs="Calibri"/>
          <w:lang w:eastAsia="en-GB"/>
        </w:rPr>
        <w:t xml:space="preserve"> &amp; Organization, 65(3-4), pp.714-733. [Accessed 24 11 2018].</w:t>
      </w:r>
    </w:p>
    <w:p w14:paraId="7157E1E9" w14:textId="77777777" w:rsidR="00B722DB" w:rsidRPr="00B722DB" w:rsidRDefault="00B722DB" w:rsidP="00B722DB">
      <w:pPr>
        <w:autoSpaceDE w:val="0"/>
        <w:autoSpaceDN w:val="0"/>
        <w:adjustRightInd w:val="0"/>
        <w:spacing w:after="200" w:line="276" w:lineRule="auto"/>
        <w:ind w:left="720"/>
        <w:contextualSpacing/>
        <w:rPr>
          <w:rFonts w:ascii="Calibri" w:eastAsia="Calibri" w:hAnsi="Calibri" w:cs="Calibri"/>
          <w:lang w:eastAsia="en-GB"/>
        </w:rPr>
      </w:pPr>
    </w:p>
    <w:p w14:paraId="5E6C2E27" w14:textId="77777777" w:rsidR="00EE6767" w:rsidRDefault="00EE6767"/>
    <w:sectPr w:rsidR="00EE67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1F491" w14:textId="77777777" w:rsidR="00D36EB3" w:rsidRDefault="00D36EB3">
      <w:pPr>
        <w:spacing w:after="0" w:line="240" w:lineRule="auto"/>
      </w:pPr>
      <w:r>
        <w:separator/>
      </w:r>
    </w:p>
  </w:endnote>
  <w:endnote w:type="continuationSeparator" w:id="0">
    <w:p w14:paraId="334C0125" w14:textId="77777777" w:rsidR="00D36EB3" w:rsidRDefault="00D36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32AE3F6D" w14:textId="77777777" w:rsidR="007A69A2" w:rsidRDefault="00D36EB3">
        <w:pPr>
          <w:pStyle w:val="Footer"/>
          <w:jc w:val="center"/>
        </w:pPr>
      </w:p>
    </w:sdtContent>
  </w:sdt>
  <w:p w14:paraId="61C41894" w14:textId="77777777" w:rsidR="007A69A2" w:rsidRDefault="00D3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1A1D9" w14:textId="77777777" w:rsidR="007A69A2" w:rsidRDefault="00D36EB3">
    <w:pPr>
      <w:pStyle w:val="Footer"/>
      <w:jc w:val="center"/>
    </w:pPr>
  </w:p>
  <w:p w14:paraId="6E2AC869" w14:textId="77777777" w:rsidR="007A69A2" w:rsidRDefault="00D36E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64CB519" w14:textId="77777777" w:rsidR="007A69A2" w:rsidRDefault="00D36EB3">
        <w:pPr>
          <w:pStyle w:val="Footer"/>
          <w:jc w:val="center"/>
        </w:pPr>
      </w:p>
    </w:sdtContent>
  </w:sdt>
  <w:p w14:paraId="47CC41CB" w14:textId="77777777" w:rsidR="007A69A2" w:rsidRDefault="00D36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2E94D" w14:textId="77777777" w:rsidR="00D36EB3" w:rsidRDefault="00D36EB3">
      <w:pPr>
        <w:spacing w:after="0" w:line="240" w:lineRule="auto"/>
      </w:pPr>
      <w:r>
        <w:separator/>
      </w:r>
    </w:p>
  </w:footnote>
  <w:footnote w:type="continuationSeparator" w:id="0">
    <w:p w14:paraId="2BF385D3" w14:textId="77777777" w:rsidR="00D36EB3" w:rsidRDefault="00D36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72871" w14:textId="77777777" w:rsidR="007A69A2" w:rsidRDefault="00D36EB3" w:rsidP="00F17A18">
    <w:pPr>
      <w:pStyle w:val="Header"/>
      <w:pBdr>
        <w:bottom w:val="single" w:sz="4" w:space="1" w:color="auto"/>
      </w:pBdr>
      <w:rPr>
        <w:rFonts w:ascii="Verdana" w:hAnsi="Verdana"/>
        <w:b/>
        <w:caps/>
        <w:sz w:val="18"/>
        <w:szCs w:val="18"/>
      </w:rPr>
    </w:pPr>
  </w:p>
  <w:p w14:paraId="77F74ABE" w14:textId="77777777" w:rsidR="007A69A2" w:rsidRPr="00586DC0" w:rsidRDefault="00D36EB3" w:rsidP="0007275A">
    <w:pPr>
      <w:pStyle w:val="Header"/>
      <w:pBdr>
        <w:bottom w:val="single" w:sz="4" w:space="1" w:color="auto"/>
      </w:pBdr>
      <w:jc w:val="center"/>
      <w:rPr>
        <w:b/>
        <w:caps/>
        <w:szCs w:val="18"/>
      </w:rPr>
    </w:pPr>
  </w:p>
  <w:p w14:paraId="64FB571A" w14:textId="77777777" w:rsidR="007A69A2" w:rsidRPr="0007275A" w:rsidRDefault="00D36EB3"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3261" w14:textId="77777777" w:rsidR="007A69A2" w:rsidRPr="00586DC0" w:rsidRDefault="00D36EB3" w:rsidP="0095431E">
    <w:pPr>
      <w:pStyle w:val="Header"/>
      <w:pBdr>
        <w:bottom w:val="single" w:sz="4" w:space="1" w:color="auto"/>
      </w:pBdr>
      <w:jc w:val="center"/>
      <w:rPr>
        <w:b/>
        <w:caps/>
        <w:szCs w:val="18"/>
      </w:rPr>
    </w:pPr>
  </w:p>
  <w:p w14:paraId="6AF27BEB" w14:textId="77777777" w:rsidR="007A69A2" w:rsidRPr="0007275A" w:rsidRDefault="00D36EB3"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ED4E9" w14:textId="77777777" w:rsidR="007A69A2" w:rsidRPr="00586DC0" w:rsidRDefault="00D36EB3" w:rsidP="0007275A">
    <w:pPr>
      <w:pStyle w:val="Header"/>
      <w:pBdr>
        <w:bottom w:val="single" w:sz="4" w:space="1" w:color="auto"/>
      </w:pBdr>
      <w:jc w:val="center"/>
      <w:rPr>
        <w:b/>
        <w:caps/>
        <w:szCs w:val="18"/>
      </w:rPr>
    </w:pPr>
  </w:p>
  <w:p w14:paraId="6DCADB10" w14:textId="77777777" w:rsidR="007A69A2" w:rsidRDefault="00D36EB3"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360897"/>
    <w:multiLevelType w:val="multilevel"/>
    <w:tmpl w:val="0ECE6E06"/>
    <w:lvl w:ilvl="0">
      <w:start w:val="1"/>
      <w:numFmt w:val="decimal"/>
      <w:lvlText w:val="%1."/>
      <w:lvlJc w:val="left"/>
      <w:pPr>
        <w:ind w:left="360" w:hanging="360"/>
      </w:pPr>
      <w:rPr>
        <w:rFonts w:ascii="Verdana" w:hAnsi="Verdana" w:hint="default"/>
        <w:cap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2DB"/>
    <w:rsid w:val="002915D4"/>
    <w:rsid w:val="00915BB6"/>
    <w:rsid w:val="00982A52"/>
    <w:rsid w:val="00B3013C"/>
    <w:rsid w:val="00B56460"/>
    <w:rsid w:val="00B722DB"/>
    <w:rsid w:val="00D36EB3"/>
    <w:rsid w:val="00EE6767"/>
    <w:rsid w:val="00F27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DB8E1"/>
  <w15:chartTrackingRefBased/>
  <w15:docId w15:val="{65D8C3C8-6504-4A8E-A440-DC4C6D08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22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722DB"/>
    <w:rPr>
      <w:lang w:val="en-GB"/>
    </w:rPr>
  </w:style>
  <w:style w:type="paragraph" w:styleId="Footer">
    <w:name w:val="footer"/>
    <w:basedOn w:val="Normal"/>
    <w:link w:val="FooterChar"/>
    <w:uiPriority w:val="99"/>
    <w:semiHidden/>
    <w:unhideWhenUsed/>
    <w:rsid w:val="00B722D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722DB"/>
    <w:rPr>
      <w:lang w:val="en-GB"/>
    </w:rPr>
  </w:style>
  <w:style w:type="paragraph" w:styleId="NoSpacing">
    <w:name w:val="No Spacing"/>
    <w:uiPriority w:val="1"/>
    <w:qFormat/>
    <w:rsid w:val="00B722DB"/>
    <w:pPr>
      <w:spacing w:after="0" w:line="240" w:lineRule="auto"/>
    </w:pPr>
    <w:rPr>
      <w:lang w:val="en-GB"/>
    </w:rPr>
  </w:style>
  <w:style w:type="character" w:styleId="CommentReference">
    <w:name w:val="annotation reference"/>
    <w:basedOn w:val="DefaultParagraphFont"/>
    <w:uiPriority w:val="99"/>
    <w:semiHidden/>
    <w:unhideWhenUsed/>
    <w:rsid w:val="00915BB6"/>
    <w:rPr>
      <w:sz w:val="16"/>
      <w:szCs w:val="16"/>
    </w:rPr>
  </w:style>
  <w:style w:type="paragraph" w:styleId="CommentText">
    <w:name w:val="annotation text"/>
    <w:basedOn w:val="Normal"/>
    <w:link w:val="CommentTextChar"/>
    <w:uiPriority w:val="99"/>
    <w:semiHidden/>
    <w:unhideWhenUsed/>
    <w:rsid w:val="00915BB6"/>
    <w:pPr>
      <w:spacing w:line="240" w:lineRule="auto"/>
    </w:pPr>
    <w:rPr>
      <w:sz w:val="20"/>
      <w:szCs w:val="20"/>
    </w:rPr>
  </w:style>
  <w:style w:type="character" w:customStyle="1" w:styleId="CommentTextChar">
    <w:name w:val="Comment Text Char"/>
    <w:basedOn w:val="DefaultParagraphFont"/>
    <w:link w:val="CommentText"/>
    <w:uiPriority w:val="99"/>
    <w:semiHidden/>
    <w:rsid w:val="00915BB6"/>
    <w:rPr>
      <w:sz w:val="20"/>
      <w:szCs w:val="20"/>
      <w:lang w:val="en-GB"/>
    </w:rPr>
  </w:style>
  <w:style w:type="paragraph" w:styleId="CommentSubject">
    <w:name w:val="annotation subject"/>
    <w:basedOn w:val="CommentText"/>
    <w:next w:val="CommentText"/>
    <w:link w:val="CommentSubjectChar"/>
    <w:uiPriority w:val="99"/>
    <w:semiHidden/>
    <w:unhideWhenUsed/>
    <w:rsid w:val="00915BB6"/>
    <w:rPr>
      <w:b/>
      <w:bCs/>
    </w:rPr>
  </w:style>
  <w:style w:type="character" w:customStyle="1" w:styleId="CommentSubjectChar">
    <w:name w:val="Comment Subject Char"/>
    <w:basedOn w:val="CommentTextChar"/>
    <w:link w:val="CommentSubject"/>
    <w:uiPriority w:val="99"/>
    <w:semiHidden/>
    <w:rsid w:val="00915BB6"/>
    <w:rPr>
      <w:b/>
      <w:bCs/>
      <w:sz w:val="20"/>
      <w:szCs w:val="20"/>
      <w:lang w:val="en-GB"/>
    </w:rPr>
  </w:style>
  <w:style w:type="paragraph" w:styleId="BalloonText">
    <w:name w:val="Balloon Text"/>
    <w:basedOn w:val="Normal"/>
    <w:link w:val="BalloonTextChar"/>
    <w:uiPriority w:val="99"/>
    <w:semiHidden/>
    <w:unhideWhenUsed/>
    <w:rsid w:val="00915B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5BB6"/>
    <w:rPr>
      <w:rFonts w:ascii="Segoe UI" w:hAnsi="Segoe UI" w:cs="Segoe UI"/>
      <w:sz w:val="18"/>
      <w:szCs w:val="18"/>
      <w:lang w:val="en-GB"/>
    </w:rPr>
  </w:style>
  <w:style w:type="paragraph" w:styleId="Revision">
    <w:name w:val="Revision"/>
    <w:hidden/>
    <w:uiPriority w:val="99"/>
    <w:semiHidden/>
    <w:rsid w:val="00915BB6"/>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s://www.fasb.org/cs/ContentServer?c=Page&amp;cid=1176169253354&amp;d=&amp;pagename=FASB%2FPage%2FImageBridgePage" TargetMode="External"/><Relationship Id="rId3" Type="http://schemas.openxmlformats.org/officeDocument/2006/relationships/settings" Target="settings.xml"/><Relationship Id="rId21" Type="http://schemas.openxmlformats.org/officeDocument/2006/relationships/hyperlink" Target="https://www.ifrs.org/issued-standards/list-of-standards/conceptual-framework/" TargetMode="Externa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https://www.fasb.org/jsp/FASB/Page/SectionPage&amp;cid=1176167771931" TargetMode="External"/><Relationship Id="rId2" Type="http://schemas.openxmlformats.org/officeDocument/2006/relationships/styles" Target="styles.xml"/><Relationship Id="rId16" Type="http://schemas.openxmlformats.org/officeDocument/2006/relationships/hyperlink" Target="https://dictionary.cambridge.org/dictionary/english/leasing" TargetMode="External"/><Relationship Id="rId20" Type="http://schemas.openxmlformats.org/officeDocument/2006/relationships/hyperlink" Target="https://www.ifrs.org/issued-standards/list-of-standards/ias-17-lea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accaglobal.com/uk/en/student/exam-support-resources/fundamentals-exams-study-resources/f7/technical-articles/accounting-for-leases.html"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frc.org.uk/getattachment/e1d6b167-6cdb-4550-bde3-f94484226fbd/FRS-102-WEB-Ready-2015.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aatcomment.org.uk/frs-102-and-leas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1959</Words>
  <Characters>11170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lockley</dc:creator>
  <cp:keywords/>
  <dc:description/>
  <cp:lastModifiedBy>sam lockley</cp:lastModifiedBy>
  <cp:revision>2</cp:revision>
  <dcterms:created xsi:type="dcterms:W3CDTF">2018-12-03T13:40:00Z</dcterms:created>
  <dcterms:modified xsi:type="dcterms:W3CDTF">2018-12-03T13:40:00Z</dcterms:modified>
</cp:coreProperties>
</file>