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198BD0" w14:textId="031CCB45" w:rsidR="007A2A3B" w:rsidRDefault="00F2104E">
      <w:r>
        <w:t>Criminal Law: Assignment 2</w:t>
      </w:r>
    </w:p>
    <w:p w14:paraId="02AEC919" w14:textId="02452C68" w:rsidR="00F2104E" w:rsidRDefault="00F2104E"/>
    <w:p w14:paraId="32C54FE6" w14:textId="4B33172B" w:rsidR="00F2104E" w:rsidRDefault="00F2104E" w:rsidP="00F2104E">
      <w:pPr>
        <w:spacing w:line="360" w:lineRule="auto"/>
        <w:rPr>
          <w:b/>
          <w:bCs/>
          <w:u w:val="single"/>
        </w:rPr>
      </w:pPr>
      <w:r w:rsidRPr="00F2104E">
        <w:rPr>
          <w:b/>
          <w:bCs/>
          <w:u w:val="single"/>
        </w:rPr>
        <w:t>Question one:</w:t>
      </w:r>
    </w:p>
    <w:p w14:paraId="020CAC02" w14:textId="77777777" w:rsidR="00F2104E" w:rsidRPr="00F2104E" w:rsidRDefault="00F2104E" w:rsidP="00F2104E">
      <w:pPr>
        <w:spacing w:line="360" w:lineRule="auto"/>
        <w:rPr>
          <w:rFonts w:ascii="Arial" w:hAnsi="Arial" w:cs="Arial"/>
        </w:rPr>
      </w:pPr>
    </w:p>
    <w:p w14:paraId="26C6267F" w14:textId="77777777" w:rsidR="00C96B51" w:rsidRDefault="00C96B51" w:rsidP="00C96B51">
      <w:pPr>
        <w:ind w:left="720"/>
        <w:rPr>
          <w:sz w:val="28"/>
          <w:szCs w:val="28"/>
        </w:rPr>
      </w:pPr>
    </w:p>
    <w:p w14:paraId="7BEB05A9" w14:textId="2B5F6525" w:rsidR="00F2104E" w:rsidRDefault="001C1E21" w:rsidP="0049451B">
      <w:pPr>
        <w:spacing w:line="360" w:lineRule="auto"/>
      </w:pPr>
      <w:r>
        <w:t xml:space="preserve">To plead insanity successfully within the United Kingdom one </w:t>
      </w:r>
      <w:r w:rsidR="0049451B">
        <w:t>must</w:t>
      </w:r>
      <w:r>
        <w:t xml:space="preserve"> be able to clearly prove that during the time the offence was being committed the defendant was doing so whilst being defect of reason, due to a disease </w:t>
      </w:r>
      <w:r w:rsidR="0049451B">
        <w:t xml:space="preserve">of the mind, which </w:t>
      </w:r>
      <w:proofErr w:type="gramStart"/>
      <w:r w:rsidR="0049451B">
        <w:t>in itself is</w:t>
      </w:r>
      <w:proofErr w:type="gramEnd"/>
      <w:r w:rsidR="0049451B">
        <w:t xml:space="preserve"> a problematic term whilst looking towards an insanity plea. However, whilst pleading insanity the defendant is subject to “disease of the mind” thus making them incapable of realising the nature of their act and the repercussions that may occur</w:t>
      </w:r>
      <w:r w:rsidR="00847799">
        <w:t xml:space="preserve"> due to the act.</w:t>
      </w:r>
      <w:r w:rsidR="00E53627">
        <w:t xml:space="preserve"> To plea insanity the defendants mental state must be taken into consideration, whilst as they very may well have committed a crime, they were not of sound mind thus insanity being the determining factor. The defendant him or herself must be able to prove to the court and jury that in-fact they were not within the correct state of mind at the time of the act. </w:t>
      </w:r>
      <w:r w:rsidR="00847799">
        <w:t xml:space="preserve">There are a </w:t>
      </w:r>
      <w:proofErr w:type="gramStart"/>
      <w:r w:rsidR="00847799">
        <w:t>fairly decent</w:t>
      </w:r>
      <w:proofErr w:type="gramEnd"/>
      <w:r w:rsidR="00847799">
        <w:t xml:space="preserve"> number of problems on the current insanity law due to the fact there is a difference in being medically insane as to being legally insane. This distinguishment from the two </w:t>
      </w:r>
      <w:r w:rsidR="000F48CD">
        <w:t xml:space="preserve">“insanities” can become relatively burdensome to prove in a court of law as just because one is classed as medically insane does not immediately mean they are legally insane as they could still have the ability to differentiate between the line of legality. The proof on pleading insanity is down to the defendant as they are the ones accused of a crime then attempting to use this as a defence. </w:t>
      </w:r>
      <w:r w:rsidR="00E31D3D">
        <w:t xml:space="preserve">For the defendant to be able </w:t>
      </w:r>
      <w:r w:rsidR="00F20EAE">
        <w:t>to establish the defence of insanity, the defendant must have the ability to clearly prove that they were committing the act whilst being defect of reason or from a disease of the mind. I which they are unable to tell the nature of the act they are performing or that they are uncapable of understanding what they are doing is wrong in the eyes of the law.</w:t>
      </w:r>
      <w:r w:rsidR="00BB4A8F">
        <w:t xml:space="preserve"> The case that lead to the insanity defence was </w:t>
      </w:r>
      <w:proofErr w:type="spellStart"/>
      <w:r w:rsidR="00BB4A8F">
        <w:t>M’Naghten</w:t>
      </w:r>
      <w:proofErr w:type="spellEnd"/>
      <w:r w:rsidR="00BB4A8F">
        <w:t xml:space="preserve"> [1843] in which </w:t>
      </w:r>
      <w:proofErr w:type="spellStart"/>
      <w:r w:rsidR="00BB4A8F">
        <w:t>M’Naghten</w:t>
      </w:r>
      <w:proofErr w:type="spellEnd"/>
      <w:r w:rsidR="00BB4A8F">
        <w:t xml:space="preserve"> had attempted to assassinate the Prime Minister at the time however ended up killing his secretary , however it was believed that </w:t>
      </w:r>
      <w:proofErr w:type="spellStart"/>
      <w:r w:rsidR="00BB4A8F">
        <w:t>M’Naghten</w:t>
      </w:r>
      <w:proofErr w:type="spellEnd"/>
      <w:r w:rsidR="00BB4A8F">
        <w:t xml:space="preserve"> was suffering from insane delusions leading to the House of Lords implementing the </w:t>
      </w:r>
      <w:proofErr w:type="spellStart"/>
      <w:r w:rsidR="00BB4A8F">
        <w:t>M’Naghten</w:t>
      </w:r>
      <w:proofErr w:type="spellEnd"/>
      <w:r w:rsidR="00BB4A8F">
        <w:t xml:space="preserve"> rules in which it outlined being “defect of reason, from disease of the mind, as not to know the nature and quality of the act he was doing, </w:t>
      </w:r>
      <w:r w:rsidR="005F112C">
        <w:t xml:space="preserve">or as not to know that what he was doing was wrong”. </w:t>
      </w:r>
      <w:r w:rsidR="009731A8">
        <w:t>This whole reasoning, however, is currently outdated and has been subject to reform in the Diminished responsibility</w:t>
      </w:r>
      <w:r w:rsidR="00A70787">
        <w:t xml:space="preserve"> s.2 Homicide act [1957]</w:t>
      </w:r>
      <w:r w:rsidR="009731A8">
        <w:t xml:space="preserve"> </w:t>
      </w:r>
      <w:r w:rsidR="00A70787">
        <w:t xml:space="preserve">and the Law </w:t>
      </w:r>
      <w:r w:rsidR="00A70787">
        <w:lastRenderedPageBreak/>
        <w:t>commission draft criminal code [1989</w:t>
      </w:r>
      <w:r w:rsidR="00B701DC">
        <w:t xml:space="preserve">]. In which Diminished responsibility outlines that the defendant if suffering from, a recognised medical condition, have their mentality hindered in the sense of the nature of the act committed, the ability to be rational and to be able to exercise self-control. Moreover, in the Criminal Code draft [1989] in which there was clauses 35 and 36 in which would have a larger use in practice over the current insanity defence as </w:t>
      </w:r>
      <w:r w:rsidR="000B7E28">
        <w:t>in which the defendant is suffering from a severe mental disorder, would be able to use this as a defence but would essentially require to serve any sentence within a hospital [Clause 35].  Clause 36 however indicates that if the prosecution cannot prove that the defendant had acted with the required fault</w:t>
      </w:r>
      <w:r w:rsidR="003F1C1D">
        <w:t>, but the reason for their failure is due to evidence supporting that the defendant had indeed been suffering from a mental disorder at the time of the criminal act that had been committed. These improvements essentially take medical evidence into greater aspect of the courts findings as the mental state itself is that of the mind and not in itself one</w:t>
      </w:r>
      <w:r w:rsidR="009500F0">
        <w:t>,</w:t>
      </w:r>
      <w:r w:rsidR="003F1C1D">
        <w:t xml:space="preserve"> of the law. </w:t>
      </w:r>
      <w:r w:rsidR="009500F0">
        <w:t>There is a difference in automatism and insanity, such as can be found in R v Quick [1973] in which Quick assaulted a patient due to suffering from hypoglycaemia as to do with his diabetes which can affect the mental state of a person by limiting brain function</w:t>
      </w:r>
      <w:r w:rsidR="008474A3">
        <w:t>, and this in a court of law is classed as an external factor due to the act committed was held that it was due to the lack of insulin I the blood stream and not as a direct impact of his diabetes. Whereas in the case of R v Hennessy it was deemed that his hypoglycaemic episode was of result of his diabetes so he was unable to use the defence of Automatism but instead should’ve pleaded for insanity as diabetes can be described as a disease of the mind.</w:t>
      </w:r>
      <w:r w:rsidR="00E53627">
        <w:t xml:space="preserve"> The burden of proof on an insanity defence currently relies on the </w:t>
      </w:r>
      <w:r w:rsidR="00B54226">
        <w:t xml:space="preserve">defendant themselves as thy must prove that they are or were at the time of the act suffering from a ‘disease of the mind’ as it is the basis of their defence, however, in theory it should largely be down to a medical practitioner to determine as to whether they had indeed suffered from a bout of insanity. The issue with using ‘disease of the mind’ as the determining factor to insanity is that it doesn’t single out any </w:t>
      </w:r>
      <w:proofErr w:type="gramStart"/>
      <w:r w:rsidR="00B54226">
        <w:t>particular issues</w:t>
      </w:r>
      <w:proofErr w:type="gramEnd"/>
      <w:r w:rsidR="00B54226">
        <w:t xml:space="preserve"> that could arise to someone’s mental state</w:t>
      </w:r>
      <w:r w:rsidR="00311AD0">
        <w:t xml:space="preserve">. There are also many different illnesses within the mind which could be labelled as a disease of the mind, however they would not detract from one’s reasoning of right and wrong. Such as the case R v Johnson [2007] in which Johnson had been suffering from a schizophrenic episode at the time of committing the act however, due to the fact he was aware what he was doing was wrong. Whereas by stated in the </w:t>
      </w:r>
      <w:proofErr w:type="spellStart"/>
      <w:r w:rsidR="00311AD0">
        <w:lastRenderedPageBreak/>
        <w:t>M’Naghten</w:t>
      </w:r>
      <w:proofErr w:type="spellEnd"/>
      <w:r w:rsidR="00311AD0">
        <w:t xml:space="preserve"> rule </w:t>
      </w:r>
      <w:r w:rsidR="00145514">
        <w:t xml:space="preserve">the defendant must not understand the action or crime being committed is a crime. </w:t>
      </w:r>
      <w:r w:rsidR="00311AD0">
        <w:t xml:space="preserve"> </w:t>
      </w:r>
    </w:p>
    <w:p w14:paraId="05B80F77" w14:textId="0136059A" w:rsidR="001B2050" w:rsidRDefault="001B2050" w:rsidP="0049451B">
      <w:pPr>
        <w:spacing w:line="360" w:lineRule="auto"/>
      </w:pPr>
    </w:p>
    <w:p w14:paraId="10818F5C" w14:textId="5565688E" w:rsidR="001B2050" w:rsidRDefault="001B2050" w:rsidP="0049451B">
      <w:pPr>
        <w:spacing w:line="360" w:lineRule="auto"/>
      </w:pPr>
    </w:p>
    <w:p w14:paraId="2E68F467" w14:textId="0B74E94A" w:rsidR="001B2050" w:rsidRDefault="001B2050" w:rsidP="0049451B">
      <w:pPr>
        <w:spacing w:line="360" w:lineRule="auto"/>
      </w:pPr>
    </w:p>
    <w:p w14:paraId="1F267581" w14:textId="2176A37E" w:rsidR="001B2050" w:rsidRDefault="001B2050" w:rsidP="0049451B">
      <w:pPr>
        <w:spacing w:line="360" w:lineRule="auto"/>
      </w:pPr>
    </w:p>
    <w:p w14:paraId="5F6AD324" w14:textId="42EDDF7F" w:rsidR="001B2050" w:rsidRDefault="001B2050" w:rsidP="0049451B">
      <w:pPr>
        <w:spacing w:line="360" w:lineRule="auto"/>
        <w:rPr>
          <w:b/>
          <w:bCs/>
          <w:u w:val="single"/>
        </w:rPr>
      </w:pPr>
      <w:r w:rsidRPr="001B2050">
        <w:rPr>
          <w:b/>
          <w:bCs/>
          <w:u w:val="single"/>
        </w:rPr>
        <w:t>Question 2:</w:t>
      </w:r>
    </w:p>
    <w:p w14:paraId="3AA3EA72" w14:textId="3D65F30D" w:rsidR="001B2050" w:rsidRDefault="001B2050" w:rsidP="0049451B">
      <w:pPr>
        <w:spacing w:line="360" w:lineRule="auto"/>
        <w:rPr>
          <w:b/>
          <w:bCs/>
          <w:u w:val="single"/>
        </w:rPr>
      </w:pPr>
    </w:p>
    <w:p w14:paraId="16F06142" w14:textId="08757939" w:rsidR="00A87224" w:rsidRDefault="005356AB" w:rsidP="002E6E04">
      <w:pPr>
        <w:spacing w:line="360" w:lineRule="auto"/>
        <w:rPr>
          <w:rFonts w:ascii="Calibri" w:eastAsia="Times New Roman" w:hAnsi="Calibri" w:cs="Arial"/>
          <w:color w:val="000000"/>
          <w:shd w:val="clear" w:color="auto" w:fill="FFFFFF"/>
          <w:lang w:eastAsia="en-GB"/>
        </w:rPr>
      </w:pPr>
      <w:r>
        <w:t xml:space="preserve">For the offences committed by Ali against, Colin and Lee. Ali could expect to be held liable for murder charges due to the intent on causing GBH, although he may not have intended for the victims to die. He was most likely aware of the likely consequences of his actions. In the case </w:t>
      </w:r>
      <w:r w:rsidR="00D00B73">
        <w:t>in which lead to the death of the doorman Lee,</w:t>
      </w:r>
      <w:r>
        <w:t xml:space="preserve"> </w:t>
      </w:r>
      <w:r w:rsidR="00D00B73">
        <w:t>p</w:t>
      </w:r>
      <w:r>
        <w:t xml:space="preserve">recedence is set for this in R v </w:t>
      </w:r>
      <w:proofErr w:type="spellStart"/>
      <w:r>
        <w:t>Woollin</w:t>
      </w:r>
      <w:proofErr w:type="spellEnd"/>
      <w:r>
        <w:t xml:space="preserve"> [1999] where in which the appellant had thrown his </w:t>
      </w:r>
      <w:proofErr w:type="gramStart"/>
      <w:r>
        <w:t>3 month old</w:t>
      </w:r>
      <w:proofErr w:type="gramEnd"/>
      <w:r>
        <w:t xml:space="preserve"> son to the hard floor causing the child to fracture his skull and die, whilst </w:t>
      </w:r>
      <w:proofErr w:type="spellStart"/>
      <w:r>
        <w:t>Woollin</w:t>
      </w:r>
      <w:proofErr w:type="spellEnd"/>
      <w:r>
        <w:t xml:space="preserve"> had not directly intended for the death of the child. However, </w:t>
      </w:r>
      <w:r w:rsidR="00D00B73">
        <w:t xml:space="preserve">it had been directed that </w:t>
      </w:r>
      <w:proofErr w:type="spellStart"/>
      <w:r w:rsidR="00D00B73">
        <w:t>Woollin</w:t>
      </w:r>
      <w:proofErr w:type="spellEnd"/>
      <w:r w:rsidR="00D00B73">
        <w:t xml:space="preserve"> must have been aware of his actions that lead to the death of the child. S.20 of the offences against the persons act 1861 ‘Whosoever shall unlawfully and </w:t>
      </w:r>
      <w:r w:rsidR="00D00B73" w:rsidRPr="00D00B73">
        <w:rPr>
          <w:rFonts w:ascii="Calibri" w:hAnsi="Calibri"/>
        </w:rPr>
        <w:t xml:space="preserve">maliciously </w:t>
      </w:r>
      <w:r w:rsidR="00D00B73" w:rsidRPr="00D00B73">
        <w:rPr>
          <w:rFonts w:ascii="Calibri" w:eastAsia="Times New Roman" w:hAnsi="Calibri" w:cs="Arial"/>
          <w:color w:val="000000"/>
          <w:shd w:val="clear" w:color="auto" w:fill="FFFFFF"/>
          <w:lang w:eastAsia="en-GB"/>
        </w:rPr>
        <w:t xml:space="preserve">wound or inflict any grievous bodily harm upon any other person, either with or without any weapon or instrument, shall be guilty of a </w:t>
      </w:r>
      <w:r w:rsidR="00D00B73" w:rsidRPr="00D00B73">
        <w:rPr>
          <w:rFonts w:ascii="Calibri" w:eastAsia="Times New Roman" w:hAnsi="Calibri" w:cs="Arial"/>
          <w:color w:val="000000"/>
          <w:shd w:val="clear" w:color="auto" w:fill="FFFFFF"/>
          <w:lang w:eastAsia="en-GB"/>
        </w:rPr>
        <w:t>misdemeanour</w:t>
      </w:r>
      <w:r w:rsidR="00D00B73" w:rsidRPr="00D00B73">
        <w:rPr>
          <w:rFonts w:ascii="Calibri" w:eastAsia="Times New Roman" w:hAnsi="Calibri" w:cs="Arial"/>
          <w:color w:val="000000"/>
          <w:shd w:val="clear" w:color="auto" w:fill="FFFFFF"/>
          <w:lang w:eastAsia="en-GB"/>
        </w:rPr>
        <w:t>, and being convicted thereof shall be liable</w:t>
      </w:r>
      <w:r w:rsidR="00D00B73">
        <w:rPr>
          <w:rFonts w:ascii="Calibri" w:eastAsia="Times New Roman" w:hAnsi="Calibri" w:cs="Arial"/>
          <w:color w:val="000000"/>
          <w:shd w:val="clear" w:color="auto" w:fill="FFFFFF"/>
          <w:lang w:eastAsia="en-GB"/>
        </w:rPr>
        <w:t xml:space="preserve">’ this essentially condemns Ali’s actions on both acts he had </w:t>
      </w:r>
      <w:r w:rsidR="00C70692">
        <w:rPr>
          <w:rFonts w:ascii="Calibri" w:eastAsia="Times New Roman" w:hAnsi="Calibri" w:cs="Arial"/>
          <w:color w:val="000000"/>
          <w:shd w:val="clear" w:color="auto" w:fill="FFFFFF"/>
          <w:lang w:eastAsia="en-GB"/>
        </w:rPr>
        <w:t xml:space="preserve">committed thus is likely in a court of law on the first count at least to be found guilty of manslaughter as although the punch was intended to cause harm to Lee the aim was never to cause lethal harm towards the victim. Although the </w:t>
      </w:r>
      <w:proofErr w:type="spellStart"/>
      <w:r w:rsidR="00C70692">
        <w:rPr>
          <w:rFonts w:ascii="Calibri" w:eastAsia="Times New Roman" w:hAnsi="Calibri" w:cs="Arial"/>
          <w:color w:val="000000"/>
          <w:shd w:val="clear" w:color="auto" w:fill="FFFFFF"/>
          <w:lang w:eastAsia="en-GB"/>
        </w:rPr>
        <w:t>mens</w:t>
      </w:r>
      <w:proofErr w:type="spellEnd"/>
      <w:r w:rsidR="00C70692">
        <w:rPr>
          <w:rFonts w:ascii="Calibri" w:eastAsia="Times New Roman" w:hAnsi="Calibri" w:cs="Arial"/>
          <w:color w:val="000000"/>
          <w:shd w:val="clear" w:color="auto" w:fill="FFFFFF"/>
          <w:lang w:eastAsia="en-GB"/>
        </w:rPr>
        <w:t xml:space="preserve"> rea of the crime committed </w:t>
      </w:r>
      <w:r w:rsidR="00C15897">
        <w:rPr>
          <w:rFonts w:ascii="Calibri" w:eastAsia="Times New Roman" w:hAnsi="Calibri" w:cs="Arial"/>
          <w:color w:val="000000"/>
          <w:shd w:val="clear" w:color="auto" w:fill="FFFFFF"/>
          <w:lang w:eastAsia="en-GB"/>
        </w:rPr>
        <w:t>was m</w:t>
      </w:r>
      <w:r w:rsidR="00C70692">
        <w:rPr>
          <w:rFonts w:ascii="Calibri" w:eastAsia="Times New Roman" w:hAnsi="Calibri" w:cs="Arial"/>
          <w:color w:val="000000"/>
          <w:shd w:val="clear" w:color="auto" w:fill="FFFFFF"/>
          <w:lang w:eastAsia="en-GB"/>
        </w:rPr>
        <w:t xml:space="preserve">ost likely satisfied </w:t>
      </w:r>
      <w:r w:rsidR="00C15897">
        <w:rPr>
          <w:rFonts w:ascii="Calibri" w:eastAsia="Times New Roman" w:hAnsi="Calibri" w:cs="Arial"/>
          <w:color w:val="000000"/>
          <w:shd w:val="clear" w:color="auto" w:fill="FFFFFF"/>
          <w:lang w:eastAsia="en-GB"/>
        </w:rPr>
        <w:t xml:space="preserve">as the act </w:t>
      </w:r>
      <w:proofErr w:type="gramStart"/>
      <w:r w:rsidR="00C15897">
        <w:rPr>
          <w:rFonts w:ascii="Calibri" w:eastAsia="Times New Roman" w:hAnsi="Calibri" w:cs="Arial"/>
          <w:color w:val="000000"/>
          <w:shd w:val="clear" w:color="auto" w:fill="FFFFFF"/>
          <w:lang w:eastAsia="en-GB"/>
        </w:rPr>
        <w:t>in itself would</w:t>
      </w:r>
      <w:proofErr w:type="gramEnd"/>
      <w:r w:rsidR="00C15897">
        <w:rPr>
          <w:rFonts w:ascii="Calibri" w:eastAsia="Times New Roman" w:hAnsi="Calibri" w:cs="Arial"/>
          <w:color w:val="000000"/>
          <w:shd w:val="clear" w:color="auto" w:fill="FFFFFF"/>
          <w:lang w:eastAsia="en-GB"/>
        </w:rPr>
        <w:t xml:space="preserve"> almost certainly meet the criteria of “malicious” thus showing that Ali had foresaw that indeed physical harm would’ve indeed come to his victim whilst in the act and motion of punching the victim in the head. </w:t>
      </w:r>
      <w:r w:rsidR="00325111">
        <w:rPr>
          <w:rFonts w:ascii="Calibri" w:eastAsia="Times New Roman" w:hAnsi="Calibri" w:cs="Arial"/>
          <w:color w:val="000000"/>
          <w:shd w:val="clear" w:color="auto" w:fill="FFFFFF"/>
          <w:lang w:eastAsia="en-GB"/>
        </w:rPr>
        <w:t xml:space="preserve">The advice I would issue Ali is that if it got as far as to trial would be to suggest entering a guilty plea for this crime as it could suggest that he is remorseful and would most likely lessen his sentence as guilty pleas often do. </w:t>
      </w:r>
      <w:r w:rsidR="00423EA4">
        <w:rPr>
          <w:rFonts w:ascii="Calibri" w:eastAsia="Times New Roman" w:hAnsi="Calibri" w:cs="Arial"/>
          <w:color w:val="000000"/>
          <w:shd w:val="clear" w:color="auto" w:fill="FFFFFF"/>
          <w:lang w:eastAsia="en-GB"/>
        </w:rPr>
        <w:t xml:space="preserve"> As stated in section 144 of the Criminal Justice act 2003, a guilty plea can determine what sentence is applied depending on what stage of trial the guilty plea is entered, and in which circumstances in the trial, so that those who are likely to be deemed guilty towards the end of the trial but have usually remained adamant of a not guilty plea could have a slightly </w:t>
      </w:r>
      <w:r w:rsidR="00423EA4">
        <w:rPr>
          <w:rFonts w:ascii="Calibri" w:eastAsia="Times New Roman" w:hAnsi="Calibri" w:cs="Arial"/>
          <w:color w:val="000000"/>
          <w:shd w:val="clear" w:color="auto" w:fill="FFFFFF"/>
          <w:lang w:eastAsia="en-GB"/>
        </w:rPr>
        <w:lastRenderedPageBreak/>
        <w:t xml:space="preserve">reduced sentence. </w:t>
      </w:r>
      <w:r w:rsidR="00EC54B8">
        <w:rPr>
          <w:rFonts w:ascii="Calibri" w:eastAsia="Times New Roman" w:hAnsi="Calibri" w:cs="Arial"/>
          <w:color w:val="000000"/>
          <w:shd w:val="clear" w:color="auto" w:fill="FFFFFF"/>
          <w:lang w:eastAsia="en-GB"/>
        </w:rPr>
        <w:t xml:space="preserve">Whereas in the second case in which he stabbed Colin, Ali not only has stabbed an innocent person, but he also has in fact stabbed and killed a witness to the previous crime. Ali in this case has gone against S.18 of the offences against the persons act in which he has caused grievous bodily harm </w:t>
      </w:r>
      <w:r w:rsidR="00A87224">
        <w:rPr>
          <w:rFonts w:ascii="Calibri" w:eastAsia="Times New Roman" w:hAnsi="Calibri" w:cs="Arial"/>
          <w:color w:val="000000"/>
          <w:shd w:val="clear" w:color="auto" w:fill="FFFFFF"/>
          <w:lang w:eastAsia="en-GB"/>
        </w:rPr>
        <w:t xml:space="preserve">with intent. In which he could serve up to life imprisoned.  </w:t>
      </w:r>
      <w:r w:rsidR="00A87224" w:rsidRPr="00A87224">
        <w:rPr>
          <w:rFonts w:ascii="Calibri" w:eastAsia="Times New Roman" w:hAnsi="Calibri" w:cs="Arial"/>
          <w:color w:val="000000"/>
          <w:shd w:val="clear" w:color="auto" w:fill="FFFFFF"/>
          <w:lang w:eastAsia="en-GB"/>
        </w:rPr>
        <w:t>‘</w:t>
      </w:r>
      <w:r w:rsidR="00A87224" w:rsidRPr="00A87224">
        <w:rPr>
          <w:rFonts w:ascii="Calibri" w:eastAsia="Times New Roman" w:hAnsi="Calibri" w:cs="Arial"/>
          <w:color w:val="000000"/>
          <w:shd w:val="clear" w:color="auto" w:fill="FFFFFF"/>
          <w:lang w:eastAsia="en-GB"/>
        </w:rPr>
        <w:t>Whosoever shall unlawfully and maliciously by any means whatsoever wound or cause any grievous bodily harm to any person</w:t>
      </w:r>
      <w:r w:rsidR="00A87224">
        <w:rPr>
          <w:rFonts w:ascii="Calibri" w:eastAsia="Times New Roman" w:hAnsi="Calibri" w:cs="Arial"/>
          <w:color w:val="000000"/>
          <w:shd w:val="clear" w:color="auto" w:fill="FFFFFF"/>
          <w:lang w:eastAsia="en-GB"/>
        </w:rPr>
        <w:t xml:space="preserve">… </w:t>
      </w:r>
      <w:r w:rsidR="00A87224" w:rsidRPr="00A87224">
        <w:rPr>
          <w:rFonts w:ascii="Calibri" w:eastAsia="Times New Roman" w:hAnsi="Calibri" w:cs="Arial"/>
          <w:color w:val="000000"/>
          <w:shd w:val="clear" w:color="auto" w:fill="FFFFFF"/>
          <w:lang w:eastAsia="en-GB"/>
        </w:rPr>
        <w:t> to be kept in penal servitude for life</w:t>
      </w:r>
      <w:r w:rsidR="00A87224" w:rsidRPr="00A87224">
        <w:rPr>
          <w:rFonts w:ascii="Calibri" w:eastAsia="Times New Roman" w:hAnsi="Calibri" w:cs="Arial"/>
          <w:color w:val="000000"/>
          <w:shd w:val="clear" w:color="auto" w:fill="FFFFFF"/>
          <w:lang w:eastAsia="en-GB"/>
        </w:rPr>
        <w:t>’</w:t>
      </w:r>
      <w:r w:rsidR="00A87224">
        <w:rPr>
          <w:rFonts w:ascii="Calibri" w:eastAsia="Times New Roman" w:hAnsi="Calibri" w:cs="Arial"/>
          <w:color w:val="000000"/>
          <w:shd w:val="clear" w:color="auto" w:fill="FFFFFF"/>
          <w:lang w:eastAsia="en-GB"/>
        </w:rPr>
        <w:t xml:space="preserve"> in which Ali has directly gone against. Again, as with the attack on Lee, although he may not have intended for Colin to have died, he should’ve had the foresight to understand that his action could have indeed led to the death of the victim. R v Savage [1992</w:t>
      </w:r>
      <w:r w:rsidR="004E4B8B">
        <w:rPr>
          <w:rFonts w:ascii="Calibri" w:eastAsia="Times New Roman" w:hAnsi="Calibri" w:cs="Arial"/>
          <w:color w:val="000000"/>
          <w:shd w:val="clear" w:color="auto" w:fill="FFFFFF"/>
          <w:lang w:eastAsia="en-GB"/>
        </w:rPr>
        <w:t xml:space="preserve">] although not directly similar does in fact have similar outcomes in which the victim ended up having their wrist cut. For the </w:t>
      </w:r>
      <w:proofErr w:type="spellStart"/>
      <w:r w:rsidR="004E4B8B">
        <w:rPr>
          <w:rFonts w:ascii="Calibri" w:eastAsia="Times New Roman" w:hAnsi="Calibri" w:cs="Arial"/>
          <w:color w:val="000000"/>
          <w:shd w:val="clear" w:color="auto" w:fill="FFFFFF"/>
          <w:lang w:eastAsia="en-GB"/>
        </w:rPr>
        <w:t>mens</w:t>
      </w:r>
      <w:proofErr w:type="spellEnd"/>
      <w:r w:rsidR="004E4B8B">
        <w:rPr>
          <w:rFonts w:ascii="Calibri" w:eastAsia="Times New Roman" w:hAnsi="Calibri" w:cs="Arial"/>
          <w:color w:val="000000"/>
          <w:shd w:val="clear" w:color="auto" w:fill="FFFFFF"/>
          <w:lang w:eastAsia="en-GB"/>
        </w:rPr>
        <w:t xml:space="preserve"> rea of the act committed to have been satisfied in is not required that the defendant had intended this exact level of harm to the victim, however it is sufficient that he or she should have foreseen that physical harm would come to the victim. With the evidence set up against Ali for a conviction of murder</w:t>
      </w:r>
      <w:r w:rsidR="002E6E04">
        <w:rPr>
          <w:rFonts w:ascii="Calibri" w:eastAsia="Times New Roman" w:hAnsi="Calibri" w:cs="Arial"/>
          <w:color w:val="000000"/>
          <w:shd w:val="clear" w:color="auto" w:fill="FFFFFF"/>
          <w:lang w:eastAsia="en-GB"/>
        </w:rPr>
        <w:t xml:space="preserve">, again with the case of R v </w:t>
      </w:r>
      <w:proofErr w:type="spellStart"/>
      <w:r w:rsidR="002E6E04">
        <w:rPr>
          <w:rFonts w:ascii="Calibri" w:eastAsia="Times New Roman" w:hAnsi="Calibri" w:cs="Arial"/>
          <w:color w:val="000000"/>
          <w:shd w:val="clear" w:color="auto" w:fill="FFFFFF"/>
          <w:lang w:eastAsia="en-GB"/>
        </w:rPr>
        <w:t>Woollin</w:t>
      </w:r>
      <w:proofErr w:type="spellEnd"/>
      <w:r w:rsidR="002E6E04">
        <w:rPr>
          <w:rFonts w:ascii="Calibri" w:eastAsia="Times New Roman" w:hAnsi="Calibri" w:cs="Arial"/>
          <w:color w:val="000000"/>
          <w:shd w:val="clear" w:color="auto" w:fill="FFFFFF"/>
          <w:lang w:eastAsia="en-GB"/>
        </w:rPr>
        <w:t xml:space="preserve"> in which the defendant had not intended the death of the victim, the intention behind the act could indeed have led to death as it had done in both cases against Ali, thus not really leaving him with any leeway to the letter of the law as in both cases there was an intent to cause GBH to the victims. The advice again that I would most likely give Ali would be to when it comes to trail would be to plead guilty as the evidence itself outweighs his appeal, due to the fact he had intended to cause harm on both accounts, however he would be more likely to receive a more lenient sentence </w:t>
      </w:r>
      <w:proofErr w:type="gramStart"/>
      <w:r w:rsidR="002E6E04">
        <w:rPr>
          <w:rFonts w:ascii="Calibri" w:eastAsia="Times New Roman" w:hAnsi="Calibri" w:cs="Arial"/>
          <w:color w:val="000000"/>
          <w:shd w:val="clear" w:color="auto" w:fill="FFFFFF"/>
          <w:lang w:eastAsia="en-GB"/>
        </w:rPr>
        <w:t>provided that</w:t>
      </w:r>
      <w:proofErr w:type="gramEnd"/>
      <w:r w:rsidR="002E6E04">
        <w:rPr>
          <w:rFonts w:ascii="Calibri" w:eastAsia="Times New Roman" w:hAnsi="Calibri" w:cs="Arial"/>
          <w:color w:val="000000"/>
          <w:shd w:val="clear" w:color="auto" w:fill="FFFFFF"/>
          <w:lang w:eastAsia="en-GB"/>
        </w:rPr>
        <w:t xml:space="preserve"> he has indeed shown remorse and regret of his actions. The likelihood of Ali’s case is that he would be charge with one count of manslaughter as his conduct did in fact take the form of an unlawful act leading to the danger and subsequent death of the first victim, Lee, however there are some mitigating circumstances in that case as there was a fight that had broken out prior to the assault of the doorman</w:t>
      </w:r>
      <w:r w:rsidR="004F05C0">
        <w:rPr>
          <w:rFonts w:ascii="Calibri" w:eastAsia="Times New Roman" w:hAnsi="Calibri" w:cs="Arial"/>
          <w:color w:val="000000"/>
          <w:shd w:val="clear" w:color="auto" w:fill="FFFFFF"/>
          <w:lang w:eastAsia="en-GB"/>
        </w:rPr>
        <w:t xml:space="preserve"> which was the catalyst for the entire act, whilst the action taken against Colin was an act of pure violence and aggression. In summary the overall advice that I would give Ali for his two crimes that he had committed would be to plead guilty on both accounts in the hope that because he had shown remorse for his actions that he may get a lightened sentence, as his acts would both qualify for GBH with intent thus could qualify for life imprisonment.</w:t>
      </w:r>
    </w:p>
    <w:p w14:paraId="1DB82D0B" w14:textId="3DA4AE5A" w:rsidR="004F05C0" w:rsidRDefault="004F05C0" w:rsidP="002E6E04">
      <w:pPr>
        <w:spacing w:line="360" w:lineRule="auto"/>
        <w:rPr>
          <w:rFonts w:ascii="Calibri" w:eastAsia="Times New Roman" w:hAnsi="Calibri" w:cs="Arial"/>
          <w:color w:val="000000"/>
          <w:shd w:val="clear" w:color="auto" w:fill="FFFFFF"/>
          <w:lang w:eastAsia="en-GB"/>
        </w:rPr>
      </w:pPr>
    </w:p>
    <w:p w14:paraId="71C184BD" w14:textId="2EB02CEE" w:rsidR="004F05C0" w:rsidRDefault="004F05C0" w:rsidP="002E6E04">
      <w:pPr>
        <w:spacing w:line="360" w:lineRule="auto"/>
        <w:rPr>
          <w:rFonts w:ascii="Times New Roman" w:eastAsia="Times New Roman" w:hAnsi="Times New Roman" w:cs="Times New Roman"/>
          <w:lang w:eastAsia="en-GB"/>
        </w:rPr>
      </w:pPr>
      <w:proofErr w:type="spellStart"/>
      <w:r w:rsidRPr="004F05C0">
        <w:rPr>
          <w:rFonts w:ascii="Times New Roman" w:eastAsia="Times New Roman" w:hAnsi="Times New Roman" w:cs="Times New Roman"/>
          <w:lang w:eastAsia="en-GB"/>
        </w:rPr>
        <w:lastRenderedPageBreak/>
        <w:t>LawTeacher</w:t>
      </w:r>
      <w:proofErr w:type="spellEnd"/>
      <w:r w:rsidRPr="004F05C0">
        <w:rPr>
          <w:rFonts w:ascii="Times New Roman" w:eastAsia="Times New Roman" w:hAnsi="Times New Roman" w:cs="Times New Roman"/>
          <w:lang w:eastAsia="en-GB"/>
        </w:rPr>
        <w:t>. November 2013. R v Clarke [1972] 1 All ER 219. [online]. Available from: https://www.lawteacher.net/cases/r-v-clarke.php?vref=1 [Accessed 26 April 2021].</w:t>
      </w:r>
    </w:p>
    <w:p w14:paraId="37B87EF4" w14:textId="3BEB1DF9" w:rsidR="004F05C0" w:rsidRDefault="004F05C0" w:rsidP="002E6E04">
      <w:pPr>
        <w:spacing w:line="360" w:lineRule="auto"/>
        <w:rPr>
          <w:rFonts w:ascii="Times New Roman" w:eastAsia="Times New Roman" w:hAnsi="Times New Roman" w:cs="Times New Roman"/>
          <w:lang w:eastAsia="en-GB"/>
        </w:rPr>
      </w:pPr>
    </w:p>
    <w:p w14:paraId="45E9B04D" w14:textId="61A19CFC" w:rsidR="004F05C0" w:rsidRDefault="004F05C0" w:rsidP="002E6E04">
      <w:pPr>
        <w:spacing w:line="360" w:lineRule="auto"/>
        <w:rPr>
          <w:rFonts w:ascii="Times New Roman" w:eastAsia="Times New Roman" w:hAnsi="Times New Roman" w:cs="Times New Roman"/>
          <w:lang w:eastAsia="en-GB"/>
        </w:rPr>
      </w:pPr>
      <w:proofErr w:type="spellStart"/>
      <w:r w:rsidRPr="004F05C0">
        <w:rPr>
          <w:rFonts w:ascii="Times New Roman" w:eastAsia="Times New Roman" w:hAnsi="Times New Roman" w:cs="Times New Roman"/>
          <w:lang w:eastAsia="en-GB"/>
        </w:rPr>
        <w:t>LawTeacher</w:t>
      </w:r>
      <w:proofErr w:type="spellEnd"/>
      <w:r w:rsidRPr="004F05C0">
        <w:rPr>
          <w:rFonts w:ascii="Times New Roman" w:eastAsia="Times New Roman" w:hAnsi="Times New Roman" w:cs="Times New Roman"/>
          <w:lang w:eastAsia="en-GB"/>
        </w:rPr>
        <w:t>. November 2013. R v Kemp (1957) 1 QB 399. [online]. Available from: https://www.lawteacher.net/cases/r-v-kemp.php?vref=1 [Accessed 26 April 2021].</w:t>
      </w:r>
    </w:p>
    <w:p w14:paraId="10104E1C" w14:textId="5C91447D" w:rsidR="004F05C0" w:rsidRDefault="004F05C0" w:rsidP="002E6E04">
      <w:pPr>
        <w:spacing w:line="360" w:lineRule="auto"/>
        <w:rPr>
          <w:rFonts w:ascii="Times New Roman" w:eastAsia="Times New Roman" w:hAnsi="Times New Roman" w:cs="Times New Roman"/>
          <w:lang w:eastAsia="en-GB"/>
        </w:rPr>
      </w:pPr>
    </w:p>
    <w:p w14:paraId="4BFD51B7" w14:textId="4794ECA5" w:rsidR="004F05C0" w:rsidRDefault="004F05C0" w:rsidP="002E6E04">
      <w:pPr>
        <w:spacing w:line="360" w:lineRule="auto"/>
        <w:rPr>
          <w:rFonts w:ascii="Times New Roman" w:eastAsia="Times New Roman" w:hAnsi="Times New Roman" w:cs="Times New Roman"/>
          <w:lang w:eastAsia="en-GB"/>
        </w:rPr>
      </w:pPr>
      <w:proofErr w:type="spellStart"/>
      <w:r w:rsidRPr="004F05C0">
        <w:rPr>
          <w:rFonts w:ascii="Times New Roman" w:eastAsia="Times New Roman" w:hAnsi="Times New Roman" w:cs="Times New Roman"/>
          <w:lang w:eastAsia="en-GB"/>
        </w:rPr>
        <w:t>LawTeacher</w:t>
      </w:r>
      <w:proofErr w:type="spellEnd"/>
      <w:r w:rsidRPr="004F05C0">
        <w:rPr>
          <w:rFonts w:ascii="Times New Roman" w:eastAsia="Times New Roman" w:hAnsi="Times New Roman" w:cs="Times New Roman"/>
          <w:lang w:eastAsia="en-GB"/>
        </w:rPr>
        <w:t>. November 2013. R v Hennessy - 1989. [online]. Available from: https://www.lawteacher.net/cases/r-v-hennessy.php?vref=1 [Accessed 26 April 2021].</w:t>
      </w:r>
    </w:p>
    <w:p w14:paraId="37474DAF" w14:textId="457C00F3" w:rsidR="004F05C0" w:rsidRDefault="004F05C0" w:rsidP="002E6E04">
      <w:pPr>
        <w:spacing w:line="360" w:lineRule="auto"/>
        <w:rPr>
          <w:rFonts w:ascii="Times New Roman" w:eastAsia="Times New Roman" w:hAnsi="Times New Roman" w:cs="Times New Roman"/>
          <w:lang w:eastAsia="en-GB"/>
        </w:rPr>
      </w:pPr>
    </w:p>
    <w:p w14:paraId="413D43F7" w14:textId="4A0C6FE6" w:rsidR="004F05C0" w:rsidRDefault="00B12796" w:rsidP="002E6E04">
      <w:pPr>
        <w:spacing w:line="360" w:lineRule="auto"/>
        <w:rPr>
          <w:rFonts w:ascii="Times New Roman" w:eastAsia="Times New Roman" w:hAnsi="Times New Roman" w:cs="Times New Roman"/>
          <w:lang w:eastAsia="en-GB"/>
        </w:rPr>
      </w:pPr>
      <w:proofErr w:type="spellStart"/>
      <w:r w:rsidRPr="00B12796">
        <w:rPr>
          <w:rFonts w:ascii="Times New Roman" w:eastAsia="Times New Roman" w:hAnsi="Times New Roman" w:cs="Times New Roman"/>
          <w:lang w:eastAsia="en-GB"/>
        </w:rPr>
        <w:t>LawTeacher</w:t>
      </w:r>
      <w:proofErr w:type="spellEnd"/>
      <w:r w:rsidRPr="00B12796">
        <w:rPr>
          <w:rFonts w:ascii="Times New Roman" w:eastAsia="Times New Roman" w:hAnsi="Times New Roman" w:cs="Times New Roman"/>
          <w:lang w:eastAsia="en-GB"/>
        </w:rPr>
        <w:t>. November 2013. R v Quick [1973] QB 910. [online]. Available from: https://www.lawteacher.net/cases/r-v-quick.php?vref=1 [Accessed 1 May 2021].</w:t>
      </w:r>
    </w:p>
    <w:p w14:paraId="7C03FD4E" w14:textId="77777777" w:rsidR="00B12796" w:rsidRDefault="00B12796" w:rsidP="002E6E04">
      <w:pPr>
        <w:spacing w:line="360" w:lineRule="auto"/>
        <w:rPr>
          <w:rFonts w:ascii="Times New Roman" w:eastAsia="Times New Roman" w:hAnsi="Times New Roman" w:cs="Times New Roman"/>
          <w:lang w:eastAsia="en-GB"/>
        </w:rPr>
      </w:pPr>
    </w:p>
    <w:p w14:paraId="5A2DA5BE" w14:textId="1BC8A8E4" w:rsidR="00B12796" w:rsidRDefault="00B12796" w:rsidP="002E6E04">
      <w:pPr>
        <w:spacing w:line="360" w:lineRule="auto"/>
        <w:rPr>
          <w:rFonts w:ascii="Times New Roman" w:eastAsia="Times New Roman" w:hAnsi="Times New Roman" w:cs="Times New Roman"/>
          <w:lang w:eastAsia="en-GB"/>
        </w:rPr>
      </w:pPr>
      <w:proofErr w:type="spellStart"/>
      <w:r w:rsidRPr="00B12796">
        <w:rPr>
          <w:rFonts w:ascii="Times New Roman" w:eastAsia="Times New Roman" w:hAnsi="Times New Roman" w:cs="Times New Roman"/>
          <w:lang w:eastAsia="en-GB"/>
        </w:rPr>
        <w:t>LawTeacher</w:t>
      </w:r>
      <w:proofErr w:type="spellEnd"/>
      <w:r w:rsidRPr="00B12796">
        <w:rPr>
          <w:rFonts w:ascii="Times New Roman" w:eastAsia="Times New Roman" w:hAnsi="Times New Roman" w:cs="Times New Roman"/>
          <w:lang w:eastAsia="en-GB"/>
        </w:rPr>
        <w:t xml:space="preserve">. November 2013. R v </w:t>
      </w:r>
      <w:proofErr w:type="spellStart"/>
      <w:r w:rsidRPr="00B12796">
        <w:rPr>
          <w:rFonts w:ascii="Times New Roman" w:eastAsia="Times New Roman" w:hAnsi="Times New Roman" w:cs="Times New Roman"/>
          <w:lang w:eastAsia="en-GB"/>
        </w:rPr>
        <w:t>Codere</w:t>
      </w:r>
      <w:proofErr w:type="spellEnd"/>
      <w:r w:rsidRPr="00B12796">
        <w:rPr>
          <w:rFonts w:ascii="Times New Roman" w:eastAsia="Times New Roman" w:hAnsi="Times New Roman" w:cs="Times New Roman"/>
          <w:lang w:eastAsia="en-GB"/>
        </w:rPr>
        <w:t xml:space="preserve"> - 1916. [online]. Available from: https://www.lawteacher.net/cases/r-v-codere.php?vref=1 [Accessed 26 April 2021].</w:t>
      </w:r>
    </w:p>
    <w:p w14:paraId="3757A335" w14:textId="77777777" w:rsidR="00B12796" w:rsidRPr="00A87224" w:rsidRDefault="00B12796" w:rsidP="002E6E04">
      <w:pPr>
        <w:spacing w:line="360" w:lineRule="auto"/>
        <w:rPr>
          <w:rFonts w:ascii="Times New Roman" w:eastAsia="Times New Roman" w:hAnsi="Times New Roman" w:cs="Times New Roman"/>
          <w:lang w:eastAsia="en-GB"/>
        </w:rPr>
      </w:pPr>
    </w:p>
    <w:p w14:paraId="45ED2EEC" w14:textId="3CFEB93E" w:rsidR="00D00B73" w:rsidRPr="00D00B73" w:rsidRDefault="00B12796" w:rsidP="00C70692">
      <w:pPr>
        <w:spacing w:line="360" w:lineRule="auto"/>
        <w:rPr>
          <w:rFonts w:ascii="Calibri" w:eastAsia="Times New Roman" w:hAnsi="Calibri" w:cs="Times New Roman"/>
          <w:lang w:eastAsia="en-GB"/>
        </w:rPr>
      </w:pPr>
      <w:proofErr w:type="spellStart"/>
      <w:r w:rsidRPr="00B12796">
        <w:rPr>
          <w:rFonts w:ascii="Calibri" w:eastAsia="Times New Roman" w:hAnsi="Calibri" w:cs="Times New Roman"/>
          <w:lang w:eastAsia="en-GB"/>
        </w:rPr>
        <w:t>LawTeacher</w:t>
      </w:r>
      <w:proofErr w:type="spellEnd"/>
      <w:r w:rsidRPr="00B12796">
        <w:rPr>
          <w:rFonts w:ascii="Calibri" w:eastAsia="Times New Roman" w:hAnsi="Calibri" w:cs="Times New Roman"/>
          <w:lang w:eastAsia="en-GB"/>
        </w:rPr>
        <w:t>. November 2013. R v Windle - 1952. [online]. Available from: https://www.lawteacher.net/cases/r-v-windle.php?vref=1 [Accessed 26 April 2021].</w:t>
      </w:r>
    </w:p>
    <w:p w14:paraId="0B2A192F" w14:textId="1315668E" w:rsidR="001B2050" w:rsidRDefault="001B2050" w:rsidP="0049451B">
      <w:pPr>
        <w:spacing w:line="360" w:lineRule="auto"/>
      </w:pPr>
    </w:p>
    <w:p w14:paraId="370BFFB2" w14:textId="5643FBA3" w:rsidR="00B12796" w:rsidRDefault="00B12796" w:rsidP="0049451B">
      <w:pPr>
        <w:spacing w:line="360" w:lineRule="auto"/>
      </w:pPr>
      <w:proofErr w:type="spellStart"/>
      <w:r w:rsidRPr="00B12796">
        <w:t>LawTeacher</w:t>
      </w:r>
      <w:proofErr w:type="spellEnd"/>
      <w:r w:rsidRPr="00B12796">
        <w:t>. November 2013. R v Johnson - 2007. [online]. Available from: https://www.lawteacher.net/cases/r-v-johnson.php?vref=1 [Accessed 26 April 2021].</w:t>
      </w:r>
    </w:p>
    <w:p w14:paraId="09196DAA" w14:textId="2F90D73E" w:rsidR="00B12796" w:rsidRDefault="00B12796" w:rsidP="0049451B">
      <w:pPr>
        <w:spacing w:line="360" w:lineRule="auto"/>
      </w:pPr>
    </w:p>
    <w:p w14:paraId="629E401C" w14:textId="40BB6FE5" w:rsidR="00B12796" w:rsidRDefault="00B12796" w:rsidP="0049451B">
      <w:pPr>
        <w:spacing w:line="360" w:lineRule="auto"/>
      </w:pPr>
      <w:proofErr w:type="spellStart"/>
      <w:r>
        <w:t>Casemine</w:t>
      </w:r>
      <w:proofErr w:type="spellEnd"/>
      <w:r>
        <w:t xml:space="preserve">. ND. Regina V Quick &amp; Anor 1972, [online] Available from: </w:t>
      </w:r>
      <w:hyperlink r:id="rId5" w:history="1">
        <w:r w:rsidRPr="00637023">
          <w:rPr>
            <w:rStyle w:val="Hyperlink"/>
          </w:rPr>
          <w:t>https://www.casemine.com/judgement/uk/5a8ff87960d03e7f57ec10d8</w:t>
        </w:r>
      </w:hyperlink>
      <w:r>
        <w:t xml:space="preserve"> [Accessed 27 April 2021]</w:t>
      </w:r>
    </w:p>
    <w:p w14:paraId="71C06D18" w14:textId="7E2627CD" w:rsidR="00B12796" w:rsidRDefault="00B12796" w:rsidP="0049451B">
      <w:pPr>
        <w:spacing w:line="360" w:lineRule="auto"/>
      </w:pPr>
    </w:p>
    <w:p w14:paraId="18D1EDDE" w14:textId="45AFA36C" w:rsidR="00B12796" w:rsidRDefault="00B12796" w:rsidP="0049451B">
      <w:pPr>
        <w:spacing w:line="360" w:lineRule="auto"/>
      </w:pPr>
      <w:r>
        <w:t>E-</w:t>
      </w:r>
      <w:proofErr w:type="spellStart"/>
      <w:r>
        <w:t>lawresources</w:t>
      </w:r>
      <w:proofErr w:type="spellEnd"/>
      <w:r>
        <w:t xml:space="preserve">. ND. Defence of insanity, [online] Available from:  </w:t>
      </w:r>
      <w:hyperlink r:id="rId6" w:history="1">
        <w:r w:rsidRPr="00637023">
          <w:rPr>
            <w:rStyle w:val="Hyperlink"/>
          </w:rPr>
          <w:t>http://www.e-lawresources.co.uk/Insanity.php</w:t>
        </w:r>
      </w:hyperlink>
      <w:r>
        <w:t xml:space="preserve"> [Accessed 27 April 2021]</w:t>
      </w:r>
    </w:p>
    <w:p w14:paraId="7E1D3907" w14:textId="4221B6BB" w:rsidR="00B12796" w:rsidRPr="00B12796" w:rsidRDefault="00B12796" w:rsidP="0049451B">
      <w:pPr>
        <w:spacing w:line="360" w:lineRule="auto"/>
        <w:rPr>
          <w:rFonts w:ascii="Calibri" w:hAnsi="Calibri"/>
        </w:rPr>
      </w:pPr>
    </w:p>
    <w:p w14:paraId="7E792DFF" w14:textId="2BCB1E6F" w:rsidR="00B12796" w:rsidRDefault="00B12796" w:rsidP="00B12796">
      <w:pPr>
        <w:rPr>
          <w:rFonts w:ascii="Calibri" w:eastAsia="Times New Roman" w:hAnsi="Calibri" w:cs="Arial"/>
          <w:color w:val="303030"/>
          <w:shd w:val="clear" w:color="auto" w:fill="FFFFFF"/>
          <w:lang w:eastAsia="en-GB"/>
        </w:rPr>
      </w:pPr>
      <w:r w:rsidRPr="00B12796">
        <w:rPr>
          <w:rFonts w:ascii="Calibri" w:eastAsia="Times New Roman" w:hAnsi="Calibri" w:cs="Arial"/>
          <w:color w:val="303030"/>
          <w:shd w:val="clear" w:color="auto" w:fill="FFFFFF"/>
          <w:lang w:eastAsia="en-GB"/>
        </w:rPr>
        <w:t xml:space="preserve">Coleman, A. H., &amp; Davidson, A. T. (1978). </w:t>
      </w:r>
      <w:proofErr w:type="spellStart"/>
      <w:r w:rsidRPr="00B12796">
        <w:rPr>
          <w:rFonts w:ascii="Calibri" w:eastAsia="Times New Roman" w:hAnsi="Calibri" w:cs="Arial"/>
          <w:color w:val="303030"/>
          <w:shd w:val="clear" w:color="auto" w:fill="FFFFFF"/>
          <w:lang w:eastAsia="en-GB"/>
        </w:rPr>
        <w:t>M'Naghten</w:t>
      </w:r>
      <w:proofErr w:type="spellEnd"/>
      <w:r w:rsidRPr="00B12796">
        <w:rPr>
          <w:rFonts w:ascii="Calibri" w:eastAsia="Times New Roman" w:hAnsi="Calibri" w:cs="Arial"/>
          <w:color w:val="303030"/>
          <w:shd w:val="clear" w:color="auto" w:fill="FFFFFF"/>
          <w:lang w:eastAsia="en-GB"/>
        </w:rPr>
        <w:t xml:space="preserve"> rule: the right or wrong of criminal law. </w:t>
      </w:r>
      <w:r w:rsidRPr="00B12796">
        <w:rPr>
          <w:rFonts w:ascii="Calibri" w:eastAsia="Times New Roman" w:hAnsi="Calibri" w:cs="Arial"/>
          <w:i/>
          <w:iCs/>
          <w:color w:val="303030"/>
          <w:shd w:val="clear" w:color="auto" w:fill="FFFFFF"/>
          <w:lang w:eastAsia="en-GB"/>
        </w:rPr>
        <w:t>Journal of the National Medical Association</w:t>
      </w:r>
      <w:r w:rsidRPr="00B12796">
        <w:rPr>
          <w:rFonts w:ascii="Calibri" w:eastAsia="Times New Roman" w:hAnsi="Calibri" w:cs="Arial"/>
          <w:color w:val="303030"/>
          <w:shd w:val="clear" w:color="auto" w:fill="FFFFFF"/>
          <w:lang w:eastAsia="en-GB"/>
        </w:rPr>
        <w:t>, </w:t>
      </w:r>
      <w:r w:rsidRPr="00B12796">
        <w:rPr>
          <w:rFonts w:ascii="Calibri" w:eastAsia="Times New Roman" w:hAnsi="Calibri" w:cs="Arial"/>
          <w:i/>
          <w:iCs/>
          <w:color w:val="303030"/>
          <w:shd w:val="clear" w:color="auto" w:fill="FFFFFF"/>
          <w:lang w:eastAsia="en-GB"/>
        </w:rPr>
        <w:t>70</w:t>
      </w:r>
      <w:r w:rsidRPr="00B12796">
        <w:rPr>
          <w:rFonts w:ascii="Calibri" w:eastAsia="Times New Roman" w:hAnsi="Calibri" w:cs="Arial"/>
          <w:color w:val="303030"/>
          <w:shd w:val="clear" w:color="auto" w:fill="FFFFFF"/>
          <w:lang w:eastAsia="en-GB"/>
        </w:rPr>
        <w:t>(8), 599.</w:t>
      </w:r>
      <w:r>
        <w:rPr>
          <w:rFonts w:ascii="Calibri" w:eastAsia="Times New Roman" w:hAnsi="Calibri" w:cs="Arial"/>
          <w:color w:val="303030"/>
          <w:shd w:val="clear" w:color="auto" w:fill="FFFFFF"/>
          <w:lang w:eastAsia="en-GB"/>
        </w:rPr>
        <w:t xml:space="preserve"> [Online] Available at: </w:t>
      </w:r>
      <w:hyperlink r:id="rId7" w:history="1">
        <w:r w:rsidRPr="00637023">
          <w:rPr>
            <w:rStyle w:val="Hyperlink"/>
            <w:rFonts w:ascii="Calibri" w:eastAsia="Times New Roman" w:hAnsi="Calibri" w:cs="Arial"/>
            <w:shd w:val="clear" w:color="auto" w:fill="FFFFFF"/>
            <w:lang w:eastAsia="en-GB"/>
          </w:rPr>
          <w:t>https://www.ncbi.nlm.nih.gov/pmc/articles/PMC2537203/?page=1</w:t>
        </w:r>
      </w:hyperlink>
    </w:p>
    <w:p w14:paraId="57BE4F38" w14:textId="2A5B52E1" w:rsidR="00B12796" w:rsidRDefault="00B12796" w:rsidP="00B12796">
      <w:pPr>
        <w:rPr>
          <w:rFonts w:ascii="Calibri" w:eastAsia="Times New Roman" w:hAnsi="Calibri" w:cs="Arial"/>
          <w:color w:val="303030"/>
          <w:shd w:val="clear" w:color="auto" w:fill="FFFFFF"/>
          <w:lang w:eastAsia="en-GB"/>
        </w:rPr>
      </w:pPr>
    </w:p>
    <w:p w14:paraId="0C875151" w14:textId="3E474028" w:rsidR="00B12796" w:rsidRDefault="00B12796" w:rsidP="00B12796">
      <w:pPr>
        <w:rPr>
          <w:rFonts w:ascii="Calibri" w:eastAsia="Times New Roman" w:hAnsi="Calibri" w:cs="Arial"/>
          <w:color w:val="303030"/>
          <w:shd w:val="clear" w:color="auto" w:fill="FFFFFF"/>
          <w:lang w:eastAsia="en-GB"/>
        </w:rPr>
      </w:pPr>
    </w:p>
    <w:p w14:paraId="4E750D0E" w14:textId="539B2EAA" w:rsidR="00B12796" w:rsidRDefault="00B12796" w:rsidP="00B12796">
      <w:r>
        <w:rPr>
          <w:rFonts w:ascii="Calibri" w:eastAsia="Times New Roman" w:hAnsi="Calibri" w:cs="Arial"/>
          <w:color w:val="303030"/>
          <w:shd w:val="clear" w:color="auto" w:fill="FFFFFF"/>
          <w:lang w:eastAsia="en-GB"/>
        </w:rPr>
        <w:lastRenderedPageBreak/>
        <w:t>CPS</w:t>
      </w:r>
      <w:r w:rsidR="00DD19D6">
        <w:rPr>
          <w:rFonts w:ascii="Calibri" w:eastAsia="Times New Roman" w:hAnsi="Calibri" w:cs="Arial"/>
          <w:color w:val="303030"/>
          <w:shd w:val="clear" w:color="auto" w:fill="FFFFFF"/>
          <w:lang w:eastAsia="en-GB"/>
        </w:rPr>
        <w:t>, ND, Mental Health Conditions and Disorders: Draft Prosecution Guidance [online] Available at:</w:t>
      </w:r>
      <w:r w:rsidR="00DD19D6">
        <w:t xml:space="preserve"> </w:t>
      </w:r>
      <w:hyperlink r:id="rId8" w:history="1">
        <w:r w:rsidR="00DD19D6" w:rsidRPr="00637023">
          <w:rPr>
            <w:rStyle w:val="Hyperlink"/>
          </w:rPr>
          <w:t>https://www.cps.gov.uk/publication/mental-health-conditions-and-disorders-draft-prosecution-guidance</w:t>
        </w:r>
      </w:hyperlink>
    </w:p>
    <w:p w14:paraId="62436E04" w14:textId="035A0481" w:rsidR="00DD19D6" w:rsidRDefault="00DD19D6" w:rsidP="00B12796"/>
    <w:p w14:paraId="2F6B8D0D" w14:textId="4C0EEA70" w:rsidR="00DD19D6" w:rsidRDefault="00DD19D6" w:rsidP="00B12796"/>
    <w:p w14:paraId="226C0112" w14:textId="3246B4E2" w:rsidR="00B12796" w:rsidRDefault="00DD19D6" w:rsidP="0049451B">
      <w:pPr>
        <w:spacing w:line="360" w:lineRule="auto"/>
      </w:pPr>
      <w:r>
        <w:t xml:space="preserve">Laver. N, ND, Insanity as a criminal defence, [online] Available at: </w:t>
      </w:r>
      <w:hyperlink r:id="rId9" w:history="1">
        <w:r w:rsidRPr="00637023">
          <w:rPr>
            <w:rStyle w:val="Hyperlink"/>
          </w:rPr>
          <w:t>https://www.inbrief.co.uk/court-proceedings/insanity-as-a-criminal-defence/</w:t>
        </w:r>
      </w:hyperlink>
      <w:r>
        <w:t xml:space="preserve"> </w:t>
      </w:r>
    </w:p>
    <w:p w14:paraId="5D9613B2" w14:textId="617E8C72" w:rsidR="00DD19D6" w:rsidRDefault="00DD19D6" w:rsidP="0049451B">
      <w:pPr>
        <w:spacing w:line="360" w:lineRule="auto"/>
      </w:pPr>
    </w:p>
    <w:p w14:paraId="4EDEEA1F" w14:textId="737A01CA" w:rsidR="00DD19D6" w:rsidRDefault="00DD19D6" w:rsidP="0049451B">
      <w:pPr>
        <w:spacing w:line="360" w:lineRule="auto"/>
      </w:pPr>
      <w:proofErr w:type="spellStart"/>
      <w:r w:rsidRPr="00DD19D6">
        <w:t>LawTeacher</w:t>
      </w:r>
      <w:proofErr w:type="spellEnd"/>
      <w:r w:rsidRPr="00DD19D6">
        <w:t>. November 2013. The Defence of Diminished Responsibility. [online]. Available from: https://www.lawteacher.net/free-law-essays/criminal-law/the-defence-of-diminished-responsibility-law-essays.php?vref=1 [Accessed 29 April 2021].</w:t>
      </w:r>
    </w:p>
    <w:p w14:paraId="2AA389A3" w14:textId="5EE3F161" w:rsidR="00DD19D6" w:rsidRDefault="00DD19D6" w:rsidP="0049451B">
      <w:pPr>
        <w:spacing w:line="360" w:lineRule="auto"/>
      </w:pPr>
    </w:p>
    <w:p w14:paraId="69AFF4CC" w14:textId="05CE3A4E" w:rsidR="00DD19D6" w:rsidRDefault="00DD19D6" w:rsidP="0049451B">
      <w:pPr>
        <w:spacing w:line="360" w:lineRule="auto"/>
      </w:pPr>
      <w:r>
        <w:t xml:space="preserve">Homicide act, 1957, Persons suffering from diminished responsibility, [online] Available at: </w:t>
      </w:r>
      <w:hyperlink r:id="rId10" w:history="1">
        <w:r w:rsidRPr="00637023">
          <w:rPr>
            <w:rStyle w:val="Hyperlink"/>
          </w:rPr>
          <w:t>https://www.legislation.gov.uk/ukpga/Eliz2/5-6/11/section/2</w:t>
        </w:r>
      </w:hyperlink>
    </w:p>
    <w:p w14:paraId="4269488D" w14:textId="539F6627" w:rsidR="00DD19D6" w:rsidRDefault="00DD19D6" w:rsidP="0049451B">
      <w:pPr>
        <w:spacing w:line="360" w:lineRule="auto"/>
      </w:pPr>
    </w:p>
    <w:p w14:paraId="251EB944" w14:textId="00CD4204" w:rsidR="00DD19D6" w:rsidRDefault="00DD19D6" w:rsidP="0049451B">
      <w:pPr>
        <w:spacing w:line="360" w:lineRule="auto"/>
      </w:pPr>
      <w:r>
        <w:t xml:space="preserve">The law commission, A criminal code for England and Wales, Volume 2, </w:t>
      </w:r>
      <w:r w:rsidR="00033B88">
        <w:t xml:space="preserve">pg.51. [online] available at: </w:t>
      </w:r>
      <w:hyperlink r:id="rId11" w:history="1">
        <w:r w:rsidR="00033B88" w:rsidRPr="00637023">
          <w:rPr>
            <w:rStyle w:val="Hyperlink"/>
          </w:rPr>
          <w:t>http://www.lawcom.gov.uk/app/uploads/2015/06/Criminal_Code_177_2.pdf</w:t>
        </w:r>
      </w:hyperlink>
    </w:p>
    <w:p w14:paraId="1BD29AA7" w14:textId="5D6A54CA" w:rsidR="00033B88" w:rsidRDefault="00033B88" w:rsidP="0049451B">
      <w:pPr>
        <w:spacing w:line="360" w:lineRule="auto"/>
      </w:pPr>
    </w:p>
    <w:p w14:paraId="5343B235" w14:textId="4A56BBE0" w:rsidR="00033B88" w:rsidRDefault="00033B88" w:rsidP="0049451B">
      <w:pPr>
        <w:spacing w:line="360" w:lineRule="auto"/>
      </w:pPr>
      <w:r>
        <w:t xml:space="preserve">Meagher, J.F.W. 1923. Journal of Criminal Law and Criminology, Crime and Insanity the legal as opposed to the medical view and the </w:t>
      </w:r>
      <w:proofErr w:type="gramStart"/>
      <w:r>
        <w:t>most commonly asserted</w:t>
      </w:r>
      <w:proofErr w:type="gramEnd"/>
      <w:r>
        <w:t xml:space="preserve"> pleas. Volume 14, issue 1, Article 6, [online] available at: </w:t>
      </w:r>
      <w:hyperlink r:id="rId12" w:history="1">
        <w:r w:rsidRPr="00637023">
          <w:rPr>
            <w:rStyle w:val="Hyperlink"/>
          </w:rPr>
          <w:t>https://core.ac.uk/download/pdf/207833021.pdf</w:t>
        </w:r>
      </w:hyperlink>
    </w:p>
    <w:p w14:paraId="47614716" w14:textId="7C72611B" w:rsidR="00033B88" w:rsidRDefault="00033B88" w:rsidP="0049451B">
      <w:pPr>
        <w:spacing w:line="360" w:lineRule="auto"/>
      </w:pPr>
    </w:p>
    <w:p w14:paraId="4B0435C1" w14:textId="2BD37B6A" w:rsidR="00033B88" w:rsidRDefault="00033B88" w:rsidP="0049451B">
      <w:pPr>
        <w:spacing w:line="360" w:lineRule="auto"/>
      </w:pPr>
      <w:r>
        <w:t xml:space="preserve">Math, S.B, Et al Kumar, C.N, </w:t>
      </w:r>
      <w:proofErr w:type="spellStart"/>
      <w:r>
        <w:t>Moirangthem</w:t>
      </w:r>
      <w:proofErr w:type="spellEnd"/>
      <w:r>
        <w:t>, S. October 2015, Insanity Defence: Past, Present and future, [online] available online:</w:t>
      </w:r>
      <w:r>
        <w:t xml:space="preserve"> </w:t>
      </w:r>
      <w:hyperlink r:id="rId13" w:history="1">
        <w:r w:rsidRPr="00637023">
          <w:rPr>
            <w:rStyle w:val="Hyperlink"/>
          </w:rPr>
          <w:t>https://www.ncbi.nlm.nih.gov/pmc/articles/PMC4676201/</w:t>
        </w:r>
      </w:hyperlink>
    </w:p>
    <w:p w14:paraId="6B324E1F" w14:textId="6592C4F6" w:rsidR="00033B88" w:rsidRDefault="00033B88" w:rsidP="0049451B">
      <w:pPr>
        <w:spacing w:line="360" w:lineRule="auto"/>
      </w:pPr>
    </w:p>
    <w:p w14:paraId="4A9AF792" w14:textId="77777777" w:rsidR="00033B88" w:rsidRDefault="00033B88" w:rsidP="0049451B">
      <w:pPr>
        <w:spacing w:line="360" w:lineRule="auto"/>
      </w:pPr>
    </w:p>
    <w:p w14:paraId="46B8BCF0" w14:textId="709E9E47" w:rsidR="00033B88" w:rsidRDefault="00033B88" w:rsidP="0049451B">
      <w:pPr>
        <w:spacing w:line="360" w:lineRule="auto"/>
      </w:pPr>
      <w:r>
        <w:t>e-</w:t>
      </w:r>
      <w:proofErr w:type="spellStart"/>
      <w:r>
        <w:t>lawresources</w:t>
      </w:r>
      <w:proofErr w:type="spellEnd"/>
      <w:r>
        <w:t xml:space="preserve">, ND, </w:t>
      </w:r>
      <w:proofErr w:type="spellStart"/>
      <w:r>
        <w:t>M’Naghten</w:t>
      </w:r>
      <w:proofErr w:type="spellEnd"/>
      <w:r>
        <w:t xml:space="preserve"> [1843], [o</w:t>
      </w:r>
      <w:r w:rsidR="00983F2C">
        <w:t xml:space="preserve">nline] available at: </w:t>
      </w:r>
      <w:hyperlink r:id="rId14" w:history="1">
        <w:r w:rsidR="00983F2C" w:rsidRPr="00637023">
          <w:rPr>
            <w:rStyle w:val="Hyperlink"/>
          </w:rPr>
          <w:t>http://www.e-lawresources.co.uk/M'Naghten.php#:~:text=M'Naghten&amp;text=Daniel%20M'Naghten%20attempted%20to,Drummond%2C%20the%20Prime%20Minister's%20Secretary.&amp;text=The%20House%20of%20Lords%20formulated,the%20grounds%20of%20being%20insane</w:t>
        </w:r>
      </w:hyperlink>
      <w:r w:rsidR="00983F2C" w:rsidRPr="00983F2C">
        <w:t>.</w:t>
      </w:r>
    </w:p>
    <w:p w14:paraId="483BA59B" w14:textId="102AED27" w:rsidR="00983F2C" w:rsidRDefault="00983F2C" w:rsidP="0049451B">
      <w:pPr>
        <w:spacing w:line="360" w:lineRule="auto"/>
      </w:pPr>
    </w:p>
    <w:p w14:paraId="59D89F3F" w14:textId="666228EC" w:rsidR="00983F2C" w:rsidRDefault="00983F2C" w:rsidP="0049451B">
      <w:pPr>
        <w:spacing w:line="360" w:lineRule="auto"/>
      </w:pPr>
    </w:p>
    <w:p w14:paraId="5EC8DB4C" w14:textId="5FEFC450" w:rsidR="00983F2C" w:rsidRDefault="00983F2C" w:rsidP="0049451B">
      <w:pPr>
        <w:spacing w:line="360" w:lineRule="auto"/>
      </w:pPr>
      <w:r>
        <w:lastRenderedPageBreak/>
        <w:t xml:space="preserve">CPS, 14 October 2019, Mental Health: Suspects and Defendants with </w:t>
      </w:r>
      <w:proofErr w:type="spellStart"/>
      <w:r>
        <w:t>Menatal</w:t>
      </w:r>
      <w:proofErr w:type="spellEnd"/>
      <w:r>
        <w:t xml:space="preserve"> Health Conditions or Disorders, [online] available at: </w:t>
      </w:r>
      <w:hyperlink r:id="rId15" w:history="1">
        <w:r w:rsidRPr="00637023">
          <w:rPr>
            <w:rStyle w:val="Hyperlink"/>
          </w:rPr>
          <w:t>https://www.cps.gov.uk/legal-guidance/mental-health-suspects-and-defendants-mental-health-conditions-or-disorders</w:t>
        </w:r>
      </w:hyperlink>
    </w:p>
    <w:p w14:paraId="7133CCCB" w14:textId="0C4B164B" w:rsidR="00983F2C" w:rsidRDefault="00983F2C" w:rsidP="0049451B">
      <w:pPr>
        <w:spacing w:line="360" w:lineRule="auto"/>
      </w:pPr>
    </w:p>
    <w:p w14:paraId="37A2FDEF" w14:textId="5035763F" w:rsidR="00983F2C" w:rsidRDefault="00983F2C" w:rsidP="0049451B">
      <w:pPr>
        <w:spacing w:line="360" w:lineRule="auto"/>
      </w:pPr>
      <w:r>
        <w:t xml:space="preserve">Talk law, 29 April 2014, Insanity and Automatism: The Dysfunctional Defences, [online] available at: </w:t>
      </w:r>
      <w:hyperlink r:id="rId16" w:history="1">
        <w:r w:rsidRPr="00637023">
          <w:rPr>
            <w:rStyle w:val="Hyperlink"/>
          </w:rPr>
          <w:t>http://www.keepcalmtalklaw.co.uk/insanity-automatism-the-dysfunctional-defences/</w:t>
        </w:r>
      </w:hyperlink>
    </w:p>
    <w:p w14:paraId="209DB037" w14:textId="2E0624E8" w:rsidR="00983F2C" w:rsidRDefault="00983F2C" w:rsidP="0049451B">
      <w:pPr>
        <w:spacing w:line="360" w:lineRule="auto"/>
      </w:pPr>
    </w:p>
    <w:p w14:paraId="3CC29FD7" w14:textId="3C136917" w:rsidR="00983F2C" w:rsidRDefault="00983F2C" w:rsidP="0049451B">
      <w:pPr>
        <w:spacing w:line="360" w:lineRule="auto"/>
      </w:pPr>
      <w:r>
        <w:t xml:space="preserve">CPS, 12 March 2019, Mental Health Conditions and Disorders: Draft Prosecution Guidance, [online] available at: </w:t>
      </w:r>
      <w:hyperlink r:id="rId17" w:history="1">
        <w:r w:rsidRPr="00637023">
          <w:rPr>
            <w:rStyle w:val="Hyperlink"/>
          </w:rPr>
          <w:t>https://www.cps.gov.uk/publication/mental-health-conditions-and-disorders-draft-prosecution-guidance</w:t>
        </w:r>
      </w:hyperlink>
    </w:p>
    <w:p w14:paraId="49F95A75" w14:textId="4FB365F4" w:rsidR="00983F2C" w:rsidRDefault="00983F2C" w:rsidP="0049451B">
      <w:pPr>
        <w:spacing w:line="360" w:lineRule="auto"/>
      </w:pPr>
    </w:p>
    <w:p w14:paraId="305B303C" w14:textId="7B415046" w:rsidR="00983F2C" w:rsidRDefault="00983F2C" w:rsidP="0049451B">
      <w:pPr>
        <w:spacing w:line="360" w:lineRule="auto"/>
      </w:pPr>
      <w:r>
        <w:t xml:space="preserve">The Law Commission, Unfitness to Plead, [online] available at: </w:t>
      </w:r>
      <w:hyperlink r:id="rId18" w:history="1">
        <w:r w:rsidRPr="00637023">
          <w:rPr>
            <w:rStyle w:val="Hyperlink"/>
          </w:rPr>
          <w:t>http://www.lawcom.gov.uk/app/uploads/2015/06/cp197_Unfitness_to_Plead_web.pdf</w:t>
        </w:r>
      </w:hyperlink>
    </w:p>
    <w:p w14:paraId="4E8EC6BA" w14:textId="13B1925B" w:rsidR="00983F2C" w:rsidRDefault="00983F2C" w:rsidP="0049451B">
      <w:pPr>
        <w:spacing w:line="360" w:lineRule="auto"/>
      </w:pPr>
    </w:p>
    <w:p w14:paraId="70262051" w14:textId="69611527" w:rsidR="00983F2C" w:rsidRDefault="00983F2C" w:rsidP="0049451B">
      <w:pPr>
        <w:spacing w:line="360" w:lineRule="auto"/>
      </w:pPr>
      <w:proofErr w:type="spellStart"/>
      <w:r>
        <w:t>Fingarette</w:t>
      </w:r>
      <w:proofErr w:type="spellEnd"/>
      <w:r>
        <w:t>, H. The Concept of Mental Disease in Criminal Law Insanity Tests, [online] avail</w:t>
      </w:r>
      <w:r w:rsidR="00C0518B">
        <w:t xml:space="preserve">able at: </w:t>
      </w:r>
      <w:hyperlink r:id="rId19" w:history="1">
        <w:r w:rsidR="00C0518B" w:rsidRPr="00637023">
          <w:rPr>
            <w:rStyle w:val="Hyperlink"/>
          </w:rPr>
          <w:t>https://core.ac.uk/download/pdf/234131831.pdf</w:t>
        </w:r>
      </w:hyperlink>
    </w:p>
    <w:p w14:paraId="0B549576" w14:textId="4C757207" w:rsidR="00C0518B" w:rsidRDefault="00C0518B" w:rsidP="0049451B">
      <w:pPr>
        <w:spacing w:line="360" w:lineRule="auto"/>
      </w:pPr>
    </w:p>
    <w:p w14:paraId="50A44FDB" w14:textId="77777777" w:rsidR="00C0518B" w:rsidRDefault="00C0518B" w:rsidP="0049451B">
      <w:pPr>
        <w:spacing w:line="360" w:lineRule="auto"/>
      </w:pPr>
    </w:p>
    <w:p w14:paraId="179011EE" w14:textId="77777777" w:rsidR="00033B88" w:rsidRPr="001B2050" w:rsidRDefault="00033B88" w:rsidP="0049451B">
      <w:pPr>
        <w:spacing w:line="360" w:lineRule="auto"/>
      </w:pPr>
    </w:p>
    <w:sectPr w:rsidR="00033B88" w:rsidRPr="001B20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72A62F7"/>
    <w:multiLevelType w:val="hybridMultilevel"/>
    <w:tmpl w:val="DA744344"/>
    <w:lvl w:ilvl="0" w:tplc="55AAEA16">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104E"/>
    <w:rsid w:val="00033B88"/>
    <w:rsid w:val="000B7E28"/>
    <w:rsid w:val="000F48CD"/>
    <w:rsid w:val="00145514"/>
    <w:rsid w:val="001B2050"/>
    <w:rsid w:val="001C1E21"/>
    <w:rsid w:val="002E6E04"/>
    <w:rsid w:val="00311AD0"/>
    <w:rsid w:val="00325111"/>
    <w:rsid w:val="003A6813"/>
    <w:rsid w:val="003F1C1D"/>
    <w:rsid w:val="00423EA4"/>
    <w:rsid w:val="0049451B"/>
    <w:rsid w:val="004E4B8B"/>
    <w:rsid w:val="004F05C0"/>
    <w:rsid w:val="005356AB"/>
    <w:rsid w:val="005F112C"/>
    <w:rsid w:val="0070066A"/>
    <w:rsid w:val="008474A3"/>
    <w:rsid w:val="00847799"/>
    <w:rsid w:val="009500F0"/>
    <w:rsid w:val="009731A8"/>
    <w:rsid w:val="00983F2C"/>
    <w:rsid w:val="00A70787"/>
    <w:rsid w:val="00A87224"/>
    <w:rsid w:val="00B12796"/>
    <w:rsid w:val="00B54226"/>
    <w:rsid w:val="00B701DC"/>
    <w:rsid w:val="00BB4A8F"/>
    <w:rsid w:val="00BD685B"/>
    <w:rsid w:val="00C0518B"/>
    <w:rsid w:val="00C15897"/>
    <w:rsid w:val="00C70692"/>
    <w:rsid w:val="00C96B51"/>
    <w:rsid w:val="00D00B73"/>
    <w:rsid w:val="00DD19D6"/>
    <w:rsid w:val="00E31D3D"/>
    <w:rsid w:val="00E53627"/>
    <w:rsid w:val="00EC54B8"/>
    <w:rsid w:val="00F20EAE"/>
    <w:rsid w:val="00F210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42EC8E"/>
  <w15:chartTrackingRefBased/>
  <w15:docId w15:val="{7214B156-FE2B-0C42-B06D-A6DAFD2797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96B51"/>
    <w:pPr>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A87224"/>
    <w:rPr>
      <w:color w:val="0000FF"/>
      <w:u w:val="single"/>
    </w:rPr>
  </w:style>
  <w:style w:type="character" w:styleId="UnresolvedMention">
    <w:name w:val="Unresolved Mention"/>
    <w:basedOn w:val="DefaultParagraphFont"/>
    <w:uiPriority w:val="99"/>
    <w:semiHidden/>
    <w:unhideWhenUsed/>
    <w:rsid w:val="00B12796"/>
    <w:rPr>
      <w:color w:val="605E5C"/>
      <w:shd w:val="clear" w:color="auto" w:fill="E1DFDD"/>
    </w:rPr>
  </w:style>
  <w:style w:type="character" w:styleId="FollowedHyperlink">
    <w:name w:val="FollowedHyperlink"/>
    <w:basedOn w:val="DefaultParagraphFont"/>
    <w:uiPriority w:val="99"/>
    <w:semiHidden/>
    <w:unhideWhenUsed/>
    <w:rsid w:val="00033B8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3049720">
      <w:bodyDiv w:val="1"/>
      <w:marLeft w:val="0"/>
      <w:marRight w:val="0"/>
      <w:marTop w:val="0"/>
      <w:marBottom w:val="0"/>
      <w:divBdr>
        <w:top w:val="none" w:sz="0" w:space="0" w:color="auto"/>
        <w:left w:val="none" w:sz="0" w:space="0" w:color="auto"/>
        <w:bottom w:val="none" w:sz="0" w:space="0" w:color="auto"/>
        <w:right w:val="none" w:sz="0" w:space="0" w:color="auto"/>
      </w:divBdr>
    </w:div>
    <w:div w:id="1022316348">
      <w:bodyDiv w:val="1"/>
      <w:marLeft w:val="0"/>
      <w:marRight w:val="0"/>
      <w:marTop w:val="0"/>
      <w:marBottom w:val="0"/>
      <w:divBdr>
        <w:top w:val="none" w:sz="0" w:space="0" w:color="auto"/>
        <w:left w:val="none" w:sz="0" w:space="0" w:color="auto"/>
        <w:bottom w:val="none" w:sz="0" w:space="0" w:color="auto"/>
        <w:right w:val="none" w:sz="0" w:space="0" w:color="auto"/>
      </w:divBdr>
    </w:div>
    <w:div w:id="10377006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ps.gov.uk/publication/mental-health-conditions-and-disorders-draft-prosecution-guidance" TargetMode="External"/><Relationship Id="rId13" Type="http://schemas.openxmlformats.org/officeDocument/2006/relationships/hyperlink" Target="https://www.ncbi.nlm.nih.gov/pmc/articles/PMC4676201/" TargetMode="External"/><Relationship Id="rId18" Type="http://schemas.openxmlformats.org/officeDocument/2006/relationships/hyperlink" Target="http://www.lawcom.gov.uk/app/uploads/2015/06/cp197_Unfitness_to_Plead_web.pdf"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ncbi.nlm.nih.gov/pmc/articles/PMC2537203/?page=1" TargetMode="External"/><Relationship Id="rId12" Type="http://schemas.openxmlformats.org/officeDocument/2006/relationships/hyperlink" Target="https://core.ac.uk/download/pdf/207833021.pdf" TargetMode="External"/><Relationship Id="rId17" Type="http://schemas.openxmlformats.org/officeDocument/2006/relationships/hyperlink" Target="https://www.cps.gov.uk/publication/mental-health-conditions-and-disorders-draft-prosecution-guidance" TargetMode="External"/><Relationship Id="rId2" Type="http://schemas.openxmlformats.org/officeDocument/2006/relationships/styles" Target="styles.xml"/><Relationship Id="rId16" Type="http://schemas.openxmlformats.org/officeDocument/2006/relationships/hyperlink" Target="http://www.keepcalmtalklaw.co.uk/insanity-automatism-the-dysfunctional-defences/"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www.e-lawresources.co.uk/Insanity.php" TargetMode="External"/><Relationship Id="rId11" Type="http://schemas.openxmlformats.org/officeDocument/2006/relationships/hyperlink" Target="http://www.lawcom.gov.uk/app/uploads/2015/06/Criminal_Code_177_2.pdf" TargetMode="External"/><Relationship Id="rId5" Type="http://schemas.openxmlformats.org/officeDocument/2006/relationships/hyperlink" Target="https://www.casemine.com/judgement/uk/5a8ff87960d03e7f57ec10d8" TargetMode="External"/><Relationship Id="rId15" Type="http://schemas.openxmlformats.org/officeDocument/2006/relationships/hyperlink" Target="https://www.cps.gov.uk/legal-guidance/mental-health-suspects-and-defendants-mental-health-conditions-or-disorders" TargetMode="External"/><Relationship Id="rId10" Type="http://schemas.openxmlformats.org/officeDocument/2006/relationships/hyperlink" Target="https://www.legislation.gov.uk/ukpga/Eliz2/5-6/11/section/2" TargetMode="External"/><Relationship Id="rId19" Type="http://schemas.openxmlformats.org/officeDocument/2006/relationships/hyperlink" Target="https://core.ac.uk/download/pdf/234131831.pdf" TargetMode="External"/><Relationship Id="rId4" Type="http://schemas.openxmlformats.org/officeDocument/2006/relationships/webSettings" Target="webSettings.xml"/><Relationship Id="rId9" Type="http://schemas.openxmlformats.org/officeDocument/2006/relationships/hyperlink" Target="https://www.inbrief.co.uk/court-proceedings/insanity-as-a-criminal-defence/" TargetMode="External"/><Relationship Id="rId14" Type="http://schemas.openxmlformats.org/officeDocument/2006/relationships/hyperlink" Target="http://www.e-lawresources.co.uk/M'Naghten.php#:~:text=M'Naghten&amp;text=Daniel%20M'Naghten%20attempted%20to,Drummond%2C%20the%20Prime%20Minister's%20Secretary.&amp;text=The%20House%20of%20Lords%20formulated,the%20grounds%20of%20being%20insa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290</TotalTime>
  <Pages>7</Pages>
  <Words>2403</Words>
  <Characters>13702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Kyran Woods (2006771)</dc:creator>
  <cp:keywords/>
  <dc:description/>
  <cp:lastModifiedBy>Kyran Woods (2006771)</cp:lastModifiedBy>
  <cp:revision>2</cp:revision>
  <dcterms:created xsi:type="dcterms:W3CDTF">2021-04-29T11:57:00Z</dcterms:created>
  <dcterms:modified xsi:type="dcterms:W3CDTF">2021-05-07T13:00:00Z</dcterms:modified>
</cp:coreProperties>
</file>