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AB0D1">
      <w:pPr>
        <w:spacing w:before="100" w:beforeAutospacing="1" w:after="100" w:afterAutospacing="1" w:line="360" w:lineRule="auto"/>
        <w:jc w:val="center"/>
        <w:outlineLvl w:val="0"/>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pPr>
      <w:bookmarkStart w:id="34" w:name="_GoBack"/>
      <w:r>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drawing>
          <wp:inline distT="0" distB="0" distL="0" distR="0">
            <wp:extent cx="5731510" cy="3909695"/>
            <wp:effectExtent l="0" t="0" r="0" b="1905"/>
            <wp:docPr id="1045567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67509" name="Picture 1"/>
                    <pic:cNvPicPr>
                      <a:picLocks noChangeAspect="1"/>
                    </pic:cNvPicPr>
                  </pic:nvPicPr>
                  <pic:blipFill>
                    <a:blip r:embed="rId7"/>
                    <a:stretch>
                      <a:fillRect/>
                    </a:stretch>
                  </pic:blipFill>
                  <pic:spPr>
                    <a:xfrm>
                      <a:off x="0" y="0"/>
                      <a:ext cx="5731510" cy="3909695"/>
                    </a:xfrm>
                    <a:prstGeom prst="rect">
                      <a:avLst/>
                    </a:prstGeom>
                  </pic:spPr>
                </pic:pic>
              </a:graphicData>
            </a:graphic>
          </wp:inline>
        </w:drawing>
      </w:r>
      <w:bookmarkEnd w:id="34"/>
    </w:p>
    <w:p w14:paraId="4489F205">
      <w:pPr>
        <w:spacing w:before="100" w:beforeAutospacing="1" w:after="100" w:afterAutospacing="1" w:line="360" w:lineRule="auto"/>
        <w:jc w:val="center"/>
        <w:outlineLvl w:val="0"/>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pPr>
      <w:bookmarkStart w:id="0" w:name="_Toc214868530"/>
      <w:r>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t>Research Proposal: Enhancing Network Forensics Investigations Through an AI-Assisted Framework for Effective Detection and Analysis of Cyber Incidents</w:t>
      </w:r>
      <w:bookmarkEnd w:id="0"/>
    </w:p>
    <w:p w14:paraId="741D0AFD">
      <w:pPr>
        <w:spacing w:before="100" w:beforeAutospacing="1" w:after="100" w:afterAutospacing="1" w:line="360" w:lineRule="auto"/>
        <w:jc w:val="center"/>
        <w:outlineLvl w:val="0"/>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pPr>
    </w:p>
    <w:p w14:paraId="2F50DACA">
      <w:pPr>
        <w:spacing w:before="100" w:beforeAutospacing="1" w:after="100" w:afterAutospacing="1" w:line="360" w:lineRule="auto"/>
        <w:jc w:val="center"/>
        <w:outlineLvl w:val="0"/>
        <w:rPr>
          <w:rFonts w:ascii="Arial" w:hAnsi="Arial" w:eastAsia="Times New Roman" w:cs="Arial"/>
          <w:b/>
          <w:bCs/>
          <w:color w:val="000000" w:themeColor="text1"/>
          <w:kern w:val="36"/>
          <w:sz w:val="22"/>
          <w:szCs w:val="22"/>
          <w:lang w:val="zh-CN" w:eastAsia="en-GB"/>
          <w14:textFill>
            <w14:solidFill>
              <w14:schemeClr w14:val="tx1"/>
            </w14:solidFill>
          </w14:textFill>
          <w14:ligatures w14:val="none"/>
        </w:rPr>
      </w:pPr>
    </w:p>
    <w:p w14:paraId="3475F4C9">
      <w:pPr>
        <w:spacing w:before="100" w:beforeAutospacing="1" w:after="100" w:afterAutospacing="1" w:line="360" w:lineRule="auto"/>
        <w:jc w:val="cente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Student Name:</w:t>
      </w: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 xml:space="preserve"> </w:t>
      </w:r>
      <w:r>
        <w:rPr>
          <w:rFonts w:hint="default" w:ascii="Arial" w:hAnsi="Arial" w:eastAsia="Times New Roman" w:cs="Arial"/>
          <w:b/>
          <w:bCs/>
          <w:color w:val="000000" w:themeColor="text1"/>
          <w:kern w:val="0"/>
          <w:sz w:val="22"/>
          <w:szCs w:val="22"/>
          <w:lang w:val="en-US" w:eastAsia="en-GB"/>
          <w14:textFill>
            <w14:solidFill>
              <w14:schemeClr w14:val="tx1"/>
            </w14:solidFill>
          </w14:textFill>
          <w14:ligatures w14:val="none"/>
        </w:rPr>
        <w:t>Khushi Anilbhai Patel</w:t>
      </w:r>
    </w:p>
    <w:p w14:paraId="2BD63B8B">
      <w:pPr>
        <w:spacing w:before="100" w:beforeAutospacing="1" w:after="100" w:afterAutospacing="1" w:line="360" w:lineRule="auto"/>
        <w:jc w:val="center"/>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Student ID:</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w:t>
      </w:r>
      <w:r>
        <w:rPr>
          <w:rFonts w:hint="default" w:ascii="Arial" w:hAnsi="Arial" w:eastAsia="Times New Roman" w:cs="Arial"/>
          <w:b/>
          <w:bCs/>
          <w:color w:val="000000" w:themeColor="text1"/>
          <w:kern w:val="0"/>
          <w:sz w:val="22"/>
          <w:szCs w:val="22"/>
          <w:lang w:val="en-US" w:eastAsia="en-GB"/>
          <w14:textFill>
            <w14:solidFill>
              <w14:schemeClr w14:val="tx1"/>
            </w14:solidFill>
          </w14:textFill>
          <w14:ligatures w14:val="none"/>
        </w:rPr>
        <w:t>2436057</w:t>
      </w:r>
    </w:p>
    <w:p w14:paraId="0F85C293">
      <w:pPr>
        <w:spacing w:before="100" w:beforeAutospacing="1" w:after="100" w:afterAutospacing="1" w:line="360" w:lineRule="auto"/>
        <w:jc w:val="center"/>
        <w:rPr>
          <w:rFonts w:hint="default" w:ascii="Arial" w:hAnsi="Arial" w:eastAsia="Times New Roman" w:cs="Arial"/>
          <w:color w:val="000000" w:themeColor="text1"/>
          <w:kern w:val="0"/>
          <w:sz w:val="22"/>
          <w:szCs w:val="22"/>
          <w:lang w:val="en-US"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Programme:</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MSc C</w:t>
      </w:r>
      <w:r>
        <w:rPr>
          <w:rFonts w:hint="default" w:ascii="Arial" w:hAnsi="Arial" w:eastAsia="Times New Roman" w:cs="Arial"/>
          <w:color w:val="000000" w:themeColor="text1"/>
          <w:kern w:val="0"/>
          <w:sz w:val="22"/>
          <w:szCs w:val="22"/>
          <w:lang w:val="en-US" w:eastAsia="en-GB"/>
          <w14:textFill>
            <w14:solidFill>
              <w14:schemeClr w14:val="tx1"/>
            </w14:solidFill>
          </w14:textFill>
          <w14:ligatures w14:val="none"/>
        </w:rPr>
        <w:t>yber security &amp; Digital forensics.</w:t>
      </w:r>
    </w:p>
    <w:p w14:paraId="4BD2B6FB">
      <w:pPr>
        <w:spacing w:before="100" w:beforeAutospacing="1" w:after="100" w:afterAutospacing="1" w:line="360" w:lineRule="auto"/>
        <w:jc w:val="center"/>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Module:</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Research Methods and Professional Development (ACFA7004)</w:t>
      </w:r>
    </w:p>
    <w:p w14:paraId="5C7FDCFD">
      <w:pPr>
        <w:spacing w:before="100" w:beforeAutospacing="1" w:after="100" w:afterAutospacing="1" w:line="360" w:lineRule="auto"/>
        <w:jc w:val="center"/>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Word Count:</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4,512 (excluding references, tables, and appendices)</w:t>
      </w:r>
    </w:p>
    <w:p w14:paraId="7B1683CD">
      <w:pPr>
        <w:spacing w:before="100" w:beforeAutospacing="1" w:after="100" w:afterAutospacing="1" w:line="360" w:lineRule="auto"/>
        <w:jc w:val="center"/>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Submission Date:</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19 December 2025</w:t>
      </w:r>
    </w:p>
    <w:p w14:paraId="1BE93C2B">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p>
    <w:sdt>
      <w:sdtPr>
        <w:rPr>
          <w:rFonts w:ascii="Arial" w:hAnsi="Arial" w:cs="Arial"/>
          <w:color w:val="000000" w:themeColor="text1"/>
          <w:sz w:val="22"/>
          <w:szCs w:val="22"/>
          <w14:textFill>
            <w14:solidFill>
              <w14:schemeClr w14:val="tx1"/>
            </w14:solidFill>
          </w14:textFill>
        </w:rPr>
        <w:id w:val="-1"/>
        <w:docPartObj>
          <w:docPartGallery w:val="Table of Contents"/>
          <w:docPartUnique/>
        </w:docPartObj>
      </w:sdtPr>
      <w:sdtEndPr>
        <w:rPr>
          <w:rFonts w:ascii="Arial" w:hAnsi="Arial" w:cs="Arial" w:eastAsiaTheme="minorHAnsi"/>
          <w:color w:val="000000" w:themeColor="text1"/>
          <w:kern w:val="2"/>
          <w:sz w:val="22"/>
          <w:szCs w:val="22"/>
          <w:lang w:val="en-GB"/>
          <w14:textFill>
            <w14:solidFill>
              <w14:schemeClr w14:val="tx1"/>
            </w14:solidFill>
          </w14:textFill>
          <w14:ligatures w14:val="standardContextual"/>
        </w:rPr>
      </w:sdtEndPr>
      <w:sdtContent>
        <w:p w14:paraId="104F4937">
          <w:pPr>
            <w:pStyle w:val="49"/>
            <w:spacing w:line="360" w:lineRule="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Table of Contents</w:t>
          </w:r>
        </w:p>
        <w:p w14:paraId="5BBCF7B6">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rPr>
              <w:rFonts w:ascii="Arial" w:hAnsi="Arial" w:cs="Arial"/>
              <w:b w:val="0"/>
              <w:bCs w:val="0"/>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TOC \o "1-3" \h \z \u </w:instrText>
          </w:r>
          <w:r>
            <w:rPr>
              <w:rFonts w:ascii="Arial" w:hAnsi="Arial" w:cs="Arial"/>
              <w:b w:val="0"/>
              <w:bCs w:val="0"/>
              <w:color w:val="000000" w:themeColor="text1"/>
              <w:sz w:val="22"/>
              <w:szCs w:val="22"/>
              <w14:textFill>
                <w14:solidFill>
                  <w14:schemeClr w14:val="tx1"/>
                </w14:solidFill>
              </w14:textFill>
            </w:rPr>
            <w:fldChar w:fldCharType="separate"/>
          </w:r>
          <w:r>
            <w:fldChar w:fldCharType="begin"/>
          </w:r>
          <w:r>
            <w:instrText xml:space="preserve"> HYPERLINK \l "_Toc214868530" </w:instrText>
          </w:r>
          <w:r>
            <w:fldChar w:fldCharType="separate"/>
          </w:r>
          <w:r>
            <w:rPr>
              <w:rStyle w:val="16"/>
              <w:rFonts w:ascii="Arial" w:hAnsi="Arial" w:eastAsia="Times New Roman" w:cs="Arial"/>
              <w:color w:val="000000" w:themeColor="text1"/>
              <w:kern w:val="36"/>
              <w:sz w:val="22"/>
              <w:szCs w:val="22"/>
              <w:lang w:val="zh-CN" w:eastAsia="en-GB"/>
              <w14:textFill>
                <w14:solidFill>
                  <w14:schemeClr w14:val="tx1"/>
                </w14:solidFill>
              </w14:textFill>
              <w14:ligatures w14:val="none"/>
            </w:rPr>
            <w:t>Research Proposal: Enhancing Network Forensics Investigations Through an AI-Assisted Framework for Effective Detection and Analysis of Cyber Incidents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_Toc214868530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7B77E12C">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"_Toc214868531"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1. Introduction</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_Toc214868531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2</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41064FF1">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"_Toc214868532"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1.1 Context and Background</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_Toc214868532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2</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2A35AD3D">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"_Toc214868533"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1.2 Research Problem</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_Toc214868533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3</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6843CB15">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"_Toc214868534"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1.3 Research Aim and Objectives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_Toc214868534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3</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0BD2E13D">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"_Toc214868535"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1.4 Significance of the Research</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_Toc214868535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3</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34179742">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"_Toc214868536"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2. Literature Review</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_Toc214868536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4</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08129E5D">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"_Toc214868537"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2.1 Introduction to the Literature Review</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_Toc214868537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4</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4D521207">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"_Toc214868538"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2.2 Thematic Organisation</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_Toc214868538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4</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608A71E1">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"_Toc214868539"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2.2.1 Frameworks and Investigative Techniques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_Toc214868539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4</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3A3FAEB0">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"_Toc214868540"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2.2.2 Tools and Packet Analysis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_Toc214868540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5</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381D69A2">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"_Toc214868541"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2.2.3 Timeline Reconstruction and AI Integration</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_Toc214868541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5</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5B6A4191">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"_Toc214868542"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2.3 Datasets, Key Contributions, and Remaining Gaps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_Toc214868542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6</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16625017">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"_Toc214868543"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2.4 Theoretical and Technical Frameworks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_Toc214868543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7</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54A731DC">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"_Toc214868544"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2.5 Relevance to the Study</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_Toc214868544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7</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2D30A4E8">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"_Toc214868545" </w:instrText>
          </w:r>
          <w:r>
            <w:fldChar w:fldCharType="separate"/>
          </w:r>
          <w:r>
            <w:rPr>
              <w:rStyle w:val="16"/>
              <w:rFonts w:ascii="Arial" w:hAnsi="Arial" w:eastAsia="Times New Roman" w:cs="Arial"/>
              <w:color w:val="000000" w:themeColor="text1"/>
              <w:lang w:val="zh-CN" w:eastAsia="en-GB"/>
              <w14:textFill>
                <w14:solidFill>
                  <w14:schemeClr w14:val="tx1"/>
                </w14:solidFill>
              </w14:textFill>
            </w:rPr>
            <w:t>2.6 Literature Summary</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_Toc214868545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8</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3E3325E8">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"_Toc214868546" </w:instrText>
          </w:r>
          <w:r>
            <w:fldChar w:fldCharType="separate"/>
          </w:r>
          <w:r>
            <w:rPr>
              <w:rStyle w:val="16"/>
              <w:rFonts w:ascii="Arial" w:hAnsi="Arial" w:cs="Arial"/>
              <w:color w:val="000000" w:themeColor="text1"/>
              <w:sz w:val="22"/>
              <w:szCs w:val="22"/>
              <w14:textFill>
                <w14:solidFill>
                  <w14:schemeClr w14:val="tx1"/>
                </w14:solidFill>
              </w14:textFill>
            </w:rPr>
            <w:t>3. Research Design and Methodology</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_Toc214868546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8</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4B421603">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"_Toc214868547" </w:instrText>
          </w:r>
          <w:r>
            <w:fldChar w:fldCharType="separate"/>
          </w:r>
          <w:r>
            <w:rPr>
              <w:rStyle w:val="16"/>
              <w:rFonts w:ascii="Arial" w:hAnsi="Arial" w:cs="Arial"/>
              <w:color w:val="000000" w:themeColor="text1"/>
              <w14:textFill>
                <w14:solidFill>
                  <w14:schemeClr w14:val="tx1"/>
                </w14:solidFill>
              </w14:textFill>
            </w:rPr>
            <w:t>3.1 Research Design</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_Toc214868547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8</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41535E09">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"_Toc214868548" </w:instrText>
          </w:r>
          <w:r>
            <w:fldChar w:fldCharType="separate"/>
          </w:r>
          <w:r>
            <w:rPr>
              <w:rStyle w:val="16"/>
              <w:rFonts w:ascii="Arial" w:hAnsi="Arial" w:cs="Arial"/>
              <w:color w:val="000000" w:themeColor="text1"/>
              <w14:textFill>
                <w14:solidFill>
                  <w14:schemeClr w14:val="tx1"/>
                </w14:solidFill>
              </w14:textFill>
            </w:rPr>
            <w:t>3.2 Research Methods and Materials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_Toc214868548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8</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364B5D28">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"_Toc214868549" </w:instrText>
          </w:r>
          <w:r>
            <w:fldChar w:fldCharType="separate"/>
          </w:r>
          <w:r>
            <w:rPr>
              <w:rStyle w:val="16"/>
              <w:rFonts w:ascii="Arial" w:hAnsi="Arial" w:cs="Arial"/>
              <w:color w:val="000000" w:themeColor="text1"/>
              <w:sz w:val="22"/>
              <w:szCs w:val="22"/>
              <w14:textFill>
                <w14:solidFill>
                  <w14:schemeClr w14:val="tx1"/>
                </w14:solidFill>
              </w14:textFill>
            </w:rPr>
            <w:t>3.2.1 Methods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_Toc214868549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8</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044191DD">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"_Toc214868550" </w:instrText>
          </w:r>
          <w:r>
            <w:fldChar w:fldCharType="separate"/>
          </w:r>
          <w:r>
            <w:rPr>
              <w:rStyle w:val="16"/>
              <w:rFonts w:ascii="Arial" w:hAnsi="Arial" w:cs="Arial"/>
              <w:color w:val="000000" w:themeColor="text1"/>
              <w:sz w:val="22"/>
              <w:szCs w:val="22"/>
              <w14:textFill>
                <w14:solidFill>
                  <w14:schemeClr w14:val="tx1"/>
                </w14:solidFill>
              </w14:textFill>
            </w:rPr>
            <w:t>3.2.2 Software Development and Experimental Strategy</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_Toc214868550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9</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628585F4">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"_Toc214868551" </w:instrText>
          </w:r>
          <w:r>
            <w:fldChar w:fldCharType="separate"/>
          </w:r>
          <w:r>
            <w:rPr>
              <w:rStyle w:val="16"/>
              <w:rFonts w:ascii="Arial" w:hAnsi="Arial" w:cs="Arial"/>
              <w:color w:val="000000" w:themeColor="text1"/>
              <w:sz w:val="22"/>
              <w:szCs w:val="22"/>
              <w14:textFill>
                <w14:solidFill>
                  <w14:schemeClr w14:val="tx1"/>
                </w14:solidFill>
              </w14:textFill>
            </w:rPr>
            <w:t>3.2.3 Quantitative Evaluation</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_Toc214868551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9</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3770C419">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"_Toc214868552" </w:instrText>
          </w:r>
          <w:r>
            <w:fldChar w:fldCharType="separate"/>
          </w:r>
          <w:r>
            <w:rPr>
              <w:rStyle w:val="16"/>
              <w:rFonts w:ascii="Arial" w:hAnsi="Arial" w:cs="Arial"/>
              <w:color w:val="000000" w:themeColor="text1"/>
              <w:sz w:val="22"/>
              <w:szCs w:val="22"/>
              <w14:textFill>
                <w14:solidFill>
                  <w14:schemeClr w14:val="tx1"/>
                </w14:solidFill>
              </w14:textFill>
            </w:rPr>
            <w:t>3.2.4 Qualitative Evaluation</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_Toc214868552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10</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7C1FC07B">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"_Toc214868553" </w:instrText>
          </w:r>
          <w:r>
            <w:fldChar w:fldCharType="separate"/>
          </w:r>
          <w:r>
            <w:rPr>
              <w:rStyle w:val="16"/>
              <w:rFonts w:ascii="Arial" w:hAnsi="Arial" w:cs="Arial"/>
              <w:color w:val="000000" w:themeColor="text1"/>
              <w:sz w:val="22"/>
              <w:szCs w:val="22"/>
              <w14:textFill>
                <w14:solidFill>
                  <w14:schemeClr w14:val="tx1"/>
                </w14:solidFill>
              </w14:textFill>
            </w:rPr>
            <w:t>3.2.5 Ethical Considerations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_Toc214868553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10</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692820DF">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"_Toc214868554" </w:instrText>
          </w:r>
          <w:r>
            <w:fldChar w:fldCharType="separate"/>
          </w:r>
          <w:r>
            <w:rPr>
              <w:rStyle w:val="16"/>
              <w:rFonts w:ascii="Arial" w:hAnsi="Arial" w:cs="Arial"/>
              <w:color w:val="000000" w:themeColor="text1"/>
              <w14:textFill>
                <w14:solidFill>
                  <w14:schemeClr w14:val="tx1"/>
                </w14:solidFill>
              </w14:textFill>
            </w:rPr>
            <w:t>3.3 Materials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_Toc214868554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10</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43820452">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"_Toc214868555" </w:instrText>
          </w:r>
          <w:r>
            <w:fldChar w:fldCharType="separate"/>
          </w:r>
          <w:r>
            <w:rPr>
              <w:rStyle w:val="16"/>
              <w:rFonts w:ascii="Arial" w:hAnsi="Arial" w:cs="Arial"/>
              <w:color w:val="000000" w:themeColor="text1"/>
              <w:sz w:val="22"/>
              <w:szCs w:val="22"/>
              <w14:textFill>
                <w14:solidFill>
                  <w14:schemeClr w14:val="tx1"/>
                </w14:solidFill>
              </w14:textFill>
            </w:rPr>
            <w:t>3.3.1 Datasets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_Toc214868555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10</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6DEC9A8C">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"_Toc214868556" </w:instrText>
          </w:r>
          <w:r>
            <w:fldChar w:fldCharType="separate"/>
          </w:r>
          <w:r>
            <w:rPr>
              <w:rStyle w:val="16"/>
              <w:rFonts w:ascii="Arial" w:hAnsi="Arial" w:cs="Arial"/>
              <w:color w:val="000000" w:themeColor="text1"/>
              <w:sz w:val="22"/>
              <w:szCs w:val="22"/>
              <w14:textFill>
                <w14:solidFill>
                  <w14:schemeClr w14:val="tx1"/>
                </w14:solidFill>
              </w14:textFill>
            </w:rPr>
            <w:t>3.3.2 Software Tools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_Toc214868556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11</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28F1E81E">
          <w:pPr>
            <w:pStyle w:val="24"/>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"_Toc214868557" </w:instrText>
          </w:r>
          <w:r>
            <w:fldChar w:fldCharType="separate"/>
          </w:r>
          <w:r>
            <w:rPr>
              <w:rStyle w:val="16"/>
              <w:rFonts w:ascii="Arial" w:hAnsi="Arial" w:cs="Arial"/>
              <w:color w:val="000000" w:themeColor="text1"/>
              <w:sz w:val="22"/>
              <w:szCs w:val="22"/>
              <w14:textFill>
                <w14:solidFill>
                  <w14:schemeClr w14:val="tx1"/>
                </w14:solidFill>
              </w14:textFill>
            </w:rPr>
            <w:t>3.3.3 Hardware</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_Toc214868557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11</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63629918">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"_Toc214868558" </w:instrText>
          </w:r>
          <w:r>
            <w:fldChar w:fldCharType="separate"/>
          </w:r>
          <w:r>
            <w:rPr>
              <w:rStyle w:val="16"/>
              <w:rFonts w:ascii="Arial" w:hAnsi="Arial" w:cs="Arial"/>
              <w:color w:val="000000" w:themeColor="text1"/>
              <w:sz w:val="22"/>
              <w:szCs w:val="22"/>
              <w14:textFill>
                <w14:solidFill>
                  <w14:schemeClr w14:val="tx1"/>
                </w14:solidFill>
              </w14:textFill>
            </w:rPr>
            <w:t>4. Expected Outcome</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_Toc214868558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11</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58981186">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"_Toc214868559" </w:instrText>
          </w:r>
          <w:r>
            <w:fldChar w:fldCharType="separate"/>
          </w:r>
          <w:r>
            <w:rPr>
              <w:rStyle w:val="16"/>
              <w:rFonts w:ascii="Arial" w:hAnsi="Arial" w:cs="Arial"/>
              <w:color w:val="000000" w:themeColor="text1"/>
              <w14:textFill>
                <w14:solidFill>
                  <w14:schemeClr w14:val="tx1"/>
                </w14:solidFill>
              </w14:textFill>
            </w:rPr>
            <w:t>4.1 Anticipated Results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_Toc214868559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11</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5CE5196B">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"_Toc214868560" </w:instrText>
          </w:r>
          <w:r>
            <w:fldChar w:fldCharType="separate"/>
          </w:r>
          <w:r>
            <w:rPr>
              <w:rStyle w:val="16"/>
              <w:rFonts w:ascii="Arial" w:hAnsi="Arial" w:cs="Arial"/>
              <w:color w:val="000000" w:themeColor="text1"/>
              <w14:textFill>
                <w14:solidFill>
                  <w14:schemeClr w14:val="tx1"/>
                </w14:solidFill>
              </w14:textFill>
            </w:rPr>
            <w:t>4.2 Implications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_Toc214868560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12</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5C0D129C">
          <w:pPr>
            <w:pStyle w:val="23"/>
            <w:tabs>
              <w:tab w:val="right" w:leader="dot" w:pos="9016"/>
            </w:tabs>
            <w:spacing w:line="360" w:lineRule="auto"/>
            <w:rPr>
              <w:rFonts w:ascii="Arial" w:hAnsi="Arial" w:cs="Arial"/>
              <w:color w:val="000000" w:themeColor="text1"/>
              <w14:textFill>
                <w14:solidFill>
                  <w14:schemeClr w14:val="tx1"/>
                </w14:solidFill>
              </w14:textFill>
            </w:rPr>
          </w:pPr>
          <w:r>
            <w:fldChar w:fldCharType="begin"/>
          </w:r>
          <w:r>
            <w:instrText xml:space="preserve"> HYPERLINK \l "_Toc214868561" </w:instrText>
          </w:r>
          <w:r>
            <w:fldChar w:fldCharType="separate"/>
          </w:r>
          <w:r>
            <w:rPr>
              <w:rStyle w:val="16"/>
              <w:rFonts w:ascii="Arial" w:hAnsi="Arial" w:cs="Arial"/>
              <w:color w:val="000000" w:themeColor="text1"/>
              <w14:textFill>
                <w14:solidFill>
                  <w14:schemeClr w14:val="tx1"/>
                </w14:solidFill>
              </w14:textFill>
            </w:rPr>
            <w:t>4.3 Limitations</w:t>
          </w:r>
          <w:r>
            <w:rPr>
              <w:rFonts w:ascii="Arial" w:hAnsi="Arial" w:cs="Arial"/>
              <w:color w:val="000000" w:themeColor="text1"/>
              <w14:textFill>
                <w14:solidFill>
                  <w14:schemeClr w14:val="tx1"/>
                </w14:solidFill>
              </w14:textFill>
            </w:rPr>
            <w:tab/>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PAGEREF _Toc214868561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12</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fldChar w:fldCharType="end"/>
          </w:r>
        </w:p>
        <w:p w14:paraId="7C8FC45C">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"_Toc214868562"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5. Timeline</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_Toc214868562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12</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326CE786">
          <w:pPr>
            <w:pStyle w:val="22"/>
            <w:tabs>
              <w:tab w:val="right" w:leader="dot" w:pos="9016"/>
            </w:tabs>
            <w:spacing w:line="360" w:lineRule="auto"/>
            <w:rPr>
              <w:rFonts w:ascii="Arial" w:hAnsi="Arial" w:cs="Arial"/>
              <w:color w:val="000000" w:themeColor="text1"/>
              <w:sz w:val="22"/>
              <w:szCs w:val="22"/>
              <w14:textFill>
                <w14:solidFill>
                  <w14:schemeClr w14:val="tx1"/>
                </w14:solidFill>
              </w14:textFill>
            </w:rPr>
          </w:pPr>
          <w:r>
            <w:fldChar w:fldCharType="begin"/>
          </w:r>
          <w:r>
            <w:instrText xml:space="preserve"> HYPERLINK \l "_Toc214868563" </w:instrText>
          </w:r>
          <w:r>
            <w:fldChar w:fldCharType="separate"/>
          </w:r>
          <w:r>
            <w:rPr>
              <w:rStyle w:val="16"/>
              <w:rFonts w:ascii="Arial" w:hAnsi="Arial" w:eastAsia="Times New Roman" w:cs="Arial"/>
              <w:color w:val="000000" w:themeColor="text1"/>
              <w:sz w:val="22"/>
              <w:szCs w:val="22"/>
              <w:lang w:val="zh-CN" w:eastAsia="en-GB"/>
              <w14:textFill>
                <w14:solidFill>
                  <w14:schemeClr w14:val="tx1"/>
                </w14:solidFill>
              </w14:textFill>
            </w:rPr>
            <w:t>References</w:t>
          </w:r>
          <w:r>
            <w:rPr>
              <w:rFonts w:ascii="Arial" w:hAnsi="Arial" w:cs="Arial"/>
              <w:color w:val="000000" w:themeColor="text1"/>
              <w:sz w:val="22"/>
              <w:szCs w:val="22"/>
              <w14:textFill>
                <w14:solidFill>
                  <w14:schemeClr w14:val="tx1"/>
                </w14:solidFill>
              </w14:textFill>
            </w:rPr>
            <w:tab/>
          </w: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PAGEREF _Toc214868563 \h </w:instrText>
          </w:r>
          <w:r>
            <w:rPr>
              <w:rFonts w:ascii="Arial" w:hAnsi="Arial" w:cs="Arial"/>
              <w:color w:val="000000" w:themeColor="text1"/>
              <w:sz w:val="22"/>
              <w:szCs w:val="22"/>
              <w14:textFill>
                <w14:solidFill>
                  <w14:schemeClr w14:val="tx1"/>
                </w14:solidFill>
              </w14:textFill>
            </w:rPr>
            <w:fldChar w:fldCharType="separate"/>
          </w:r>
          <w:r>
            <w:rPr>
              <w:rFonts w:ascii="Arial" w:hAnsi="Arial" w:cs="Arial"/>
              <w:color w:val="000000" w:themeColor="text1"/>
              <w:sz w:val="22"/>
              <w:szCs w:val="22"/>
              <w14:textFill>
                <w14:solidFill>
                  <w14:schemeClr w14:val="tx1"/>
                </w14:solidFill>
              </w14:textFill>
            </w:rPr>
            <w:t>14</w:t>
          </w:r>
          <w:r>
            <w:rPr>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fldChar w:fldCharType="end"/>
          </w:r>
        </w:p>
        <w:p w14:paraId="2C084E8D">
          <w:pPr>
            <w:spacing w:line="360" w:lineRule="auto"/>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fldChar w:fldCharType="end"/>
          </w:r>
        </w:p>
      </w:sdtContent>
    </w:sdt>
    <w:p w14:paraId="5D556FA3">
      <w:pPr>
        <w:spacing w:line="360" w:lineRule="auto"/>
        <w:rPr>
          <w:rFonts w:ascii="Arial" w:hAnsi="Arial" w:cs="Arial"/>
          <w:b/>
          <w:bCs/>
          <w:color w:val="000000" w:themeColor="text1"/>
          <w:sz w:val="22"/>
          <w:szCs w:val="22"/>
          <w14:textFill>
            <w14:solidFill>
              <w14:schemeClr w14:val="tx1"/>
            </w14:solidFill>
          </w14:textFill>
        </w:rPr>
      </w:pPr>
    </w:p>
    <w:p w14:paraId="30A58FB0">
      <w:pPr>
        <w:spacing w:line="360" w:lineRule="auto"/>
        <w:rPr>
          <w:rFonts w:ascii="Arial" w:hAnsi="Arial" w:cs="Arial"/>
          <w:b/>
          <w:bCs/>
          <w:color w:val="000000" w:themeColor="text1"/>
          <w:sz w:val="22"/>
          <w:szCs w:val="22"/>
          <w14:textFill>
            <w14:solidFill>
              <w14:schemeClr w14:val="tx1"/>
            </w14:solidFill>
          </w14:textFill>
        </w:rPr>
      </w:pPr>
    </w:p>
    <w:p w14:paraId="0DB80A4A">
      <w:pPr>
        <w:spacing w:line="360" w:lineRule="auto"/>
        <w:rPr>
          <w:rFonts w:ascii="Arial" w:hAnsi="Arial" w:cs="Arial"/>
          <w:b/>
          <w:bCs/>
          <w:color w:val="000000" w:themeColor="text1"/>
          <w:sz w:val="22"/>
          <w:szCs w:val="22"/>
          <w14:textFill>
            <w14:solidFill>
              <w14:schemeClr w14:val="tx1"/>
            </w14:solidFill>
          </w14:textFill>
        </w:rPr>
      </w:pPr>
    </w:p>
    <w:p w14:paraId="5877D850">
      <w:pPr>
        <w:spacing w:line="360" w:lineRule="auto"/>
        <w:rPr>
          <w:rFonts w:ascii="Arial" w:hAnsi="Arial" w:cs="Arial"/>
          <w:b/>
          <w:bCs/>
          <w:color w:val="000000" w:themeColor="text1"/>
          <w:sz w:val="22"/>
          <w:szCs w:val="22"/>
          <w14:textFill>
            <w14:solidFill>
              <w14:schemeClr w14:val="tx1"/>
            </w14:solidFill>
          </w14:textFill>
        </w:rPr>
      </w:pPr>
    </w:p>
    <w:p w14:paraId="7C2DCFC1">
      <w:pPr>
        <w:spacing w:line="360" w:lineRule="auto"/>
        <w:rPr>
          <w:rFonts w:ascii="Arial" w:hAnsi="Arial" w:cs="Arial"/>
          <w:b/>
          <w:bCs/>
          <w:color w:val="000000" w:themeColor="text1"/>
          <w:sz w:val="22"/>
          <w:szCs w:val="22"/>
          <w14:textFill>
            <w14:solidFill>
              <w14:schemeClr w14:val="tx1"/>
            </w14:solidFill>
          </w14:textFill>
        </w:rPr>
      </w:pPr>
    </w:p>
    <w:p w14:paraId="119C26D2">
      <w:pPr>
        <w:spacing w:line="360" w:lineRule="auto"/>
        <w:rPr>
          <w:rFonts w:ascii="Arial" w:hAnsi="Arial" w:cs="Arial"/>
          <w:b/>
          <w:bCs/>
          <w:color w:val="000000" w:themeColor="text1"/>
          <w:sz w:val="22"/>
          <w:szCs w:val="22"/>
          <w14:textFill>
            <w14:solidFill>
              <w14:schemeClr w14:val="tx1"/>
            </w14:solidFill>
          </w14:textFill>
        </w:rPr>
      </w:pPr>
    </w:p>
    <w:p w14:paraId="5A97A9E4">
      <w:pPr>
        <w:spacing w:line="360" w:lineRule="auto"/>
        <w:rPr>
          <w:rFonts w:ascii="Arial" w:hAnsi="Arial" w:cs="Arial"/>
          <w:b/>
          <w:bCs/>
          <w:color w:val="000000" w:themeColor="text1"/>
          <w:sz w:val="22"/>
          <w:szCs w:val="22"/>
          <w14:textFill>
            <w14:solidFill>
              <w14:schemeClr w14:val="tx1"/>
            </w14:solidFill>
          </w14:textFill>
        </w:rPr>
      </w:pPr>
    </w:p>
    <w:p w14:paraId="000D6603">
      <w:pPr>
        <w:spacing w:line="360" w:lineRule="auto"/>
        <w:rPr>
          <w:rFonts w:ascii="Arial" w:hAnsi="Arial" w:cs="Arial"/>
          <w:b/>
          <w:bCs/>
          <w:color w:val="000000" w:themeColor="text1"/>
          <w:sz w:val="22"/>
          <w:szCs w:val="22"/>
          <w14:textFill>
            <w14:solidFill>
              <w14:schemeClr w14:val="tx1"/>
            </w14:solidFill>
          </w14:textFill>
        </w:rPr>
      </w:pPr>
    </w:p>
    <w:p w14:paraId="6BEB9126">
      <w:pPr>
        <w:spacing w:line="360" w:lineRule="auto"/>
        <w:rPr>
          <w:rFonts w:ascii="Arial" w:hAnsi="Arial" w:cs="Arial"/>
          <w:b/>
          <w:bCs/>
          <w:color w:val="000000" w:themeColor="text1"/>
          <w:sz w:val="22"/>
          <w:szCs w:val="22"/>
          <w14:textFill>
            <w14:solidFill>
              <w14:schemeClr w14:val="tx1"/>
            </w14:solidFill>
          </w14:textFill>
        </w:rPr>
      </w:pPr>
    </w:p>
    <w:p w14:paraId="70FF7C03">
      <w:pPr>
        <w:spacing w:line="360" w:lineRule="auto"/>
        <w:rPr>
          <w:rFonts w:ascii="Arial" w:hAnsi="Arial" w:cs="Arial"/>
          <w:b/>
          <w:bCs/>
          <w:color w:val="000000" w:themeColor="text1"/>
          <w:sz w:val="22"/>
          <w:szCs w:val="22"/>
          <w14:textFill>
            <w14:solidFill>
              <w14:schemeClr w14:val="tx1"/>
            </w14:solidFill>
          </w14:textFill>
        </w:rPr>
      </w:pPr>
    </w:p>
    <w:p w14:paraId="4AB576A2">
      <w:pPr>
        <w:spacing w:line="360" w:lineRule="auto"/>
        <w:rPr>
          <w:rFonts w:ascii="Arial" w:hAnsi="Arial" w:cs="Arial"/>
          <w:b/>
          <w:bCs/>
          <w:color w:val="000000" w:themeColor="text1"/>
          <w:sz w:val="22"/>
          <w:szCs w:val="22"/>
          <w14:textFill>
            <w14:solidFill>
              <w14:schemeClr w14:val="tx1"/>
            </w14:solidFill>
          </w14:textFill>
        </w:rPr>
      </w:pPr>
    </w:p>
    <w:p w14:paraId="6D95520F">
      <w:pPr>
        <w:spacing w:line="360" w:lineRule="auto"/>
        <w:rPr>
          <w:rFonts w:ascii="Arial" w:hAnsi="Arial" w:cs="Arial"/>
          <w:b/>
          <w:bCs/>
          <w:color w:val="000000" w:themeColor="text1"/>
          <w:sz w:val="22"/>
          <w:szCs w:val="22"/>
          <w14:textFill>
            <w14:solidFill>
              <w14:schemeClr w14:val="tx1"/>
            </w14:solidFill>
          </w14:textFill>
        </w:rPr>
      </w:pPr>
    </w:p>
    <w:p w14:paraId="493759D5">
      <w:pPr>
        <w:spacing w:line="360" w:lineRule="auto"/>
        <w:rPr>
          <w:rFonts w:ascii="Arial" w:hAnsi="Arial" w:cs="Arial"/>
          <w:b/>
          <w:bCs/>
          <w:color w:val="000000" w:themeColor="text1"/>
          <w:sz w:val="22"/>
          <w:szCs w:val="22"/>
          <w14:textFill>
            <w14:solidFill>
              <w14:schemeClr w14:val="tx1"/>
            </w14:solidFill>
          </w14:textFill>
        </w:rPr>
      </w:pPr>
    </w:p>
    <w:p w14:paraId="5E5168C9">
      <w:pPr>
        <w:spacing w:line="360" w:lineRule="auto"/>
        <w:rPr>
          <w:rFonts w:ascii="Arial" w:hAnsi="Arial" w:cs="Arial"/>
          <w:b/>
          <w:bCs/>
          <w:color w:val="000000" w:themeColor="text1"/>
          <w:sz w:val="22"/>
          <w:szCs w:val="22"/>
          <w14:textFill>
            <w14:solidFill>
              <w14:schemeClr w14:val="tx1"/>
            </w14:solidFill>
          </w14:textFill>
        </w:rPr>
      </w:pPr>
    </w:p>
    <w:p w14:paraId="17645971">
      <w:pPr>
        <w:spacing w:line="360" w:lineRule="auto"/>
        <w:rPr>
          <w:rFonts w:ascii="Arial" w:hAnsi="Arial" w:cs="Arial"/>
          <w:color w:val="000000" w:themeColor="text1"/>
          <w:sz w:val="22"/>
          <w:szCs w:val="22"/>
          <w14:textFill>
            <w14:solidFill>
              <w14:schemeClr w14:val="tx1"/>
            </w14:solidFill>
          </w14:textFill>
        </w:rPr>
      </w:pPr>
    </w:p>
    <w:p w14:paraId="29CB5572">
      <w:pPr>
        <w:pStyle w:val="2"/>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 w:name="_Toc214868531"/>
      <w:r>
        <w:rPr>
          <w:rFonts w:ascii="Arial" w:hAnsi="Arial" w:eastAsia="Times New Roman" w:cs="Arial"/>
          <w:color w:val="000000" w:themeColor="text1"/>
          <w:sz w:val="22"/>
          <w:szCs w:val="22"/>
          <w:lang w:val="zh-CN" w:eastAsia="en-GB"/>
          <w14:textFill>
            <w14:solidFill>
              <w14:schemeClr w14:val="tx1"/>
            </w14:solidFill>
          </w14:textFill>
        </w:rPr>
        <w:t>1. Introduction</w:t>
      </w:r>
      <w:bookmarkEnd w:id="1"/>
      <w:r>
        <w:rPr>
          <w:rFonts w:ascii="Arial" w:hAnsi="Arial" w:eastAsia="Times New Roman" w:cs="Arial"/>
          <w:color w:val="000000" w:themeColor="text1"/>
          <w:sz w:val="22"/>
          <w:szCs w:val="22"/>
          <w:lang w:val="zh-CN" w:eastAsia="en-GB"/>
          <w14:textFill>
            <w14:solidFill>
              <w14:schemeClr w14:val="tx1"/>
            </w14:solidFill>
          </w14:textFill>
        </w:rPr>
        <w:t xml:space="preserve"> </w:t>
      </w:r>
    </w:p>
    <w:p w14:paraId="7899C78F">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2" w:name="_Toc214868532"/>
      <w:r>
        <w:rPr>
          <w:rFonts w:ascii="Arial" w:hAnsi="Arial" w:eastAsia="Times New Roman" w:cs="Arial"/>
          <w:color w:val="000000" w:themeColor="text1"/>
          <w:sz w:val="22"/>
          <w:szCs w:val="22"/>
          <w:lang w:val="zh-CN" w:eastAsia="en-GB"/>
          <w14:textFill>
            <w14:solidFill>
              <w14:schemeClr w14:val="tx1"/>
            </w14:solidFill>
          </w14:textFill>
        </w:rPr>
        <w:t>1.1 Context and Background</w:t>
      </w:r>
      <w:bookmarkEnd w:id="2"/>
    </w:p>
    <w:p w14:paraId="616E3E5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Network forensics is a critical discipline in cyber</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 xml:space="preserve"> </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security that deals with the capture, preservation, and analysis of network traffic to determine cyber crimes and security attacks [1]. It entails tracking and analyzing data packets that pass through networks in a bid to reassemble events, detect malicious actions and collect admissible evidence in a court of law. Network forensics is a central concern in the rising level of sophistication of cyber threats, including ransomware, advanced persistent threats (APTs), and distributed denial-of-service (DDoS) attacks with the exponential growth of digital connectivity [2].</w:t>
      </w:r>
    </w:p>
    <w:p w14:paraId="5C9F4B9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Over the past few years, cybersecurity has been experiencing dramatic changes. According to the 2024 report by the Verizon Data Breach Investigations, 68 percent of breaches touch on network-based intrusions, which points to the ubiquity of such threats [3]. New tools to detect anomalies have appeared due to the advancement in artificial intelligence (AI), but technologies of big data, such as the ELK Stack, allow to analyze data in real time [4]. Collected standard sets of data, such as CICIDS-2017 and UNSW-NB15, have become crucial to the benchmarking of forensic techniques [5], [6]. The packet capture tool (Wireshark), evidence extraction tool (NetworkMiner) and flow analysis tool (Zeek) are basic tools that allow deep investigations [1].</w:t>
      </w:r>
    </w:p>
    <w:p w14:paraId="7740DA4D">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In the present, there are developments that incorporate machine learning (ML) to carry out predictive forensics, blockchain to maintain evidence integrity, and cloud-native to manage distributed environments [7]. Nevertheless, the conventional techniques are manual and cannot rely on such a type of traffic that is high in volume and is encrypted. An example of this is encryption algorithms such as TLS that obscure payloads and cannot be readily analyzed, and the vast quantity of data (often terabytes/hour) overwhelms the investigators [8]. The new trends also include the Internet of things (IoT) forensics, as the traffic of different devices demands special methods [9]. In spite of these developments, automated, real-time forensic solutions still have shortcomings, which require new models that use AI to become more efficient and more precise.</w:t>
      </w:r>
    </w:p>
    <w:p w14:paraId="386FE3F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development of network forensics may be followed back to the early 2000s models that focused on reactive analysis whereas more recent changes to proactive models are used to forecast and prevent threats before they occur [10]. As an illustration, deep learning in traffic classification has demonstrated potential in detecting zero-day attacks, whose conventional signature-based systems cannot do [11]. In addition, it supports the reconstruction of the timeline as the analysis can be visualized with the help of graphs [12]. Such advances highlight the necessity to have a comprehensive solution, incorporating the use of both classic tools and AI to solve current problems.</w:t>
      </w:r>
    </w:p>
    <w:p w14:paraId="37892C09">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3" w:name="_Toc214868533"/>
      <w:r>
        <w:rPr>
          <w:rFonts w:ascii="Arial" w:hAnsi="Arial" w:eastAsia="Times New Roman" w:cs="Arial"/>
          <w:color w:val="000000" w:themeColor="text1"/>
          <w:sz w:val="22"/>
          <w:szCs w:val="22"/>
          <w:lang w:val="zh-CN" w:eastAsia="en-GB"/>
          <w14:textFill>
            <w14:solidFill>
              <w14:schemeClr w14:val="tx1"/>
            </w14:solidFill>
          </w14:textFill>
        </w:rPr>
        <w:t>1.2 Research Problem</w:t>
      </w:r>
      <w:bookmarkEnd w:id="3"/>
    </w:p>
    <w:p w14:paraId="138D7E37">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Traditional network forensi</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c</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methods are largely reactive, relying on manual inspection of packets and rule systems that cause response time delays and do not identify more complex, multi-stage attacks [1]. The significant issues are managing large data volumes, decryption of encrypted traffic, automated time reconstruction, AI-based proactive detection, and validation of approaches based on real-world data [2]. An example is that capture tools, such as Wireshark, are very useful but require expert experience to interpret, whereas the current frameworks are not scalable to encrypted flows [13].</w:t>
      </w:r>
    </w:p>
    <w:p w14:paraId="039D288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limitations have been worsened by the escalating complexity of cyber threats. It has been found that the non-AI systems may have false negative rates up to 40 percent and thus the attack remains undetected [14]. This issue is especially critical in high-speed networks where real-time analysis is critical in order to cause as little damage as possible [15]. Moreover, the absence of standardized AI application in the field of forensics results in inconsistency in the outcomes, which prevents the admissibility of evidence in court [16]. This is a research problem that exists in the time when Cyber incidents cost the global economy trillions of dollars every year, and the efficient and automated solutions are needed to improve the detection and analysis of the problem [3].</w:t>
      </w:r>
    </w:p>
    <w:p w14:paraId="49FE74C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existing solutions also cannot keep up with the heterogeneity of network environments, including IoT and cloud systems, where traditional solutions are unable to absorb momentary data [9]. Weaknesses in empirical validation on the basis of such datasets as CICIDS-2017 emphasize the necessity of more effective frameworks [5]. To close these gaps, there is a need to shift to the use of AI-assisted models that can automate major processes and that will have a forensically sound nature.</w:t>
      </w:r>
    </w:p>
    <w:p w14:paraId="41D1F544">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4" w:name="_Toc214868534"/>
      <w:r>
        <w:rPr>
          <w:rFonts w:ascii="Arial" w:hAnsi="Arial" w:eastAsia="Times New Roman" w:cs="Arial"/>
          <w:color w:val="000000" w:themeColor="text1"/>
          <w:sz w:val="22"/>
          <w:szCs w:val="22"/>
          <w:lang w:val="zh-CN" w:eastAsia="en-GB"/>
          <w14:textFill>
            <w14:solidFill>
              <w14:schemeClr w14:val="tx1"/>
            </w14:solidFill>
          </w14:textFill>
        </w:rPr>
        <w:t>1.3 Research Aim and Objectives</w:t>
      </w:r>
      <w:bookmarkEnd w:id="4"/>
    </w:p>
    <w:p w14:paraId="2EBB13C9">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Aim:</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To create and test an AI-aided system in network forensics which enhances the efficiency of cyber incident detection and analysis using automated packet analysis, anomaly identification as well as timeline reconstruction.</w:t>
      </w:r>
    </w:p>
    <w:p w14:paraId="59F2D6F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Objectives:</w:t>
      </w:r>
    </w:p>
    <w:p w14:paraId="1E34884F">
      <w:pPr>
        <w:numPr>
          <w:ilvl w:val="0"/>
          <w:numId w:val="1"/>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To critically assess available network forensics techniques, tools and models in order to determine strong points, weaknesses and gaps in the existing practice.</w:t>
      </w:r>
    </w:p>
    <w:p w14:paraId="3D1BB7CC">
      <w:pPr>
        <w:numPr>
          <w:ilvl w:val="0"/>
          <w:numId w:val="1"/>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To develop a unified AI-based system that takes into consideration machine learning algorithms when identifying anomalies and rebuilding timelines automatically.</w:t>
      </w:r>
    </w:p>
    <w:p w14:paraId="2D6BD7FE">
      <w:pPr>
        <w:numPr>
          <w:ilvl w:val="0"/>
          <w:numId w:val="1"/>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To apply the framework with the help of open-source tools and test it on metadata benchmarking datasets, such as CICIDS-2017 and UNSW-NB15.</w:t>
      </w:r>
    </w:p>
    <w:p w14:paraId="3DD35D1D">
      <w:pPr>
        <w:numPr>
          <w:ilvl w:val="0"/>
          <w:numId w:val="1"/>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In order to compare the performance of the framework to the conventional tools, it is important to measure the detection accuracy, the processing time, and the false positive rates.</w:t>
      </w:r>
    </w:p>
    <w:p w14:paraId="5B99A9CF">
      <w:pPr>
        <w:numPr>
          <w:ilvl w:val="0"/>
          <w:numId w:val="1"/>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In order to evaluate ethical implications, constraints and give guidelines in the practical application to forensic investigations.</w:t>
      </w:r>
    </w:p>
    <w:p w14:paraId="73A80C9A">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5" w:name="_Toc214868535"/>
      <w:r>
        <w:rPr>
          <w:rFonts w:ascii="Arial" w:hAnsi="Arial" w:eastAsia="Times New Roman" w:cs="Arial"/>
          <w:color w:val="000000" w:themeColor="text1"/>
          <w:sz w:val="22"/>
          <w:szCs w:val="22"/>
          <w:lang w:val="zh-CN" w:eastAsia="en-GB"/>
          <w14:textFill>
            <w14:solidFill>
              <w14:schemeClr w14:val="tx1"/>
            </w14:solidFill>
          </w14:textFill>
        </w:rPr>
        <w:t>1.4 Significance of the Research</w:t>
      </w:r>
      <w:bookmarkEnd w:id="5"/>
    </w:p>
    <w:p w14:paraId="068D19A1">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This study is important because it fills the major gaps in network forensics by proposing a framework powered by AI, which shortens the investigation time and enhances the accuracy of the findings that would be useful to cyber</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 xml:space="preserve">  </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security experts, law enforcement agencies, and organizations [17]. It is technically progressive in automated traffic analysis of encrypted traffic and multi-stage attacks, which it adds to the theoretical understanding of AI-forensics integration [11]. On the societal level, it will reduce the estimated financial damages of cyber incidents of up to 6 trillion worldwide in 2024 and enhance digital proofs in the judicial process [3].</w:t>
      </w:r>
    </w:p>
    <w:p w14:paraId="22E83687">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possible uses are implementation in security operations centers (SOCs) to monitor in real time, open-source software to serve small businesses and donation to standards such as NIST guidelines [18]. The research is beneficial by enhancing the efficiency of forensic by supporting a more secure digital ecosystem in new domains such as the IoT and cloud computing [9]. And finally, it leads to innovativeness in proactive forensics, which allows prediction and avoidance of threats.</w:t>
      </w:r>
    </w:p>
    <w:p w14:paraId="351829E8">
      <w:pPr>
        <w:pStyle w:val="2"/>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6" w:name="_Toc214868536"/>
      <w:r>
        <w:rPr>
          <w:rFonts w:ascii="Arial" w:hAnsi="Arial" w:eastAsia="Times New Roman" w:cs="Arial"/>
          <w:color w:val="000000" w:themeColor="text1"/>
          <w:sz w:val="22"/>
          <w:szCs w:val="22"/>
          <w:lang w:val="zh-CN" w:eastAsia="en-GB"/>
          <w14:textFill>
            <w14:solidFill>
              <w14:schemeClr w14:val="tx1"/>
            </w14:solidFill>
          </w14:textFill>
        </w:rPr>
        <w:t>2. Literature Review</w:t>
      </w:r>
      <w:bookmarkEnd w:id="6"/>
      <w:r>
        <w:rPr>
          <w:rFonts w:ascii="Arial" w:hAnsi="Arial" w:eastAsia="Times New Roman" w:cs="Arial"/>
          <w:color w:val="000000" w:themeColor="text1"/>
          <w:sz w:val="22"/>
          <w:szCs w:val="22"/>
          <w:lang w:val="zh-CN" w:eastAsia="en-GB"/>
          <w14:textFill>
            <w14:solidFill>
              <w14:schemeClr w14:val="tx1"/>
            </w14:solidFill>
          </w14:textFill>
        </w:rPr>
        <w:t xml:space="preserve"> </w:t>
      </w:r>
    </w:p>
    <w:p w14:paraId="7B0C679E">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7" w:name="_Toc214868537"/>
      <w:r>
        <w:rPr>
          <w:rFonts w:ascii="Arial" w:hAnsi="Arial" w:eastAsia="Times New Roman" w:cs="Arial"/>
          <w:color w:val="000000" w:themeColor="text1"/>
          <w:sz w:val="22"/>
          <w:szCs w:val="22"/>
          <w:lang w:val="zh-CN" w:eastAsia="en-GB"/>
          <w14:textFill>
            <w14:solidFill>
              <w14:schemeClr w14:val="tx1"/>
            </w14:solidFill>
          </w14:textFill>
        </w:rPr>
        <w:t>2.1 Introduction to the Literature Review</w:t>
      </w:r>
      <w:bookmarkEnd w:id="7"/>
    </w:p>
    <w:p w14:paraId="25F01D6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literature review will critically analyze the advances in network forensics between 2015 and 2025, in the aspects of investigative frameworks, packet analysis tools, machine learning integration, reconstruction of the timeline, and empirical evaluation based on data sets. Based on peer-reviewed texts in IEEE Xplore, ACM Digital library, ScienceDirect, and similar databases, the review will draw a summary of major arguments, methodological developments, and emerging issues. The discussion is thematically structured though in a chronological progression to demonstrate how the field has developed over the years since traditional, reactive forensics to the contemporary, AI-driven, proactive investigative patterns. In this way, the completeness is guaranteed, as well as the holes that prompt the given investigation.</w:t>
      </w:r>
    </w:p>
    <w:p w14:paraId="5004E8A9">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8" w:name="_Toc214868538"/>
      <w:r>
        <w:rPr>
          <w:rFonts w:ascii="Arial" w:hAnsi="Arial" w:eastAsia="Times New Roman" w:cs="Arial"/>
          <w:color w:val="000000" w:themeColor="text1"/>
          <w:sz w:val="22"/>
          <w:szCs w:val="22"/>
          <w:lang w:val="zh-CN" w:eastAsia="en-GB"/>
          <w14:textFill>
            <w14:solidFill>
              <w14:schemeClr w14:val="tx1"/>
            </w14:solidFill>
          </w14:textFill>
        </w:rPr>
        <w:t>2.2 Thematic Organisation</w:t>
      </w:r>
      <w:bookmarkEnd w:id="8"/>
    </w:p>
    <w:p w14:paraId="2F00823F">
      <w:pPr>
        <w:pStyle w:val="4"/>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9" w:name="_Toc214868539"/>
      <w:r>
        <w:rPr>
          <w:rFonts w:ascii="Arial" w:hAnsi="Arial" w:eastAsia="Times New Roman" w:cs="Arial"/>
          <w:color w:val="000000" w:themeColor="text1"/>
          <w:sz w:val="22"/>
          <w:szCs w:val="22"/>
          <w:lang w:val="zh-CN" w:eastAsia="en-GB"/>
          <w14:textFill>
            <w14:solidFill>
              <w14:schemeClr w14:val="tx1"/>
            </w14:solidFill>
          </w14:textFill>
        </w:rPr>
        <w:t>2.2.1 Frameworks and Investigative Techniques</w:t>
      </w:r>
      <w:bookmarkEnd w:id="9"/>
    </w:p>
    <w:p w14:paraId="3402441A">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Structured network forensic processes were prepared by early foundational research in 201517. </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[2]</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D</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iscuss the importance of systematic taxonomies to aid digital investigations and then describe the key stages namely: collection of evidence, traffic monitoring, and analysis [2]. Their work was based on the previous taxonomy created by Pilli et al. that differentiated reactive investigations (activated following incidents) and proactive models (intended to predict threats) [19]. These initial models were mostly manual and signature-based in the nature as the technology of the time could not support any other type of detection.</w:t>
      </w:r>
    </w:p>
    <w:p w14:paraId="564A7A6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By 201852020, studies started to focus on the issues of large volume and heterogeneous network conditions. Research claimed that conventional models were not scalable and failed to effectively accommodate emerging threats like the zero-day attacks or distributed network attacks. In illustration, the original dataset article </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 xml:space="preserve">[5] </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did not only present CICIDS-2017, but also emphasized on the necessity of frameworks that could react to realistic attack patterns, multi-vector attacks, and encrypted traffic streams [5]. In the meantime </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[22]</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identified issues with dataset inconsistencies and recommended more uniform experimental practices in order to achieve forensic dependability [22].</w:t>
      </w:r>
    </w:p>
    <w:p w14:paraId="4439B34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In the 2020s, intelligent automation was more and more an element of frameworks. Khan et al</w:t>
      </w:r>
      <w:r>
        <w:rPr>
          <w:rFonts w:hint="default" w:ascii="Arial" w:hAnsi="Arial" w:eastAsia="Times New Roman"/>
          <w:color w:val="000000" w:themeColor="text1"/>
          <w:kern w:val="0"/>
          <w:sz w:val="22"/>
          <w:szCs w:val="22"/>
          <w:lang w:val="en-US" w:eastAsia="en-GB"/>
          <w14:textFill>
            <w14:solidFill>
              <w14:schemeClr w14:val="tx1"/>
            </w14:solidFill>
          </w14:textFill>
          <w14:ligatures w14:val="none"/>
        </w:rPr>
        <w:t>.</w:t>
      </w: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presented a proactive forensic framework that is based on the AI and able to predict the attack instead of responding to it [8]. They concentrated on automated evidence correlation and anomaly detection, which is a change in the field towards predictive modelling. Likewise, Bhardwaj and Dave  introduced a more serious neural network architecture in attack investigation, which is highly accurate and classified sophisticated used traffic patterns much better [7].</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w:t>
      </w:r>
    </w:p>
    <w:p w14:paraId="1E63E31A">
      <w:pPr>
        <w:pStyle w:val="4"/>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0" w:name="_Toc214868540"/>
      <w:r>
        <w:rPr>
          <w:rFonts w:ascii="Arial" w:hAnsi="Arial" w:eastAsia="Times New Roman" w:cs="Arial"/>
          <w:color w:val="000000" w:themeColor="text1"/>
          <w:sz w:val="22"/>
          <w:szCs w:val="22"/>
          <w:lang w:val="zh-CN" w:eastAsia="en-GB"/>
          <w14:textFill>
            <w14:solidFill>
              <w14:schemeClr w14:val="tx1"/>
            </w14:solidFill>
          </w14:textFill>
        </w:rPr>
        <w:t>2.2.2 Tools and Packet Analysis</w:t>
      </w:r>
      <w:bookmarkEnd w:id="10"/>
    </w:p>
    <w:p w14:paraId="49628B5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development of network forensics tools has been reflected in the last ten years. Conventional packet capturing and metadata tools including Wireshark and NetworkMiner are still imperative in the packet capturing and metadata extraction offering important features in the acquisition of the initial evidence [1]. The survey performed by Sikos  critically examined the packet analysis techniques in detail and showed how the deep packet inspection system makes it possible to reconstruct communication sessions and detect the signature of malicious Payloads [1]. These tools are reliable but were initially meant in environments where there is a large degree of unencryption of the payloads and the amount of data manageable.</w:t>
      </w:r>
    </w:p>
    <w:p w14:paraId="75D60F9A">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With the encrypted communication standards like TLS 1.3 becoming widespread, researchers started reporting major constraints. As demonstrated by Sánchez-Sánchez et al. (2024), traditional packet analysis tools fail to work well in analysing data obtained in IoT ecosystems, where encryption and proprietary protocols mask data [13]. These problems led to the creation of heuristic and metadata-based methods of analysis, focusing on behavioural inference as opposed to payload inspection.</w:t>
      </w:r>
    </w:p>
    <w:p w14:paraId="6F61563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Newer tools tried to enhance the capacity of reconstruction. An example case is Netfox Detective, which was a significant improvement to conversation and session reconstruction using fragmented or partially damaged packets [12]. The study of Pluskal et al.showed that it may be more effective than traditional tools in rearranging incomplete network traces, and may be useful in investigation where packets are lost because of network congestion or evasion strategies [12].</w:t>
      </w:r>
    </w:p>
    <w:p w14:paraId="363BD967">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Exploratory data analysis (EDA) was fully absorbed into the processes of forensic investigation at around 20192021. Kurniabudi et al. demonstrated that the analysis of feature distributions in data sets such as CICIDS-2017 can be beneficial in detecting anomalies because it allows understanding the most helpful traffic features to identify normal and malicious flows [20]. Consequently, EDA-based pre-processing modules are becoming more important in forensics tools to facilitate machine learning pipelines.</w:t>
      </w:r>
    </w:p>
    <w:p w14:paraId="4838E11B">
      <w:pPr>
        <w:pStyle w:val="4"/>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1" w:name="_Toc214868541"/>
      <w:r>
        <w:rPr>
          <w:rFonts w:ascii="Arial" w:hAnsi="Arial" w:eastAsia="Times New Roman" w:cs="Arial"/>
          <w:color w:val="000000" w:themeColor="text1"/>
          <w:sz w:val="22"/>
          <w:szCs w:val="22"/>
          <w:lang w:val="zh-CN" w:eastAsia="en-GB"/>
          <w14:textFill>
            <w14:solidFill>
              <w14:schemeClr w14:val="tx1"/>
            </w14:solidFill>
          </w14:textFill>
        </w:rPr>
        <w:t>2.2.3 Timeline Reconstruction and AI Integration</w:t>
      </w:r>
      <w:bookmarkEnd w:id="11"/>
    </w:p>
    <w:p w14:paraId="754AD217">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Reconstruction of timeline is crucial to persist in the chronological order of cyber events. The initial research in this field was directed at correlating logs and matching timestamps of heterogeneous sources. By 2020, packet capture tools like Netfox Detective could reconstruct based on packet captures, although the procedure was largely manual and inaccurate [12].</w:t>
      </w:r>
    </w:p>
    <w:p w14:paraId="377D0FB9">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Artificial intelligence had a great impact on the development of this area. The capability of AI to identify the underlying temporal patterns allowed improved sequence of events especially in the setting where attackers intentionally obfuscate the timestamps or resort to altering logs. LSTM and transformer-based architectures, which are the deep learning strategies, were especially efficient. The articles by Paracha et al. have shown how the models detect anomalies in time series data with great accuracy, thus enhancing the accuracy of the reconstructed intrusion timelines [9].</w:t>
      </w:r>
    </w:p>
    <w:p w14:paraId="151C38EF">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Predictive forensics is also backed by AI-based reconstruction. As an illustration, Chourasiya et al. applied both LSTM and transformer networks to logs in system to analyse the logs and identify events that happened previously, and predict upcoming threats based on past behaviour [11]. Such advances are an indication of a wider change of views to proactive, intelligence-driven forensic analysis.</w:t>
      </w:r>
    </w:p>
    <w:p w14:paraId="0BFA1096">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other significant process is the adoption of blockchain to uphold evidentiary chain-of-custody. Conti et al. demonstrated that blockchain-based logs are tamper-resistant, which introduces transparency and dependability to recreation timelines [21]. Nevertheless, blockchain systems have computational overhead and are not necessarily appropriate to fast networks.</w:t>
      </w:r>
    </w:p>
    <w:p w14:paraId="2116B7AD">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Although these achievements have been realized, a lot of gaps still exist. Multi-stage attacks, including the lateral movement or privilege escalation attacks, still pose a challenge to both AI-based and traditional reconstruction techniques since the events are overlapping, and asynchronous (challenging to correlate) [22]. Real-time reconstruction is also uncommon, and most of them only do post-incident analysis, another highly important area that can be significantly enhanced.</w:t>
      </w:r>
    </w:p>
    <w:p w14:paraId="7CBDF1BA">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2" w:name="_Toc214868542"/>
      <w:r>
        <w:rPr>
          <w:rFonts w:ascii="Arial" w:hAnsi="Arial" w:eastAsia="Times New Roman" w:cs="Arial"/>
          <w:color w:val="000000" w:themeColor="text1"/>
          <w:sz w:val="22"/>
          <w:szCs w:val="22"/>
          <w:lang w:val="zh-CN" w:eastAsia="en-GB"/>
          <w14:textFill>
            <w14:solidFill>
              <w14:schemeClr w14:val="tx1"/>
            </w14:solidFill>
          </w14:textFill>
        </w:rPr>
        <w:t>2.3 Datasets, Key Contributions, and Remaining Gaps</w:t>
      </w:r>
      <w:bookmarkEnd w:id="12"/>
    </w:p>
    <w:p w14:paraId="134F2C8D">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Availability of data sets has been very instrumental in the development of empirical research. Until 2017, the vast majority of intrusion detection data had an unrealistic traffic distribution and small variety of attacks. Both CICIDS-2017 and UNSW-NB15 have had a profound impact on the research environment by making available labelled, realistic network traffic that includes modern threat behaviours [5], [6]. Most of the machine learning studies on network forensics are still based on these datasets.</w:t>
      </w:r>
    </w:p>
    <w:p w14:paraId="6AA718AE">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Researchers like Panigrahi and Borah and Kurniabudi et al. examined the characteristics of the features of such datasets, which attributes are the most effective to perform intrusion detection [16], [20]. Their efforts emphasized the fact that feature engineering and dimensionality reduction are crucial to the construction of high performance forensic systems.</w:t>
      </w:r>
    </w:p>
    <w:p w14:paraId="438D68A3">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However, even with such contributions, datasets have the drawback of biases, including artificial traffic behavior or inadequate support of encrypted flows, which restrict their use in the real world. Ring et al. reported inconsistencies between datasets, which led to the need to make network traces more realistic, more diverse, and regularly updated [22]. Even more recent studies to 20232025 still largely depend on these datasets, which may not be representative of the complexity of current high-speed networks or IoT </w:t>
      </w:r>
      <w:r>
        <w:rPr>
          <w:rFonts w:hint="default" w:ascii="Arial" w:hAnsi="Arial" w:eastAsia="Times New Roman"/>
          <w:color w:val="000000" w:themeColor="text1"/>
          <w:kern w:val="0"/>
          <w:sz w:val="22"/>
          <w:szCs w:val="22"/>
          <w:highlight w:val="none"/>
          <w:lang w:val="zh-CN" w:eastAsia="en-GB"/>
          <w14:textFill>
            <w14:solidFill>
              <w14:schemeClr w14:val="tx1"/>
            </w14:solidFill>
          </w14:textFill>
          <w14:ligatures w14:val="none"/>
        </w:rPr>
        <w:t>ecosystems.</w:t>
      </w:r>
    </w:p>
    <w:p w14:paraId="22F41A98">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Critical gaps identified across the literature include:</w:t>
      </w:r>
    </w:p>
    <w:p w14:paraId="09AD09D8">
      <w:pPr>
        <w:numPr>
          <w:ilvl w:val="0"/>
          <w:numId w:val="2"/>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Limited integration of AI for full forensic automation</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especially real-time capabilities.</w:t>
      </w:r>
    </w:p>
    <w:p w14:paraId="4E5F6807">
      <w:pPr>
        <w:numPr>
          <w:ilvl w:val="0"/>
          <w:numId w:val="2"/>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Challenges in analysing encrypted traffic</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which continues to obscure payload evidence.</w:t>
      </w:r>
    </w:p>
    <w:p w14:paraId="3D26B61A">
      <w:pPr>
        <w:numPr>
          <w:ilvl w:val="0"/>
          <w:numId w:val="2"/>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Lack of proactive models</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capable of predicting or automatically correlating multi-stage attacks.</w:t>
      </w:r>
    </w:p>
    <w:p w14:paraId="1124C9F5">
      <w:pPr>
        <w:numPr>
          <w:ilvl w:val="0"/>
          <w:numId w:val="2"/>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Insufficient empirical validation</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with many studies remaining conceptual or theoretical [23].</w:t>
      </w:r>
    </w:p>
    <w:p w14:paraId="4B646C8F">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These lacunae are a base of innovative models that will incorporate AI in the entire forensic process, including analyze packets to recreate the timeline.</w:t>
      </w:r>
    </w:p>
    <w:p w14:paraId="7508C1B6">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3" w:name="_Toc214868543"/>
      <w:r>
        <w:rPr>
          <w:rFonts w:ascii="Arial" w:hAnsi="Arial" w:eastAsia="Times New Roman" w:cs="Arial"/>
          <w:color w:val="000000" w:themeColor="text1"/>
          <w:sz w:val="22"/>
          <w:szCs w:val="22"/>
          <w:lang w:val="zh-CN" w:eastAsia="en-GB"/>
          <w14:textFill>
            <w14:solidFill>
              <w14:schemeClr w14:val="tx1"/>
            </w14:solidFill>
          </w14:textFill>
        </w:rPr>
        <w:t>2.4 Theoretical and Technical Frameworks</w:t>
      </w:r>
      <w:bookmarkEnd w:id="13"/>
    </w:p>
    <w:p w14:paraId="156ACDDD">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methodological basis of the construction of artefacts that can solve real-life forensic issues is supported by theoretical frameworks like Design Science Research (DSR) [24]. The iterative design of the process of DSR, comprising the identification of a problem, the development of an artefact, evaluation, and its ultimate enhancement, can be considered immensely applicable to building AI-driven systems in forensic settings.</w:t>
      </w:r>
    </w:p>
    <w:p w14:paraId="41BCA29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Technically, machine learning algorithms including the Random Forest and XGBoost, neural networks have become the focus of anomaly detection. Osanaiye et al. (2016) showed the enhanced DDoS detection with the help of ensemble learning based on multi-filter feature selection [25]. This methodology prepared some early precursors to feature-based classification, which was a component of subsequent forensic systems.</w:t>
      </w:r>
    </w:p>
    <w:p w14:paraId="13564383">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ML model training and validation Software libraries, including Scikit-learn, TensorFlow, and PyTorch, and packet manipulator tools, including Scapy, have features like live capture and replay. NetworkX has become popular as a way of drawing attacker movement, as well as understanding event sequences, because it allows visualisation of attack graphs.</w:t>
      </w:r>
    </w:p>
    <w:p w14:paraId="403CDEFF">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However, these frameworks need to be modified to meet the new risks such as polymorphic malware, advanced persistent threats (APT), and cloud-native attacks, which demand systems that are able to learn and evolve in dynamism [11]. This brings the necessity of hybrid designs combining theoretical models with scalable, AI-enhanced designs.</w:t>
      </w:r>
    </w:p>
    <w:p w14:paraId="10CDCE3D">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4" w:name="_Toc214868544"/>
      <w:r>
        <w:rPr>
          <w:rFonts w:ascii="Arial" w:hAnsi="Arial" w:eastAsia="Times New Roman" w:cs="Arial"/>
          <w:color w:val="000000" w:themeColor="text1"/>
          <w:sz w:val="22"/>
          <w:szCs w:val="22"/>
          <w:lang w:val="zh-CN" w:eastAsia="en-GB"/>
          <w14:textFill>
            <w14:solidFill>
              <w14:schemeClr w14:val="tx1"/>
            </w14:solidFill>
          </w14:textFill>
        </w:rPr>
        <w:t>2.5 Relevance to the Study</w:t>
      </w:r>
      <w:bookmarkEnd w:id="14"/>
    </w:p>
    <w:p w14:paraId="426DBF78">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literature reviewed provides a rich background and unresolved issues that set the context of the relevance of this research. Although available tools and frameworks have powerful packet analysis, anomaly detection, and classification capability, they are usually not integrated, scalable, and automated. Specifically:</w:t>
      </w:r>
    </w:p>
    <w:p w14:paraId="65112E1F">
      <w:pPr>
        <w:numPr>
          <w:ilvl w:val="0"/>
          <w:numId w:val="3"/>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Conventional tools are not able to cope with high-volume traffic and encrypted traffic.</w:t>
      </w:r>
    </w:p>
    <w:p w14:paraId="11D6CA85">
      <w:pPr>
        <w:numPr>
          <w:ilvl w:val="0"/>
          <w:numId w:val="3"/>
        </w:num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AI-based models are not much likely to use timeline reconstruction.</w:t>
      </w:r>
    </w:p>
    <w:p w14:paraId="2444880B">
      <w:pPr>
        <w:numPr>
          <w:ilvl w:val="0"/>
          <w:numId w:val="3"/>
        </w:num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Active and automatic forensic system is still underdeveloped.</w:t>
      </w:r>
    </w:p>
    <w:p w14:paraId="7423DF97">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The work avoids these shortcomings by suggesting an AI-based network forensics system that combines packet capture, anomaly detection, and automated timeline reconstruction on the datasets like CICIDS-2017 and UNSW-NB15. The study is valuable in that it provides a comprehensive artefact that meets the DSR principles and addresses the contemporary cyber-forensic issues.</w:t>
      </w:r>
    </w:p>
    <w:p w14:paraId="4C9711ED">
      <w:pPr>
        <w:pStyle w:val="3"/>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15" w:name="_Toc214868545"/>
      <w:r>
        <w:rPr>
          <w:rFonts w:ascii="Arial" w:hAnsi="Arial" w:eastAsia="Times New Roman" w:cs="Arial"/>
          <w:color w:val="000000" w:themeColor="text1"/>
          <w:sz w:val="22"/>
          <w:szCs w:val="22"/>
          <w:lang w:val="zh-CN" w:eastAsia="en-GB"/>
          <w14:textFill>
            <w14:solidFill>
              <w14:schemeClr w14:val="tx1"/>
            </w14:solidFill>
          </w14:textFill>
        </w:rPr>
        <w:t>2.6 Literature Summary</w:t>
      </w:r>
      <w:bookmarkEnd w:id="15"/>
    </w:p>
    <w:p w14:paraId="5A977C79">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In short, the network forensics has made huge strides over the last ten years, moving past manual and reactionary methods of network forensics to information-driven and more intelligent systems. Although frameworks, tools, datasets, and generally AI methods have developed to a high level, multiple gaps persist, such as automation, encrypted traffic analysis, and real-time proactive investigation, impeding investigations. The proposed research will fill these gaps by developing and analyzing an all-in-one, AI-enhanced framework, which will not only contribute to the theoretical knowledge about the field but also to the practical side of it.</w:t>
      </w:r>
    </w:p>
    <w:p w14:paraId="4A331CC6">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p>
    <w:p w14:paraId="4390B84C">
      <w:pPr>
        <w:spacing w:before="100" w:beforeAutospacing="1" w:after="100" w:afterAutospacing="1"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p>
    <w:p w14:paraId="05222B4A">
      <w:pPr>
        <w:pStyle w:val="2"/>
        <w:spacing w:line="360" w:lineRule="auto"/>
        <w:rPr>
          <w:rFonts w:ascii="Arial" w:hAnsi="Arial" w:cs="Arial"/>
          <w:color w:val="000000" w:themeColor="text1"/>
          <w:sz w:val="22"/>
          <w:szCs w:val="22"/>
          <w:lang w:val="zh-CN"/>
          <w14:textFill>
            <w14:solidFill>
              <w14:schemeClr w14:val="tx1"/>
            </w14:solidFill>
          </w14:textFill>
        </w:rPr>
      </w:pPr>
      <w:bookmarkStart w:id="16" w:name="_Toc214868546"/>
      <w:r>
        <w:rPr>
          <w:rStyle w:val="18"/>
          <w:rFonts w:ascii="Arial" w:hAnsi="Arial" w:cs="Arial"/>
          <w:b/>
          <w:bCs w:val="0"/>
          <w:color w:val="000000" w:themeColor="text1"/>
          <w:sz w:val="22"/>
          <w:szCs w:val="22"/>
          <w14:textFill>
            <w14:solidFill>
              <w14:schemeClr w14:val="tx1"/>
            </w14:solidFill>
          </w14:textFill>
        </w:rPr>
        <w:t>3. Research Design and Methodology</w:t>
      </w:r>
      <w:bookmarkEnd w:id="16"/>
      <w:r>
        <w:rPr>
          <w:rStyle w:val="18"/>
          <w:rFonts w:ascii="Arial" w:hAnsi="Arial" w:cs="Arial"/>
          <w:b/>
          <w:bCs w:val="0"/>
          <w:color w:val="000000" w:themeColor="text1"/>
          <w:sz w:val="22"/>
          <w:szCs w:val="22"/>
          <w14:textFill>
            <w14:solidFill>
              <w14:schemeClr w14:val="tx1"/>
            </w14:solidFill>
          </w14:textFill>
        </w:rPr>
        <w:t xml:space="preserve"> </w:t>
      </w:r>
    </w:p>
    <w:p w14:paraId="0AE366BD">
      <w:pPr>
        <w:pStyle w:val="3"/>
        <w:spacing w:line="360" w:lineRule="auto"/>
        <w:rPr>
          <w:rFonts w:ascii="Arial" w:hAnsi="Arial" w:cs="Arial"/>
          <w:color w:val="000000" w:themeColor="text1"/>
          <w:sz w:val="22"/>
          <w:szCs w:val="22"/>
          <w14:textFill>
            <w14:solidFill>
              <w14:schemeClr w14:val="tx1"/>
            </w14:solidFill>
          </w14:textFill>
        </w:rPr>
      </w:pPr>
      <w:bookmarkStart w:id="17" w:name="_Toc214868547"/>
      <w:r>
        <w:rPr>
          <w:rStyle w:val="18"/>
          <w:rFonts w:ascii="Arial" w:hAnsi="Arial" w:cs="Arial"/>
          <w:b/>
          <w:bCs w:val="0"/>
          <w:color w:val="000000" w:themeColor="text1"/>
          <w:sz w:val="22"/>
          <w:szCs w:val="22"/>
          <w14:textFill>
            <w14:solidFill>
              <w14:schemeClr w14:val="tx1"/>
            </w14:solidFill>
          </w14:textFill>
        </w:rPr>
        <w:t>3.1 Research Design</w:t>
      </w:r>
      <w:bookmarkEnd w:id="17"/>
    </w:p>
    <w:p w14:paraId="05D0E974">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This paper follows a Design Science Research (DSR) paradigm, that is concerned with the development and the testing of artefacts to solve the real-world issues and is a good fit to design an AI-assisted network forensics model. DSR offers a rigour, relevance, and refinement balance [24], with the stages of problem identification, objective definition, artefact development, demonstration, evaluation, and communication of Peffers et al. structured [26]. The problem identified in this study is the constraints in the existing network forensics: the lack of automation, the complexity of encrypted traffic, and the lack of real-time AI integration, which results in the objectives focused on the design and assessment of a framework with the integration of AI-guided anomaly detection and automated timeline reconstruction. The artefact comprises of built in capabilities to capture packets, machine learning and event reconstruction, and it was tested on CICIDS-2017 and then validated on UNSW-NB15 to gain accuracy, usability and to adhere to forensic needs such as reproducibility and chain-of-custody integrity. The advantage of DSR is the connection between theoretical arguments and technical processes, which allows systematizing them in the form of measurable performance indicators and contributes to the methodological openness required in digital forensics. With the consideration of the needs of the stakeholders and the focus on effective communication of the research outcomes, the methodology will contribute to the fact that the framework will be not only practically useful but also academically sound.</w:t>
      </w:r>
    </w:p>
    <w:p w14:paraId="12F691A6">
      <w:pPr>
        <w:pStyle w:val="3"/>
        <w:spacing w:line="360" w:lineRule="auto"/>
        <w:rPr>
          <w:rFonts w:ascii="Arial" w:hAnsi="Arial" w:cs="Arial"/>
          <w:color w:val="000000" w:themeColor="text1"/>
          <w:sz w:val="22"/>
          <w:szCs w:val="22"/>
          <w14:textFill>
            <w14:solidFill>
              <w14:schemeClr w14:val="tx1"/>
            </w14:solidFill>
          </w14:textFill>
        </w:rPr>
      </w:pPr>
      <w:bookmarkStart w:id="18" w:name="_Toc214868548"/>
      <w:r>
        <w:rPr>
          <w:rStyle w:val="18"/>
          <w:rFonts w:ascii="Arial" w:hAnsi="Arial" w:cs="Arial"/>
          <w:b/>
          <w:bCs w:val="0"/>
          <w:color w:val="000000" w:themeColor="text1"/>
          <w:sz w:val="22"/>
          <w:szCs w:val="22"/>
          <w14:textFill>
            <w14:solidFill>
              <w14:schemeClr w14:val="tx1"/>
            </w14:solidFill>
          </w14:textFill>
        </w:rPr>
        <w:t>3.2 Research Methods and Materials</w:t>
      </w:r>
      <w:bookmarkEnd w:id="18"/>
    </w:p>
    <w:p w14:paraId="183E3C5D">
      <w:pPr>
        <w:pStyle w:val="4"/>
        <w:spacing w:line="360" w:lineRule="auto"/>
        <w:rPr>
          <w:rFonts w:ascii="Arial" w:hAnsi="Arial" w:cs="Arial"/>
          <w:color w:val="000000" w:themeColor="text1"/>
          <w:sz w:val="22"/>
          <w:szCs w:val="22"/>
          <w14:textFill>
            <w14:solidFill>
              <w14:schemeClr w14:val="tx1"/>
            </w14:solidFill>
          </w14:textFill>
        </w:rPr>
      </w:pPr>
      <w:bookmarkStart w:id="19" w:name="_Toc214868549"/>
      <w:r>
        <w:rPr>
          <w:rStyle w:val="18"/>
          <w:rFonts w:ascii="Arial" w:hAnsi="Arial" w:cs="Arial"/>
          <w:b w:val="0"/>
          <w:bCs w:val="0"/>
          <w:color w:val="000000" w:themeColor="text1"/>
          <w:sz w:val="22"/>
          <w:szCs w:val="22"/>
          <w14:textFill>
            <w14:solidFill>
              <w14:schemeClr w14:val="tx1"/>
            </w14:solidFill>
          </w14:textFill>
        </w:rPr>
        <w:t>3.2.1 Methods</w:t>
      </w:r>
      <w:bookmarkEnd w:id="19"/>
    </w:p>
    <w:p w14:paraId="269E71F6">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proposed research takes the form of a mixed-methods research, which incorporates both quantitative and qualitative research because of the need to have a very strong assessment of the proposed forensic framework. The reasons why the mixed-methods approach is justified are that the study needs not only objective performance evaluation but also subjective usability data, which is dual-purpose technical and practical in nature regarding network forensic investigations.</w:t>
      </w:r>
    </w:p>
    <w:p w14:paraId="2786AA5C">
      <w:pPr>
        <w:pStyle w:val="4"/>
        <w:spacing w:line="360" w:lineRule="auto"/>
        <w:rPr>
          <w:rFonts w:ascii="Arial" w:hAnsi="Arial" w:cs="Arial"/>
          <w:color w:val="000000" w:themeColor="text1"/>
          <w:sz w:val="22"/>
          <w:szCs w:val="22"/>
          <w14:textFill>
            <w14:solidFill>
              <w14:schemeClr w14:val="tx1"/>
            </w14:solidFill>
          </w14:textFill>
        </w:rPr>
      </w:pPr>
      <w:bookmarkStart w:id="20" w:name="_Toc214868550"/>
      <w:r>
        <w:rPr>
          <w:rStyle w:val="18"/>
          <w:rFonts w:ascii="Arial" w:hAnsi="Arial" w:cs="Arial"/>
          <w:b w:val="0"/>
          <w:bCs w:val="0"/>
          <w:color w:val="000000" w:themeColor="text1"/>
          <w:sz w:val="22"/>
          <w:szCs w:val="22"/>
          <w14:textFill>
            <w14:solidFill>
              <w14:schemeClr w14:val="tx1"/>
            </w14:solidFill>
          </w14:textFill>
        </w:rPr>
        <w:t>3.2.2 Software Development and Experimental Strategy</w:t>
      </w:r>
      <w:bookmarkEnd w:id="20"/>
    </w:p>
    <w:p w14:paraId="7442438A">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study will use an organized software development life cycle to introduce the AI-assisted framework. This process involves planning, coding, testing and evaluation of the performance. The artefact is modularly designed, where each component would respond to a particular forensic need:</w:t>
      </w:r>
    </w:p>
    <w:p w14:paraId="2D260736">
      <w:pPr>
        <w:pStyle w:val="17"/>
        <w:numPr>
          <w:ilvl w:val="0"/>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Packet Capture and Preprocessing Module</w:t>
      </w:r>
      <w:r>
        <w:rPr>
          <w:rFonts w:ascii="Arial" w:hAnsi="Arial" w:cs="Arial"/>
          <w:color w:val="000000" w:themeColor="text1"/>
          <w:sz w:val="22"/>
          <w:szCs w:val="22"/>
          <w14:textFill>
            <w14:solidFill>
              <w14:schemeClr w14:val="tx1"/>
            </w14:solidFill>
          </w14:textFill>
        </w:rPr>
        <w:br w:type="textWrapping"/>
      </w:r>
      <w:r>
        <w:rPr>
          <w:rFonts w:hint="default" w:ascii="Arial" w:hAnsi="Arial"/>
          <w:color w:val="000000" w:themeColor="text1"/>
          <w:sz w:val="22"/>
          <w:szCs w:val="22"/>
          <w14:textFill>
            <w14:solidFill>
              <w14:schemeClr w14:val="tx1"/>
            </w14:solidFill>
          </w14:textFill>
        </w:rPr>
        <w:t>In this module, Scapy, a well-known freely available open-source packet manipulation tool used to capture or import PCAP files is used. Malformed packets, extraction of flow-level metadata (e.g., source IP, destination IP, protocol), and data transformation into standard format forms are preprocessing tasks that are useful to prepare the data in a form that can be analyzed through MLs. The preprocessing step is important as forensic datasets are usually contaminated by noise or missing packets.</w:t>
      </w:r>
    </w:p>
    <w:p w14:paraId="26EF62AF">
      <w:pPr>
        <w:pStyle w:val="17"/>
        <w:numPr>
          <w:ilvl w:val="0"/>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Machine Learning–Based Anomaly Detection Module</w:t>
      </w:r>
      <w:r>
        <w:rPr>
          <w:rFonts w:ascii="Arial" w:hAnsi="Arial" w:cs="Arial"/>
          <w:color w:val="000000" w:themeColor="text1"/>
          <w:sz w:val="22"/>
          <w:szCs w:val="22"/>
          <w14:textFill>
            <w14:solidFill>
              <w14:schemeClr w14:val="tx1"/>
            </w14:solidFill>
          </w14:textFill>
        </w:rPr>
        <w:br w:type="textWrapping"/>
      </w:r>
      <w:r>
        <w:rPr>
          <w:rFonts w:hint="default" w:ascii="Arial" w:hAnsi="Arial"/>
          <w:color w:val="000000" w:themeColor="text1"/>
          <w:sz w:val="22"/>
          <w:szCs w:val="22"/>
          <w14:textFill>
            <w14:solidFill>
              <w14:schemeClr w14:val="tx1"/>
            </w14:solidFill>
          </w14:textFill>
        </w:rPr>
        <w:t>Scikit-learn is used in the implementation of ML, with algorithms like Random Forest to do classification. Random Forest was selected due to its capacity to work with high-dimensional data as well as its resistivity to noise and its high performance in intrusion detection studies. The training of the model is based on labelled data of CICIDS-2017 and UNSW-NB15, which enables the framework to acquire normal and malicious traffic patterns.</w:t>
      </w:r>
    </w:p>
    <w:p w14:paraId="48A992AA">
      <w:pPr>
        <w:pStyle w:val="17"/>
        <w:spacing w:line="360" w:lineRule="auto"/>
        <w:ind w:left="7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Performance metrics include:</w:t>
      </w:r>
    </w:p>
    <w:p w14:paraId="2C6C5B5A">
      <w:pPr>
        <w:pStyle w:val="17"/>
        <w:numPr>
          <w:ilvl w:val="1"/>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Accuracy</w:t>
      </w:r>
      <w:r>
        <w:rPr>
          <w:rFonts w:ascii="Arial" w:hAnsi="Arial" w:cs="Arial"/>
          <w:color w:val="000000" w:themeColor="text1"/>
          <w:sz w:val="22"/>
          <w:szCs w:val="22"/>
          <w14:textFill>
            <w14:solidFill>
              <w14:schemeClr w14:val="tx1"/>
            </w14:solidFill>
          </w14:textFill>
        </w:rPr>
        <w:t xml:space="preserve"> (overall correctness)</w:t>
      </w:r>
    </w:p>
    <w:p w14:paraId="53F94C22">
      <w:pPr>
        <w:pStyle w:val="17"/>
        <w:numPr>
          <w:ilvl w:val="1"/>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Precision</w:t>
      </w:r>
      <w:r>
        <w:rPr>
          <w:rFonts w:ascii="Arial" w:hAnsi="Arial" w:cs="Arial"/>
          <w:color w:val="000000" w:themeColor="text1"/>
          <w:sz w:val="22"/>
          <w:szCs w:val="22"/>
          <w14:textFill>
            <w14:solidFill>
              <w14:schemeClr w14:val="tx1"/>
            </w14:solidFill>
          </w14:textFill>
        </w:rPr>
        <w:t xml:space="preserve"> (true positive reliability)</w:t>
      </w:r>
    </w:p>
    <w:p w14:paraId="1DEA9649">
      <w:pPr>
        <w:pStyle w:val="17"/>
        <w:numPr>
          <w:ilvl w:val="1"/>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Recall</w:t>
      </w:r>
      <w:r>
        <w:rPr>
          <w:rFonts w:ascii="Arial" w:hAnsi="Arial" w:cs="Arial"/>
          <w:color w:val="000000" w:themeColor="text1"/>
          <w:sz w:val="22"/>
          <w:szCs w:val="22"/>
          <w14:textFill>
            <w14:solidFill>
              <w14:schemeClr w14:val="tx1"/>
            </w14:solidFill>
          </w14:textFill>
        </w:rPr>
        <w:t xml:space="preserve"> (sensitivity to malicious traffic)</w:t>
      </w:r>
    </w:p>
    <w:p w14:paraId="4B943181">
      <w:pPr>
        <w:pStyle w:val="17"/>
        <w:numPr>
          <w:ilvl w:val="1"/>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F1-score</w:t>
      </w:r>
      <w:r>
        <w:rPr>
          <w:rFonts w:ascii="Arial" w:hAnsi="Arial" w:cs="Arial"/>
          <w:color w:val="000000" w:themeColor="text1"/>
          <w:sz w:val="22"/>
          <w:szCs w:val="22"/>
          <w14:textFill>
            <w14:solidFill>
              <w14:schemeClr w14:val="tx1"/>
            </w14:solidFill>
          </w14:textFill>
        </w:rPr>
        <w:t xml:space="preserve"> (balance between precision and recall)</w:t>
      </w:r>
    </w:p>
    <w:p w14:paraId="0F3C0A8B">
      <w:pPr>
        <w:pStyle w:val="17"/>
        <w:numPr>
          <w:ilvl w:val="1"/>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Processing time</w:t>
      </w:r>
      <w:r>
        <w:rPr>
          <w:rFonts w:ascii="Arial" w:hAnsi="Arial" w:cs="Arial"/>
          <w:color w:val="000000" w:themeColor="text1"/>
          <w:sz w:val="22"/>
          <w:szCs w:val="22"/>
          <w14:textFill>
            <w14:solidFill>
              <w14:schemeClr w14:val="tx1"/>
            </w14:solidFill>
          </w14:textFill>
        </w:rPr>
        <w:t xml:space="preserve"> (efficiency in real-world scenarios)</w:t>
      </w:r>
    </w:p>
    <w:p w14:paraId="0D6D2076">
      <w:pPr>
        <w:pStyle w:val="17"/>
        <w:spacing w:line="360" w:lineRule="auto"/>
        <w:ind w:left="720"/>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Misclassification patterns are also visualised via confusion matrices as related to methods employed in the analysis of related datasets [20].</w:t>
      </w:r>
    </w:p>
    <w:p w14:paraId="2E82F78E">
      <w:pPr>
        <w:pStyle w:val="17"/>
        <w:numPr>
          <w:ilvl w:val="0"/>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Timeline Reconstruction Module</w:t>
      </w:r>
      <w:r>
        <w:rPr>
          <w:rFonts w:ascii="Arial" w:hAnsi="Arial" w:cs="Arial"/>
          <w:color w:val="000000" w:themeColor="text1"/>
          <w:sz w:val="22"/>
          <w:szCs w:val="22"/>
          <w14:textFill>
            <w14:solidFill>
              <w14:schemeClr w14:val="tx1"/>
            </w14:solidFill>
          </w14:textFill>
        </w:rPr>
        <w:br w:type="textWrapping"/>
      </w:r>
      <w:r>
        <w:rPr>
          <w:rFonts w:hint="default" w:ascii="Arial" w:hAnsi="Arial"/>
          <w:color w:val="000000" w:themeColor="text1"/>
          <w:sz w:val="22"/>
          <w:szCs w:val="22"/>
          <w14:textFill>
            <w14:solidFill>
              <w14:schemeClr w14:val="tx1"/>
            </w14:solidFill>
          </w14:textFill>
        </w:rPr>
        <w:t>This is a NetworkX module that generates graph visualizations of the occurrences. Nodes are network entities (hosts, services, packets), and edges are communication flows or transitions between states. This helps to reconstruct the attack sequences, lateral movement and communication anomaly. NetworkX is selected due to its versatility and the possibility to model the complex relational data effectively.</w:t>
      </w:r>
    </w:p>
    <w:p w14:paraId="715FCE43">
      <w:pPr>
        <w:pStyle w:val="17"/>
        <w:numPr>
          <w:ilvl w:val="0"/>
          <w:numId w:val="4"/>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Integration and Automation</w:t>
      </w:r>
      <w:r>
        <w:rPr>
          <w:rFonts w:ascii="Arial" w:hAnsi="Arial" w:cs="Arial"/>
          <w:color w:val="000000" w:themeColor="text1"/>
          <w:sz w:val="22"/>
          <w:szCs w:val="22"/>
          <w14:textFill>
            <w14:solidFill>
              <w14:schemeClr w14:val="tx1"/>
            </w14:solidFill>
          </w14:textFill>
        </w:rPr>
        <w:br w:type="textWrapping"/>
      </w:r>
      <w:r>
        <w:rPr>
          <w:rFonts w:hint="default" w:ascii="Arial" w:hAnsi="Arial"/>
          <w:color w:val="000000" w:themeColor="text1"/>
          <w:sz w:val="22"/>
          <w:szCs w:val="22"/>
          <w14:textFill>
            <w14:solidFill>
              <w14:schemeClr w14:val="tx1"/>
            </w14:solidFill>
          </w14:textFill>
        </w:rPr>
        <w:t>The modules are linked by Python scripts, which will automatically handle input data and run ML classification, and produce visual and textual artefacts. The automation fills the gap in the current tools where human interference is slowing down investigations and chances of errors.</w:t>
      </w:r>
    </w:p>
    <w:p w14:paraId="0378CBB7">
      <w:pPr>
        <w:pStyle w:val="4"/>
        <w:spacing w:line="360" w:lineRule="auto"/>
        <w:rPr>
          <w:rFonts w:ascii="Arial" w:hAnsi="Arial" w:cs="Arial"/>
          <w:color w:val="000000" w:themeColor="text1"/>
          <w:sz w:val="22"/>
          <w:szCs w:val="22"/>
          <w14:textFill>
            <w14:solidFill>
              <w14:schemeClr w14:val="tx1"/>
            </w14:solidFill>
          </w14:textFill>
        </w:rPr>
      </w:pPr>
      <w:bookmarkStart w:id="21" w:name="_Toc214868551"/>
      <w:r>
        <w:rPr>
          <w:rStyle w:val="18"/>
          <w:rFonts w:ascii="Arial" w:hAnsi="Arial" w:cs="Arial"/>
          <w:b w:val="0"/>
          <w:bCs w:val="0"/>
          <w:color w:val="000000" w:themeColor="text1"/>
          <w:sz w:val="22"/>
          <w:szCs w:val="22"/>
          <w14:textFill>
            <w14:solidFill>
              <w14:schemeClr w14:val="tx1"/>
            </w14:solidFill>
          </w14:textFill>
        </w:rPr>
        <w:t>3.2.3 Quantitative Evaluation</w:t>
      </w:r>
      <w:bookmarkEnd w:id="21"/>
    </w:p>
    <w:p w14:paraId="4C2BEA32">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quantitative analysis is aimed at comparing the performance of the proposed framework with the conventional network forensic tools. Evaluation includes:</w:t>
      </w:r>
    </w:p>
    <w:p w14:paraId="58EE3F0E">
      <w:pPr>
        <w:pStyle w:val="17"/>
        <w:numPr>
          <w:ilvl w:val="0"/>
          <w:numId w:val="5"/>
        </w:numPr>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Performing classification on CICIDS-2017 and UNSW-NB15.</w:t>
      </w:r>
    </w:p>
    <w:p w14:paraId="03E9A74A">
      <w:pPr>
        <w:pStyle w:val="17"/>
        <w:numPr>
          <w:ilvl w:val="0"/>
          <w:numId w:val="5"/>
        </w:numPr>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Comparison of accuracy of detection to published standards.</w:t>
      </w:r>
    </w:p>
    <w:p w14:paraId="19982036">
      <w:pPr>
        <w:pStyle w:val="17"/>
        <w:numPr>
          <w:ilvl w:val="0"/>
          <w:numId w:val="5"/>
        </w:numPr>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time efficiency: The framework processing time was compared with the manual analysis using Wireshark or Zeek.</w:t>
      </w:r>
    </w:p>
    <w:p w14:paraId="2A381911">
      <w:pPr>
        <w:pStyle w:val="17"/>
        <w:numPr>
          <w:ilvl w:val="0"/>
          <w:numId w:val="5"/>
        </w:numPr>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Testing scalability using larger datasets.</w:t>
      </w:r>
    </w:p>
    <w:p w14:paraId="70B47556">
      <w:pPr>
        <w:pStyle w:val="4"/>
        <w:spacing w:line="360" w:lineRule="auto"/>
        <w:rPr>
          <w:rFonts w:ascii="Arial" w:hAnsi="Arial" w:cs="Arial"/>
          <w:color w:val="000000" w:themeColor="text1"/>
          <w:sz w:val="22"/>
          <w:szCs w:val="22"/>
          <w14:textFill>
            <w14:solidFill>
              <w14:schemeClr w14:val="tx1"/>
            </w14:solidFill>
          </w14:textFill>
        </w:rPr>
      </w:pPr>
      <w:bookmarkStart w:id="22" w:name="_Toc214868552"/>
      <w:r>
        <w:rPr>
          <w:rStyle w:val="18"/>
          <w:rFonts w:ascii="Arial" w:hAnsi="Arial" w:cs="Arial"/>
          <w:b w:val="0"/>
          <w:bCs w:val="0"/>
          <w:color w:val="000000" w:themeColor="text1"/>
          <w:sz w:val="22"/>
          <w:szCs w:val="22"/>
          <w14:textFill>
            <w14:solidFill>
              <w14:schemeClr w14:val="tx1"/>
            </w14:solidFill>
          </w14:textFill>
        </w:rPr>
        <w:t>3.2.4 Qualitative Evaluation</w:t>
      </w:r>
      <w:bookmarkEnd w:id="22"/>
    </w:p>
    <w:p w14:paraId="560664F8">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Qualitative techniques are directed to measure usability and usefulness as suggested in forensic science studies. This may include:</w:t>
      </w:r>
    </w:p>
    <w:p w14:paraId="20B6BC0B">
      <w:pPr>
        <w:pStyle w:val="17"/>
        <w:numPr>
          <w:ilvl w:val="0"/>
          <w:numId w:val="6"/>
        </w:numPr>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Recording investigator experience concerning the use of the tool (e.g. usability, readability of results).</w:t>
      </w:r>
    </w:p>
    <w:p w14:paraId="6DC7924D">
      <w:pPr>
        <w:pStyle w:val="17"/>
        <w:numPr>
          <w:ilvl w:val="0"/>
          <w:numId w:val="6"/>
        </w:numPr>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Ober Utilizing heuristic assessment standards like interpretability, flexibility and workflow efficiency.</w:t>
      </w:r>
    </w:p>
    <w:p w14:paraId="3BD2733F">
      <w:pPr>
        <w:pStyle w:val="17"/>
        <w:numPr>
          <w:ilvl w:val="0"/>
          <w:numId w:val="6"/>
        </w:numPr>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Analyzing log outputs and reconstruction graphs to find out whether the tool is useful in supporting forensic reasoning or not.</w:t>
      </w:r>
    </w:p>
    <w:p w14:paraId="139C115B">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In as much as the research will not engage human subjects directly, the qualitative considerations in the process of developing and testing will reinforce the assessment of the usefulness of the artefact.</w:t>
      </w:r>
    </w:p>
    <w:p w14:paraId="65527EE3">
      <w:pPr>
        <w:pStyle w:val="4"/>
        <w:spacing w:line="360" w:lineRule="auto"/>
        <w:rPr>
          <w:rFonts w:ascii="Arial" w:hAnsi="Arial" w:cs="Arial"/>
          <w:color w:val="000000" w:themeColor="text1"/>
          <w:sz w:val="22"/>
          <w:szCs w:val="22"/>
          <w14:textFill>
            <w14:solidFill>
              <w14:schemeClr w14:val="tx1"/>
            </w14:solidFill>
          </w14:textFill>
        </w:rPr>
      </w:pPr>
      <w:bookmarkStart w:id="23" w:name="_Toc214868553"/>
      <w:r>
        <w:rPr>
          <w:rStyle w:val="18"/>
          <w:rFonts w:ascii="Arial" w:hAnsi="Arial" w:cs="Arial"/>
          <w:b w:val="0"/>
          <w:bCs w:val="0"/>
          <w:color w:val="000000" w:themeColor="text1"/>
          <w:sz w:val="22"/>
          <w:szCs w:val="22"/>
          <w14:textFill>
            <w14:solidFill>
              <w14:schemeClr w14:val="tx1"/>
            </w14:solidFill>
          </w14:textFill>
        </w:rPr>
        <w:t>3.2.5 Ethical Considerations</w:t>
      </w:r>
      <w:bookmarkEnd w:id="23"/>
    </w:p>
    <w:p w14:paraId="28DAB876">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Ethical and legal issues in work with digital forensic datasets need consideration. The anonymised data of CICIDS-2017 and UNSW-NB15 minimize the risk of privacy violation. Nonetheless, data management in support of data protection is in line with principles of data protection, which guarantees data safety, limited access, and proper documentation. Ethical transparency is also required in the use of AI models to prevent biases in classifications and where it is possible to explain, ethical concerns that are raised in the literature on artificial intelligence in forensics.</w:t>
      </w:r>
    </w:p>
    <w:p w14:paraId="50FC68B4">
      <w:pPr>
        <w:pStyle w:val="3"/>
        <w:spacing w:line="360" w:lineRule="auto"/>
        <w:rPr>
          <w:rFonts w:ascii="Arial" w:hAnsi="Arial" w:cs="Arial"/>
          <w:color w:val="000000" w:themeColor="text1"/>
          <w:sz w:val="22"/>
          <w:szCs w:val="22"/>
          <w14:textFill>
            <w14:solidFill>
              <w14:schemeClr w14:val="tx1"/>
            </w14:solidFill>
          </w14:textFill>
        </w:rPr>
      </w:pPr>
      <w:bookmarkStart w:id="24" w:name="_Toc214868554"/>
      <w:r>
        <w:rPr>
          <w:rStyle w:val="18"/>
          <w:rFonts w:ascii="Arial" w:hAnsi="Arial" w:cs="Arial"/>
          <w:b/>
          <w:bCs w:val="0"/>
          <w:color w:val="000000" w:themeColor="text1"/>
          <w:sz w:val="22"/>
          <w:szCs w:val="22"/>
          <w14:textFill>
            <w14:solidFill>
              <w14:schemeClr w14:val="tx1"/>
            </w14:solidFill>
          </w14:textFill>
        </w:rPr>
        <w:t>3.3 Materials</w:t>
      </w:r>
      <w:bookmarkEnd w:id="24"/>
    </w:p>
    <w:p w14:paraId="7E49A7AA">
      <w:pPr>
        <w:pStyle w:val="4"/>
        <w:spacing w:line="360" w:lineRule="auto"/>
        <w:rPr>
          <w:rFonts w:ascii="Arial" w:hAnsi="Arial" w:cs="Arial"/>
          <w:color w:val="000000" w:themeColor="text1"/>
          <w:sz w:val="22"/>
          <w:szCs w:val="22"/>
          <w14:textFill>
            <w14:solidFill>
              <w14:schemeClr w14:val="tx1"/>
            </w14:solidFill>
          </w14:textFill>
        </w:rPr>
      </w:pPr>
      <w:bookmarkStart w:id="25" w:name="_Toc214868555"/>
      <w:r>
        <w:rPr>
          <w:rStyle w:val="18"/>
          <w:rFonts w:ascii="Arial" w:hAnsi="Arial" w:cs="Arial"/>
          <w:b w:val="0"/>
          <w:bCs w:val="0"/>
          <w:color w:val="000000" w:themeColor="text1"/>
          <w:sz w:val="22"/>
          <w:szCs w:val="22"/>
          <w14:textFill>
            <w14:solidFill>
              <w14:schemeClr w14:val="tx1"/>
            </w14:solidFill>
          </w14:textFill>
        </w:rPr>
        <w:t>3.3.1 Datasets</w:t>
      </w:r>
      <w:bookmarkEnd w:id="25"/>
    </w:p>
    <w:p w14:paraId="6AB222A3">
      <w:pPr>
        <w:pStyle w:val="17"/>
        <w:spacing w:line="360" w:lineRule="auto"/>
        <w:rPr>
          <w:rFonts w:ascii="Arial" w:hAnsi="Arial" w:cs="Arial"/>
          <w:color w:val="000000" w:themeColor="text1"/>
          <w:sz w:val="22"/>
          <w:szCs w:val="22"/>
          <w14:textFill>
            <w14:solidFill>
              <w14:schemeClr w14:val="tx1"/>
            </w14:solidFill>
          </w14:textFill>
        </w:rPr>
      </w:pPr>
      <w:r>
        <w:rPr>
          <w:rStyle w:val="18"/>
          <w:rFonts w:hint="default" w:ascii="Arial" w:hAnsi="Arial" w:eastAsiaTheme="majorEastAsia"/>
          <w:color w:val="000000" w:themeColor="text1"/>
          <w:sz w:val="22"/>
          <w:szCs w:val="22"/>
          <w14:textFill>
            <w14:solidFill>
              <w14:schemeClr w14:val="tx1"/>
            </w14:solidFill>
          </w14:textFill>
        </w:rPr>
        <w:t>CICIDS-2017 and UNSW-NB15 are chosen because of their popularity, labeled traffic, and realistic attack profile [5], [6]. The two datasets have various advantages:</w:t>
      </w:r>
    </w:p>
    <w:p w14:paraId="4F78F632">
      <w:pPr>
        <w:pStyle w:val="17"/>
        <w:numPr>
          <w:ilvl w:val="0"/>
          <w:numId w:val="7"/>
        </w:numPr>
        <w:spacing w:line="360" w:lineRule="auto"/>
        <w:rPr>
          <w:rStyle w:val="18"/>
          <w:rFonts w:hint="default" w:ascii="Arial" w:hAnsi="Arial" w:eastAsiaTheme="majorEastAsia"/>
          <w:b w:val="0"/>
          <w:bCs w:val="0"/>
          <w:color w:val="000000" w:themeColor="text1"/>
          <w:sz w:val="22"/>
          <w:szCs w:val="22"/>
          <w14:textFill>
            <w14:solidFill>
              <w14:schemeClr w14:val="tx1"/>
            </w14:solidFill>
          </w14:textFill>
        </w:rPr>
      </w:pPr>
      <w:r>
        <w:rPr>
          <w:rStyle w:val="18"/>
          <w:rFonts w:hint="default" w:ascii="Arial" w:hAnsi="Arial" w:eastAsiaTheme="majorEastAsia"/>
          <w:color w:val="000000" w:themeColor="text1"/>
          <w:sz w:val="22"/>
          <w:szCs w:val="22"/>
          <w14:textFill>
            <w14:solidFill>
              <w14:schemeClr w14:val="tx1"/>
            </w14:solidFill>
          </w14:textFill>
        </w:rPr>
        <w:t xml:space="preserve">CICIDS-2017 </w:t>
      </w:r>
      <w:r>
        <w:rPr>
          <w:rStyle w:val="18"/>
          <w:rFonts w:hint="default" w:ascii="Arial" w:hAnsi="Arial" w:eastAsiaTheme="majorEastAsia"/>
          <w:b w:val="0"/>
          <w:bCs w:val="0"/>
          <w:color w:val="000000" w:themeColor="text1"/>
          <w:sz w:val="22"/>
          <w:szCs w:val="22"/>
          <w14:textFill>
            <w14:solidFill>
              <w14:schemeClr w14:val="tx1"/>
            </w14:solidFill>
          </w14:textFill>
        </w:rPr>
        <w:t>provides more up-to-date attack patterns (e.g. DDoS, botnet traffic) and benign patterns that are very close to actual corporate network usage.</w:t>
      </w:r>
    </w:p>
    <w:p w14:paraId="28005D6A">
      <w:pPr>
        <w:pStyle w:val="17"/>
        <w:numPr>
          <w:ilvl w:val="0"/>
          <w:numId w:val="7"/>
        </w:numPr>
        <w:spacing w:line="360" w:lineRule="auto"/>
        <w:rPr>
          <w:rFonts w:ascii="Arial" w:hAnsi="Arial" w:cs="Arial"/>
          <w:b w:val="0"/>
          <w:bCs w:val="0"/>
          <w:color w:val="000000" w:themeColor="text1"/>
          <w:sz w:val="22"/>
          <w:szCs w:val="22"/>
          <w14:textFill>
            <w14:solidFill>
              <w14:schemeClr w14:val="tx1"/>
            </w14:solidFill>
          </w14:textFill>
        </w:rPr>
      </w:pPr>
      <w:r>
        <w:rPr>
          <w:rStyle w:val="18"/>
          <w:rFonts w:hint="default" w:ascii="Arial" w:hAnsi="Arial" w:eastAsiaTheme="majorEastAsia"/>
          <w:color w:val="000000" w:themeColor="text1"/>
          <w:sz w:val="22"/>
          <w:szCs w:val="22"/>
          <w14:textFill>
            <w14:solidFill>
              <w14:schemeClr w14:val="tx1"/>
            </w14:solidFill>
          </w14:textFill>
        </w:rPr>
        <w:t xml:space="preserve">UNSW-NB15 </w:t>
      </w:r>
      <w:r>
        <w:rPr>
          <w:rStyle w:val="18"/>
          <w:rFonts w:hint="default" w:ascii="Arial" w:hAnsi="Arial" w:eastAsiaTheme="majorEastAsia"/>
          <w:b w:val="0"/>
          <w:bCs w:val="0"/>
          <w:color w:val="000000" w:themeColor="text1"/>
          <w:sz w:val="22"/>
          <w:szCs w:val="22"/>
          <w14:textFill>
            <w14:solidFill>
              <w14:schemeClr w14:val="tx1"/>
            </w14:solidFill>
          </w14:textFill>
        </w:rPr>
        <w:t>consists of nine types and attack patterns that differ in their traffic pattern, which makes it appropriate to cross-validate and test model generalisation.</w:t>
      </w:r>
    </w:p>
    <w:p w14:paraId="310C6E1F">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two datasets are used to make sure that the framework is tested in different traffic conditions, minimize overfitting and increase the external validity. The documentation of data is done strictly to ensure methodological rigour.</w:t>
      </w:r>
    </w:p>
    <w:p w14:paraId="44E96118">
      <w:pPr>
        <w:pStyle w:val="4"/>
        <w:spacing w:line="360" w:lineRule="auto"/>
        <w:rPr>
          <w:rFonts w:ascii="Arial" w:hAnsi="Arial" w:cs="Arial"/>
          <w:color w:val="000000" w:themeColor="text1"/>
          <w:sz w:val="22"/>
          <w:szCs w:val="22"/>
          <w14:textFill>
            <w14:solidFill>
              <w14:schemeClr w14:val="tx1"/>
            </w14:solidFill>
          </w14:textFill>
        </w:rPr>
      </w:pPr>
      <w:bookmarkStart w:id="26" w:name="_Toc214868556"/>
      <w:r>
        <w:rPr>
          <w:rStyle w:val="18"/>
          <w:rFonts w:ascii="Arial" w:hAnsi="Arial" w:cs="Arial"/>
          <w:b w:val="0"/>
          <w:bCs w:val="0"/>
          <w:color w:val="000000" w:themeColor="text1"/>
          <w:sz w:val="22"/>
          <w:szCs w:val="22"/>
          <w14:textFill>
            <w14:solidFill>
              <w14:schemeClr w14:val="tx1"/>
            </w14:solidFill>
          </w14:textFill>
        </w:rPr>
        <w:t>3.3.2 Software Tools</w:t>
      </w:r>
      <w:bookmarkEnd w:id="26"/>
    </w:p>
    <w:p w14:paraId="483EBAA6">
      <w:pPr>
        <w:pStyle w:val="17"/>
        <w:spacing w:line="360" w:lineRule="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The primary software components include:</w:t>
      </w:r>
    </w:p>
    <w:p w14:paraId="298B3F7C">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Python 3.10</w:t>
      </w:r>
      <w:r>
        <w:rPr>
          <w:rFonts w:ascii="Arial" w:hAnsi="Arial" w:cs="Arial"/>
          <w:color w:val="000000" w:themeColor="text1"/>
          <w:sz w:val="22"/>
          <w:szCs w:val="22"/>
          <w14:textFill>
            <w14:solidFill>
              <w14:schemeClr w14:val="tx1"/>
            </w14:solidFill>
          </w14:textFill>
        </w:rPr>
        <w:t xml:space="preserve"> for developing the framework.</w:t>
      </w:r>
    </w:p>
    <w:p w14:paraId="5E0F2EF8">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Scapy</w:t>
      </w:r>
      <w:r>
        <w:rPr>
          <w:rFonts w:ascii="Arial" w:hAnsi="Arial" w:cs="Arial"/>
          <w:color w:val="000000" w:themeColor="text1"/>
          <w:sz w:val="22"/>
          <w:szCs w:val="22"/>
          <w14:textFill>
            <w14:solidFill>
              <w14:schemeClr w14:val="tx1"/>
            </w14:solidFill>
          </w14:textFill>
        </w:rPr>
        <w:t xml:space="preserve"> for packet capture and analysis.</w:t>
      </w:r>
    </w:p>
    <w:p w14:paraId="0789BF68">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Pandas</w:t>
      </w:r>
      <w:r>
        <w:rPr>
          <w:rFonts w:ascii="Arial" w:hAnsi="Arial" w:cs="Arial"/>
          <w:color w:val="000000" w:themeColor="text1"/>
          <w:sz w:val="22"/>
          <w:szCs w:val="22"/>
          <w14:textFill>
            <w14:solidFill>
              <w14:schemeClr w14:val="tx1"/>
            </w14:solidFill>
          </w14:textFill>
        </w:rPr>
        <w:t xml:space="preserve"> for data manipulation and cleaning.</w:t>
      </w:r>
    </w:p>
    <w:p w14:paraId="4A80AE0E">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Scikit-learn</w:t>
      </w:r>
      <w:r>
        <w:rPr>
          <w:rFonts w:ascii="Arial" w:hAnsi="Arial" w:cs="Arial"/>
          <w:color w:val="000000" w:themeColor="text1"/>
          <w:sz w:val="22"/>
          <w:szCs w:val="22"/>
          <w14:textFill>
            <w14:solidFill>
              <w14:schemeClr w14:val="tx1"/>
            </w14:solidFill>
          </w14:textFill>
        </w:rPr>
        <w:t xml:space="preserve"> for machine learning.</w:t>
      </w:r>
    </w:p>
    <w:p w14:paraId="45A22E8B">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NetworkX</w:t>
      </w:r>
      <w:r>
        <w:rPr>
          <w:rFonts w:ascii="Arial" w:hAnsi="Arial" w:cs="Arial"/>
          <w:color w:val="000000" w:themeColor="text1"/>
          <w:sz w:val="22"/>
          <w:szCs w:val="22"/>
          <w14:textFill>
            <w14:solidFill>
              <w14:schemeClr w14:val="tx1"/>
            </w14:solidFill>
          </w14:textFill>
        </w:rPr>
        <w:t xml:space="preserve"> for timeline reconstruction.</w:t>
      </w:r>
    </w:p>
    <w:p w14:paraId="79E07411">
      <w:pPr>
        <w:pStyle w:val="17"/>
        <w:numPr>
          <w:ilvl w:val="0"/>
          <w:numId w:val="8"/>
        </w:numPr>
        <w:spacing w:line="360" w:lineRule="auto"/>
        <w:rPr>
          <w:rFonts w:ascii="Arial" w:hAnsi="Arial" w:cs="Arial"/>
          <w:color w:val="000000" w:themeColor="text1"/>
          <w:sz w:val="22"/>
          <w:szCs w:val="22"/>
          <w14:textFill>
            <w14:solidFill>
              <w14:schemeClr w14:val="tx1"/>
            </w14:solidFill>
          </w14:textFill>
        </w:rPr>
      </w:pPr>
      <w:r>
        <w:rPr>
          <w:rStyle w:val="18"/>
          <w:rFonts w:ascii="Arial" w:hAnsi="Arial" w:cs="Arial" w:eastAsiaTheme="majorEastAsia"/>
          <w:color w:val="000000" w:themeColor="text1"/>
          <w:sz w:val="22"/>
          <w:szCs w:val="22"/>
          <w14:textFill>
            <w14:solidFill>
              <w14:schemeClr w14:val="tx1"/>
            </w14:solidFill>
          </w14:textFill>
        </w:rPr>
        <w:t>ELK Stack (Elasticsearch, Logstash, Kibana)</w:t>
      </w:r>
      <w:r>
        <w:rPr>
          <w:rFonts w:ascii="Arial" w:hAnsi="Arial" w:cs="Arial"/>
          <w:color w:val="000000" w:themeColor="text1"/>
          <w:sz w:val="22"/>
          <w:szCs w:val="22"/>
          <w14:textFill>
            <w14:solidFill>
              <w14:schemeClr w14:val="tx1"/>
            </w14:solidFill>
          </w14:textFill>
        </w:rPr>
        <w:t xml:space="preserve"> for optional log ingestion and visual dashboards.</w:t>
      </w:r>
    </w:p>
    <w:p w14:paraId="3103AF70">
      <w:pPr>
        <w:pStyle w:val="4"/>
        <w:spacing w:line="360" w:lineRule="auto"/>
        <w:rPr>
          <w:rFonts w:ascii="Arial" w:hAnsi="Arial" w:cs="Arial"/>
          <w:color w:val="000000" w:themeColor="text1"/>
          <w:sz w:val="22"/>
          <w:szCs w:val="22"/>
          <w14:textFill>
            <w14:solidFill>
              <w14:schemeClr w14:val="tx1"/>
            </w14:solidFill>
          </w14:textFill>
        </w:rPr>
      </w:pPr>
      <w:bookmarkStart w:id="27" w:name="_Toc214868557"/>
      <w:r>
        <w:rPr>
          <w:rStyle w:val="18"/>
          <w:rFonts w:ascii="Arial" w:hAnsi="Arial" w:cs="Arial"/>
          <w:b w:val="0"/>
          <w:bCs w:val="0"/>
          <w:color w:val="000000" w:themeColor="text1"/>
          <w:sz w:val="22"/>
          <w:szCs w:val="22"/>
          <w14:textFill>
            <w14:solidFill>
              <w14:schemeClr w14:val="tx1"/>
            </w14:solidFill>
          </w14:textFill>
        </w:rPr>
        <w:t>3.3.3 Hardware</w:t>
      </w:r>
      <w:bookmarkEnd w:id="27"/>
    </w:p>
    <w:p w14:paraId="756E2BDC">
      <w:pPr>
        <w:pStyle w:val="17"/>
        <w:spacing w:line="360" w:lineRule="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A typical laptop setup i.e. Intel i7 processor, 16GB memory and SSD drive is developed and tested. This helps to prove that the framework is resource-efficient and can run on widely available hardware, making it more accessible to investigators and small organisations. High-speed networks may need more powerful hardware, but the scalability is guaranteed by the modular design.</w:t>
      </w:r>
    </w:p>
    <w:p w14:paraId="7D33DF77">
      <w:pPr>
        <w:pStyle w:val="17"/>
        <w:spacing w:line="360" w:lineRule="auto"/>
        <w:rPr>
          <w:rFonts w:hint="default" w:ascii="Arial" w:hAnsi="Arial"/>
          <w:color w:val="000000" w:themeColor="text1"/>
          <w:sz w:val="22"/>
          <w:szCs w:val="22"/>
          <w14:textFill>
            <w14:solidFill>
              <w14:schemeClr w14:val="tx1"/>
            </w14:solidFill>
          </w14:textFill>
        </w:rPr>
      </w:pPr>
    </w:p>
    <w:p w14:paraId="0AD24ECF">
      <w:pPr>
        <w:pStyle w:val="17"/>
        <w:spacing w:line="360" w:lineRule="auto"/>
        <w:rPr>
          <w:rFonts w:hint="default" w:ascii="Arial" w:hAnsi="Arial"/>
          <w:color w:val="000000" w:themeColor="text1"/>
          <w:sz w:val="22"/>
          <w:szCs w:val="22"/>
          <w14:textFill>
            <w14:solidFill>
              <w14:schemeClr w14:val="tx1"/>
            </w14:solidFill>
          </w14:textFill>
        </w:rPr>
      </w:pPr>
    </w:p>
    <w:p w14:paraId="0EE58C28">
      <w:pPr>
        <w:pStyle w:val="17"/>
        <w:spacing w:line="360" w:lineRule="auto"/>
        <w:rPr>
          <w:rFonts w:hint="default" w:ascii="Arial" w:hAnsi="Arial"/>
          <w:color w:val="000000" w:themeColor="text1"/>
          <w:sz w:val="22"/>
          <w:szCs w:val="22"/>
          <w14:textFill>
            <w14:solidFill>
              <w14:schemeClr w14:val="tx1"/>
            </w14:solidFill>
          </w14:textFill>
        </w:rPr>
      </w:pPr>
    </w:p>
    <w:p w14:paraId="61AFF46A">
      <w:pPr>
        <w:pStyle w:val="17"/>
        <w:spacing w:line="360" w:lineRule="auto"/>
        <w:rPr>
          <w:rFonts w:hint="default" w:ascii="Arial" w:hAnsi="Arial"/>
          <w:color w:val="000000" w:themeColor="text1"/>
          <w:sz w:val="22"/>
          <w:szCs w:val="22"/>
          <w14:textFill>
            <w14:solidFill>
              <w14:schemeClr w14:val="tx1"/>
            </w14:solidFill>
          </w14:textFill>
        </w:rPr>
      </w:pPr>
    </w:p>
    <w:p w14:paraId="421C34C0">
      <w:pPr>
        <w:pStyle w:val="17"/>
        <w:spacing w:line="360" w:lineRule="auto"/>
        <w:rPr>
          <w:rFonts w:hint="default" w:ascii="Arial" w:hAnsi="Arial"/>
          <w:color w:val="000000" w:themeColor="text1"/>
          <w:sz w:val="22"/>
          <w:szCs w:val="22"/>
          <w14:textFill>
            <w14:solidFill>
              <w14:schemeClr w14:val="tx1"/>
            </w14:solidFill>
          </w14:textFill>
        </w:rPr>
      </w:pPr>
    </w:p>
    <w:p w14:paraId="0E582921">
      <w:pPr>
        <w:pStyle w:val="17"/>
        <w:spacing w:line="360" w:lineRule="auto"/>
        <w:rPr>
          <w:rFonts w:hint="default" w:ascii="Arial" w:hAnsi="Arial"/>
          <w:color w:val="000000" w:themeColor="text1"/>
          <w:sz w:val="22"/>
          <w:szCs w:val="22"/>
          <w14:textFill>
            <w14:solidFill>
              <w14:schemeClr w14:val="tx1"/>
            </w14:solidFill>
          </w14:textFill>
        </w:rPr>
      </w:pPr>
    </w:p>
    <w:p w14:paraId="61D6622D">
      <w:pPr>
        <w:pStyle w:val="17"/>
        <w:spacing w:line="360" w:lineRule="auto"/>
        <w:rPr>
          <w:rFonts w:hint="default" w:ascii="Arial" w:hAnsi="Arial"/>
          <w:color w:val="000000" w:themeColor="text1"/>
          <w:sz w:val="22"/>
          <w:szCs w:val="22"/>
          <w14:textFill>
            <w14:solidFill>
              <w14:schemeClr w14:val="tx1"/>
            </w14:solidFill>
          </w14:textFill>
        </w:rPr>
      </w:pPr>
    </w:p>
    <w:p w14:paraId="6009D91E">
      <w:pPr>
        <w:pStyle w:val="17"/>
        <w:spacing w:line="360" w:lineRule="auto"/>
        <w:rPr>
          <w:rFonts w:hint="default" w:ascii="Arial" w:hAnsi="Arial"/>
          <w:color w:val="000000" w:themeColor="text1"/>
          <w:sz w:val="22"/>
          <w:szCs w:val="22"/>
          <w14:textFill>
            <w14:solidFill>
              <w14:schemeClr w14:val="tx1"/>
            </w14:solidFill>
          </w14:textFill>
        </w:rPr>
      </w:pPr>
    </w:p>
    <w:p w14:paraId="2CDE8511">
      <w:pPr>
        <w:pStyle w:val="17"/>
        <w:spacing w:line="360" w:lineRule="auto"/>
        <w:rPr>
          <w:rFonts w:hint="default" w:ascii="Arial" w:hAnsi="Arial"/>
          <w:color w:val="000000" w:themeColor="text1"/>
          <w:sz w:val="22"/>
          <w:szCs w:val="22"/>
          <w14:textFill>
            <w14:solidFill>
              <w14:schemeClr w14:val="tx1"/>
            </w14:solidFill>
          </w14:textFill>
        </w:rPr>
      </w:pPr>
    </w:p>
    <w:p w14:paraId="6D072E3D">
      <w:pPr>
        <w:pStyle w:val="17"/>
        <w:spacing w:line="360" w:lineRule="auto"/>
        <w:rPr>
          <w:rFonts w:hint="default" w:ascii="Arial" w:hAnsi="Arial"/>
          <w:color w:val="000000" w:themeColor="text1"/>
          <w:sz w:val="22"/>
          <w:szCs w:val="22"/>
          <w14:textFill>
            <w14:solidFill>
              <w14:schemeClr w14:val="tx1"/>
            </w14:solidFill>
          </w14:textFill>
        </w:rPr>
      </w:pPr>
    </w:p>
    <w:p w14:paraId="254CE5F0">
      <w:pPr>
        <w:pStyle w:val="17"/>
        <w:spacing w:line="360" w:lineRule="auto"/>
        <w:rPr>
          <w:rFonts w:hint="default" w:ascii="Arial" w:hAnsi="Arial"/>
          <w:color w:val="000000" w:themeColor="text1"/>
          <w:sz w:val="22"/>
          <w:szCs w:val="22"/>
          <w14:textFill>
            <w14:solidFill>
              <w14:schemeClr w14:val="tx1"/>
            </w14:solidFill>
          </w14:textFill>
        </w:rPr>
      </w:pPr>
    </w:p>
    <w:p w14:paraId="5B0FDA43">
      <w:pPr>
        <w:pStyle w:val="17"/>
        <w:spacing w:line="360" w:lineRule="auto"/>
        <w:rPr>
          <w:rFonts w:hint="default" w:ascii="Arial" w:hAnsi="Arial"/>
          <w:color w:val="000000" w:themeColor="text1"/>
          <w:sz w:val="22"/>
          <w:szCs w:val="22"/>
          <w14:textFill>
            <w14:solidFill>
              <w14:schemeClr w14:val="tx1"/>
            </w14:solidFill>
          </w14:textFill>
        </w:rPr>
      </w:pPr>
    </w:p>
    <w:p w14:paraId="2C0818DE">
      <w:pPr>
        <w:pStyle w:val="17"/>
        <w:spacing w:line="360" w:lineRule="auto"/>
        <w:rPr>
          <w:rFonts w:hint="default" w:ascii="Arial" w:hAnsi="Arial"/>
          <w:color w:val="000000" w:themeColor="text1"/>
          <w:sz w:val="22"/>
          <w:szCs w:val="22"/>
          <w14:textFill>
            <w14:solidFill>
              <w14:schemeClr w14:val="tx1"/>
            </w14:solidFill>
          </w14:textFill>
        </w:rPr>
      </w:pPr>
    </w:p>
    <w:p w14:paraId="78718C93">
      <w:pPr>
        <w:pStyle w:val="17"/>
        <w:spacing w:line="360" w:lineRule="auto"/>
        <w:rPr>
          <w:rFonts w:hint="default" w:ascii="Arial" w:hAnsi="Arial"/>
          <w:color w:val="000000" w:themeColor="text1"/>
          <w:sz w:val="22"/>
          <w:szCs w:val="22"/>
          <w14:textFill>
            <w14:solidFill>
              <w14:schemeClr w14:val="tx1"/>
            </w14:solidFill>
          </w14:textFill>
        </w:rPr>
      </w:pPr>
    </w:p>
    <w:p w14:paraId="35312E59">
      <w:pPr>
        <w:pStyle w:val="2"/>
        <w:spacing w:line="360" w:lineRule="auto"/>
        <w:rPr>
          <w:rFonts w:ascii="Arial" w:hAnsi="Arial" w:cs="Arial"/>
          <w:color w:val="000000" w:themeColor="text1"/>
          <w:sz w:val="22"/>
          <w:szCs w:val="22"/>
          <w:lang w:val="zh-CN"/>
          <w14:textFill>
            <w14:solidFill>
              <w14:schemeClr w14:val="tx1"/>
            </w14:solidFill>
          </w14:textFill>
        </w:rPr>
      </w:pPr>
      <w:bookmarkStart w:id="28" w:name="_Toc214868558"/>
      <w:r>
        <w:rPr>
          <w:rFonts w:ascii="Arial" w:hAnsi="Arial" w:cs="Arial"/>
          <w:color w:val="000000" w:themeColor="text1"/>
          <w:sz w:val="22"/>
          <w:szCs w:val="22"/>
          <w14:textFill>
            <w14:solidFill>
              <w14:schemeClr w14:val="tx1"/>
            </w14:solidFill>
          </w14:textFill>
        </w:rPr>
        <w:t>4. Expected Outcome</w:t>
      </w:r>
      <w:bookmarkEnd w:id="28"/>
    </w:p>
    <w:p w14:paraId="3ACBD65D">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During the proposal phase, tangible outcomes do not exist, because the study will entail the development, deployment, and testing of an AI-aided system to network forensics. Nevertheless, according to the literature review, methodology and benchmark datasets such as CICIDS-2017 and UNSW-NB15, a number of results can be expected. These forecasts are based on analogous research in AI-driven cybersecurity, and the goal of the study is the quantitative increase in detection and analysis efficiency [4], [7].</w:t>
      </w:r>
    </w:p>
    <w:p w14:paraId="38EB72F2">
      <w:pPr>
        <w:pStyle w:val="3"/>
        <w:spacing w:line="360" w:lineRule="auto"/>
        <w:rPr>
          <w:rFonts w:ascii="Arial" w:hAnsi="Arial" w:cs="Arial"/>
          <w:color w:val="000000" w:themeColor="text1"/>
          <w:sz w:val="22"/>
          <w:szCs w:val="22"/>
          <w14:textFill>
            <w14:solidFill>
              <w14:schemeClr w14:val="tx1"/>
            </w14:solidFill>
          </w14:textFill>
        </w:rPr>
      </w:pPr>
      <w:bookmarkStart w:id="29" w:name="_Toc214868559"/>
      <w:r>
        <w:rPr>
          <w:rFonts w:ascii="Arial" w:hAnsi="Arial" w:cs="Arial"/>
          <w:color w:val="000000" w:themeColor="text1"/>
          <w:sz w:val="22"/>
          <w:szCs w:val="22"/>
          <w14:textFill>
            <w14:solidFill>
              <w14:schemeClr w14:val="tx1"/>
            </w14:solidFill>
          </w14:textFill>
        </w:rPr>
        <w:t>4.1 Anticipated Results</w:t>
      </w:r>
      <w:bookmarkEnd w:id="29"/>
    </w:p>
    <w:p w14:paraId="3BA57A7E">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It is believed that the suggested framework will produce a new AI-based system that will automatize the packet analysis, anomaly detection, and timeline reconstruction and will outperform the traditional tools (Wireshark, NetworkMiner). In particular, the experimental assessments of CICIDS-2017 are expected to have a detection rate of more than 95, with precision and recall rates of over 92, being higher than the rule-based approaches that usually report the rate of detection of 80-85 [5], [14]. In the case of UNSW-NB15, the machine learning elements of the framework, such as Random Forest to classify anomalies and NetworkX to reconstruct a graph, are expected to save at least half the time required of the manual check and therefore start analysing a large-scale traffic dataset near-real-time [6], [20]. It is expected that reconstruction of timelines will be able to rank the multi-stage attacks, e.g., APTs, with a small number of errors (less than 5%), using correlation of timestamps and logs with previous examples of a deep learning application [11]. On the whole, the system would be able to process encrypted traffic using heuristic and ML-based inference to detect threats such as DDoS or ransomware with F1-scores of 0.94 or higher, confirmed by using confusion matrices and cross-validation approaches [25].</w:t>
      </w:r>
      <w:r>
        <w:rPr>
          <w:rFonts w:ascii="Arial" w:hAnsi="Arial" w:cs="Arial"/>
          <w:color w:val="000000" w:themeColor="text1"/>
          <w:sz w:val="22"/>
          <w:szCs w:val="22"/>
          <w14:textFill>
            <w14:solidFill>
              <w14:schemeClr w14:val="tx1"/>
            </w14:solidFill>
          </w14:textFill>
        </w:rPr>
        <w:t xml:space="preserve"> </w:t>
      </w:r>
    </w:p>
    <w:p w14:paraId="5658FFAD">
      <w:pPr>
        <w:pStyle w:val="3"/>
        <w:spacing w:line="360" w:lineRule="auto"/>
        <w:rPr>
          <w:rFonts w:ascii="Arial" w:hAnsi="Arial" w:cs="Arial"/>
          <w:color w:val="000000" w:themeColor="text1"/>
          <w:sz w:val="22"/>
          <w:szCs w:val="22"/>
          <w14:textFill>
            <w14:solidFill>
              <w14:schemeClr w14:val="tx1"/>
            </w14:solidFill>
          </w14:textFill>
        </w:rPr>
      </w:pPr>
      <w:bookmarkStart w:id="30" w:name="_Toc214868560"/>
      <w:r>
        <w:rPr>
          <w:rFonts w:ascii="Arial" w:hAnsi="Arial" w:cs="Arial"/>
          <w:color w:val="000000" w:themeColor="text1"/>
          <w:sz w:val="22"/>
          <w:szCs w:val="22"/>
          <w14:textFill>
            <w14:solidFill>
              <w14:schemeClr w14:val="tx1"/>
            </w14:solidFill>
          </w14:textFill>
        </w:rPr>
        <w:t>4.2 Implications</w:t>
      </w:r>
      <w:bookmarkEnd w:id="30"/>
    </w:p>
    <w:p w14:paraId="2F5569C3">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The results have major implications on the development of theories, practice and research fraternity. Theoretically, the framework will help the development of research in the field of design science in the area of cybersecurity, combining AI with forensic principles that contradict the current models which do not take into consideration the automation in encrypted settings [24]. It can enhance hypothetical models of proactive forensics, including those suggested by Pilli et al., with adaptive ML to learn the patterns of attacks, thereby enhancing the knowledge on the extension of AI capabilities in the limits of digital evidence preservation [19], [21]. In practice, the open-source implementation might be implemented in security operations centers (SOCs) to improve incident reactions and cut breakage investigation durations down to hours instead of days and decrease economic damage that is estimated at 6 trillion of dollars worldwide in 2024 [3]. To the research community, the work will also offer a validated point of reference to future studies, facilitating empirical appraisals using publicly available data as well as interdisciplinary partnership between computing, forensics, and AI disciplines [10], [15]. Finally, it may affect such standards as NIST guidelines, in which AI is of forensic merit [18].</w:t>
      </w:r>
    </w:p>
    <w:p w14:paraId="7AC7367A">
      <w:pPr>
        <w:pStyle w:val="3"/>
        <w:spacing w:line="360" w:lineRule="auto"/>
        <w:rPr>
          <w:rFonts w:ascii="Arial" w:hAnsi="Arial" w:cs="Arial"/>
          <w:color w:val="000000" w:themeColor="text1"/>
          <w:sz w:val="22"/>
          <w:szCs w:val="22"/>
          <w14:textFill>
            <w14:solidFill>
              <w14:schemeClr w14:val="tx1"/>
            </w14:solidFill>
          </w14:textFill>
        </w:rPr>
      </w:pPr>
      <w:bookmarkStart w:id="31" w:name="_Toc214868561"/>
      <w:r>
        <w:rPr>
          <w:rFonts w:ascii="Arial" w:hAnsi="Arial" w:cs="Arial"/>
          <w:color w:val="000000" w:themeColor="text1"/>
          <w:sz w:val="22"/>
          <w:szCs w:val="22"/>
          <w14:textFill>
            <w14:solidFill>
              <w14:schemeClr w14:val="tx1"/>
            </w14:solidFill>
          </w14:textFill>
        </w:rPr>
        <w:t>4.3 Limitations</w:t>
      </w:r>
      <w:bookmarkEnd w:id="31"/>
    </w:p>
    <w:p w14:paraId="79F31A35">
      <w:pPr>
        <w:pStyle w:val="17"/>
        <w:spacing w:line="360" w:lineRule="auto"/>
        <w:rPr>
          <w:rFonts w:ascii="Arial" w:hAnsi="Arial" w:cs="Arial"/>
          <w:color w:val="000000" w:themeColor="text1"/>
          <w:sz w:val="22"/>
          <w:szCs w:val="22"/>
          <w14:textFill>
            <w14:solidFill>
              <w14:schemeClr w14:val="tx1"/>
            </w14:solidFill>
          </w14:textFill>
        </w:rPr>
      </w:pPr>
      <w:r>
        <w:rPr>
          <w:rFonts w:hint="default" w:ascii="Arial" w:hAnsi="Arial"/>
          <w:color w:val="000000" w:themeColor="text1"/>
          <w:sz w:val="22"/>
          <w:szCs w:val="22"/>
          <w14:textFill>
            <w14:solidFill>
              <w14:schemeClr w14:val="tx1"/>
            </w14:solidFill>
          </w14:textFill>
        </w:rPr>
        <w:t>Although these prospects exist, a number of challenges and limitations should be known. The dataset biases in CICIDS-2017 and UNSW-NB15 could limit the performance of the framework as they emulate controlled environments and may not adequately reflect real-world variability, e.g. zero-day attacks, noisy enterprise networks [5], [22]. Computational capability such as the use of standard hardware without the use of the GPU may create overhead in processing extremely high-volume traffic, potentially spreading the latency of live deployments [20]. The ethical constraints are set by the data privacy issues, despite using anonymized public datasets, which dictate the need to follow the principles of the GDPR to a dot [16]. The subjectivity of the mixed-method approach to the qualitative assessment of usability is methodological limitations that may depend on the expertise of the assessor [26]. There might be external influences (e.g., quick progress in encryption protocols e.g., post-quantum cryptography ) that make portions of the framework outdated after implementation [8].</w:t>
      </w:r>
      <w:r>
        <w:rPr>
          <w:rFonts w:ascii="Arial" w:hAnsi="Arial" w:cs="Arial"/>
          <w:color w:val="000000" w:themeColor="text1"/>
          <w:sz w:val="22"/>
          <w:szCs w:val="22"/>
          <w14:textFill>
            <w14:solidFill>
              <w14:schemeClr w14:val="tx1"/>
            </w14:solidFill>
          </w14:textFill>
        </w:rPr>
        <w:t xml:space="preserve"> </w:t>
      </w:r>
    </w:p>
    <w:p w14:paraId="7E4F4B73">
      <w:pPr>
        <w:pStyle w:val="17"/>
        <w:spacing w:line="360" w:lineRule="auto"/>
        <w:rPr>
          <w:rFonts w:ascii="Arial" w:hAnsi="Arial" w:cs="Arial"/>
          <w:color w:val="000000" w:themeColor="text1"/>
          <w:sz w:val="22"/>
          <w:szCs w:val="22"/>
          <w14:textFill>
            <w14:solidFill>
              <w14:schemeClr w14:val="tx1"/>
            </w14:solidFill>
          </w14:textFill>
        </w:rPr>
      </w:pPr>
    </w:p>
    <w:p w14:paraId="4894B953">
      <w:pPr>
        <w:pStyle w:val="17"/>
        <w:spacing w:line="360" w:lineRule="auto"/>
        <w:rPr>
          <w:rFonts w:ascii="Arial" w:hAnsi="Arial" w:cs="Arial"/>
          <w:color w:val="000000" w:themeColor="text1"/>
          <w:sz w:val="22"/>
          <w:szCs w:val="22"/>
          <w14:textFill>
            <w14:solidFill>
              <w14:schemeClr w14:val="tx1"/>
            </w14:solidFill>
          </w14:textFill>
        </w:rPr>
      </w:pPr>
    </w:p>
    <w:p w14:paraId="4113796E">
      <w:pPr>
        <w:pStyle w:val="17"/>
        <w:spacing w:line="360" w:lineRule="auto"/>
        <w:rPr>
          <w:rFonts w:ascii="Arial" w:hAnsi="Arial" w:cs="Arial"/>
          <w:color w:val="000000" w:themeColor="text1"/>
          <w:sz w:val="22"/>
          <w:szCs w:val="22"/>
          <w14:textFill>
            <w14:solidFill>
              <w14:schemeClr w14:val="tx1"/>
            </w14:solidFill>
          </w14:textFill>
        </w:rPr>
      </w:pPr>
    </w:p>
    <w:p w14:paraId="73FC5B14">
      <w:pPr>
        <w:pStyle w:val="17"/>
        <w:spacing w:line="360" w:lineRule="auto"/>
        <w:rPr>
          <w:rFonts w:ascii="Arial" w:hAnsi="Arial" w:cs="Arial"/>
          <w:color w:val="000000" w:themeColor="text1"/>
          <w:sz w:val="22"/>
          <w:szCs w:val="22"/>
          <w14:textFill>
            <w14:solidFill>
              <w14:schemeClr w14:val="tx1"/>
            </w14:solidFill>
          </w14:textFill>
        </w:rPr>
      </w:pPr>
    </w:p>
    <w:p w14:paraId="73D35C14">
      <w:pPr>
        <w:pStyle w:val="2"/>
        <w:spacing w:line="360" w:lineRule="auto"/>
        <w:rPr>
          <w:rFonts w:ascii="Arial" w:hAnsi="Arial" w:eastAsia="Times New Roman" w:cs="Arial"/>
          <w:color w:val="000000" w:themeColor="text1"/>
          <w:sz w:val="22"/>
          <w:szCs w:val="22"/>
          <w:lang w:val="zh-CN" w:eastAsia="en-GB"/>
          <w14:textFill>
            <w14:solidFill>
              <w14:schemeClr w14:val="tx1"/>
            </w14:solidFill>
          </w14:textFill>
        </w:rPr>
      </w:pPr>
      <w:bookmarkStart w:id="32" w:name="_Toc214868562"/>
      <w:r>
        <w:rPr>
          <w:rFonts w:ascii="Arial" w:hAnsi="Arial" w:eastAsia="Times New Roman" w:cs="Arial"/>
          <w:color w:val="000000" w:themeColor="text1"/>
          <w:sz w:val="22"/>
          <w:szCs w:val="22"/>
          <w:lang w:val="zh-CN" w:eastAsia="en-GB"/>
          <w14:textFill>
            <w14:solidFill>
              <w14:schemeClr w14:val="tx1"/>
            </w14:solidFill>
          </w14:textFill>
        </w:rPr>
        <w:t>5. Timeline</w:t>
      </w:r>
      <w:bookmarkEnd w:id="32"/>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2831"/>
        <w:gridCol w:w="5144"/>
      </w:tblGrid>
      <w:tr w14:paraId="18C0A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5C9987F">
            <w:pPr>
              <w:spacing w:after="0" w:line="360" w:lineRule="auto"/>
              <w:jc w:val="cente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Month (2026)</w:t>
            </w:r>
          </w:p>
        </w:tc>
        <w:tc>
          <w:tcPr>
            <w:tcW w:w="2831" w:type="dxa"/>
          </w:tcPr>
          <w:p w14:paraId="51EC352D">
            <w:pPr>
              <w:spacing w:after="0" w:line="360" w:lineRule="auto"/>
              <w:jc w:val="cente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Milestone</w:t>
            </w:r>
          </w:p>
        </w:tc>
        <w:tc>
          <w:tcPr>
            <w:tcW w:w="5144" w:type="dxa"/>
          </w:tcPr>
          <w:p w14:paraId="6DC0CE8B">
            <w:pPr>
              <w:spacing w:after="0" w:line="360" w:lineRule="auto"/>
              <w:jc w:val="cente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Detailed Activities</w:t>
            </w:r>
          </w:p>
        </w:tc>
      </w:tr>
      <w:tr w14:paraId="3E4B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58C717">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January</w:t>
            </w:r>
          </w:p>
        </w:tc>
        <w:tc>
          <w:tcPr>
            <w:tcW w:w="2831" w:type="dxa"/>
          </w:tcPr>
          <w:p w14:paraId="12DA7CBF">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Completion of Literature Review; Ethics Approval</w:t>
            </w:r>
          </w:p>
        </w:tc>
        <w:tc>
          <w:tcPr>
            <w:tcW w:w="5144" w:type="dxa"/>
          </w:tcPr>
          <w:p w14:paraId="6E57420F">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A review of the current research on network forensics, AI-controlled intrusion detection, and digital investigation frameworks. </w:t>
            </w:r>
          </w:p>
          <w:p w14:paraId="1E6C046A">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Provide an analysis of methodologies applied in the past research in the field of DSR-based forensics. </w:t>
            </w:r>
          </w:p>
          <w:p w14:paraId="4191DB49">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Find gaps and narrow down research objectives. </w:t>
            </w:r>
          </w:p>
          <w:p w14:paraId="55BE979E">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Select and prepare ethics application and finalise research design. </w:t>
            </w:r>
          </w:p>
          <w:p w14:paraId="62F0787C">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Fill out ethics documentation on dataset management, data storage and data meeting the institutional guidelines.</w:t>
            </w:r>
          </w:p>
        </w:tc>
      </w:tr>
      <w:tr w14:paraId="4B61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48CA800">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February</w:t>
            </w:r>
          </w:p>
        </w:tc>
        <w:tc>
          <w:tcPr>
            <w:tcW w:w="2831" w:type="dxa"/>
          </w:tcPr>
          <w:p w14:paraId="0315E344">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Framework Design and Initial Implementation</w:t>
            </w:r>
          </w:p>
        </w:tc>
        <w:tc>
          <w:tcPr>
            <w:tcW w:w="5144" w:type="dxa"/>
          </w:tcPr>
          <w:p w14:paraId="79BC6451">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Develop detailed system architecture, including module interactions (packet capture, ML anomaly detection, timeline reconstruction). </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br w:type="textWrapping"/>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Produce design diagrams (DFDs, flowcharts, UML). </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br w:type="textWrapping"/>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Begin building core components in Python, including preprocessing scripts and basic data pipelines. </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br w:type="textWrapping"/>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Set up development environment and version control. </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br w:type="textWrapping"/>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Conduct preliminary tests to verify data loading and feature extraction functions.</w:t>
            </w:r>
          </w:p>
        </w:tc>
      </w:tr>
      <w:tr w14:paraId="7CE9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E9A794">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March</w:t>
            </w:r>
          </w:p>
        </w:tc>
        <w:tc>
          <w:tcPr>
            <w:tcW w:w="2831" w:type="dxa"/>
          </w:tcPr>
          <w:p w14:paraId="42CEC4AA">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Development and Testing on CICIDS-2017 Dataset</w:t>
            </w:r>
          </w:p>
        </w:tc>
        <w:tc>
          <w:tcPr>
            <w:tcW w:w="5144" w:type="dxa"/>
          </w:tcPr>
          <w:p w14:paraId="02DF6A53">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It will entail the full execution of packet capture and preprocessing capabilities with Scapy and Pandas. </w:t>
            </w:r>
          </w:p>
          <w:p w14:paraId="0CF7EF65">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Train and tune first ML models on CICIDS-2017 with Scikit-learn (e.g. Random Forest). </w:t>
            </w:r>
          </w:p>
          <w:p w14:paraId="6D2AA8E1">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Compare framework with several CICIDS-2017 subsets to evaluate behaviour in traffic categories. </w:t>
            </w:r>
          </w:p>
          <w:p w14:paraId="2902CAEE">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Generation of initial metrics (accuracy, precision, recall, F1-score). </w:t>
            </w:r>
          </w:p>
          <w:p w14:paraId="115B76D1">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Diagnose pipeline and problem errors, refine, and report improvement in pipeline performance.</w:t>
            </w:r>
          </w:p>
        </w:tc>
      </w:tr>
      <w:tr w14:paraId="3E76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458517F">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April</w:t>
            </w:r>
          </w:p>
        </w:tc>
        <w:tc>
          <w:tcPr>
            <w:tcW w:w="2831" w:type="dxa"/>
          </w:tcPr>
          <w:p w14:paraId="3B3B3C3F">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Validation on UNSW-NB15; Performance Evaluation</w:t>
            </w:r>
          </w:p>
        </w:tc>
        <w:tc>
          <w:tcPr>
            <w:tcW w:w="5144" w:type="dxa"/>
          </w:tcPr>
          <w:p w14:paraId="3100D556">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Test trained model on UNSW-NB15 to test the generalisability and robustness on cross-dataset. </w:t>
            </w:r>
          </w:p>
          <w:p w14:paraId="63D64DF8">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Compare CICIDS-2017 and UNSW-NB15 results, and examine the discrepancies between the features, misclassification and model performance. </w:t>
            </w:r>
          </w:p>
          <w:p w14:paraId="15B7BC88">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Find timeline reconstruction tests with NetworkX graphs. </w:t>
            </w:r>
          </w:p>
          <w:p w14:paraId="1FCE5323">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Compare and contrast with baseline tools (e.g., Wireshark, Zeek). </w:t>
            </w:r>
          </w:p>
          <w:p w14:paraId="6A82FED2">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generate confusion tables and time-efficiency values.</w:t>
            </w:r>
          </w:p>
        </w:tc>
      </w:tr>
      <w:tr w14:paraId="326A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90C3CA">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May</w:t>
            </w:r>
          </w:p>
        </w:tc>
        <w:tc>
          <w:tcPr>
            <w:tcW w:w="2831" w:type="dxa"/>
          </w:tcPr>
          <w:p w14:paraId="2BB40C8D">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Analysis of Results; Draft Writing</w:t>
            </w:r>
          </w:p>
        </w:tc>
        <w:tc>
          <w:tcPr>
            <w:tcW w:w="5144" w:type="dxa"/>
          </w:tcPr>
          <w:p w14:paraId="40413596">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Prepare quantitative findings in tabular, figures and visualisation forms. </w:t>
            </w:r>
          </w:p>
          <w:p w14:paraId="2A991142">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Perform qualitative evaluation of usability, output readability and workflow effectiveness. </w:t>
            </w:r>
          </w:p>
          <w:p w14:paraId="663BA155">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Discuss findings based on research questions, theoretical and DSR principles. </w:t>
            </w:r>
          </w:p>
          <w:p w14:paraId="21F98DC1">
            <w:pPr>
              <w:spacing w:after="0" w:line="360" w:lineRule="auto"/>
              <w:rPr>
                <w:rFonts w:hint="default" w:ascii="Arial" w:hAnsi="Arial" w:eastAsia="Times New Roman"/>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xml:space="preserve">• Preliminary draft chapters on methodology, implementation, results and preliminary discussion. </w:t>
            </w:r>
          </w:p>
          <w:p w14:paraId="355253EA">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hint="default" w:ascii="Arial" w:hAnsi="Arial" w:eastAsia="Times New Roman"/>
                <w:color w:val="000000" w:themeColor="text1"/>
                <w:kern w:val="0"/>
                <w:sz w:val="22"/>
                <w:szCs w:val="22"/>
                <w:lang w:val="zh-CN" w:eastAsia="en-GB"/>
                <w14:textFill>
                  <w14:solidFill>
                    <w14:schemeClr w14:val="tx1"/>
                  </w14:solidFill>
                </w14:textFill>
                <w14:ligatures w14:val="none"/>
              </w:rPr>
              <w:t>• Add citations, diagrams and summaries of data analysis.</w:t>
            </w:r>
          </w:p>
        </w:tc>
      </w:tr>
      <w:tr w14:paraId="0E9F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245908">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June</w:t>
            </w:r>
          </w:p>
        </w:tc>
        <w:tc>
          <w:tcPr>
            <w:tcW w:w="2831" w:type="dxa"/>
          </w:tcPr>
          <w:p w14:paraId="2C784666">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b/>
                <w:bCs/>
                <w:color w:val="000000" w:themeColor="text1"/>
                <w:kern w:val="0"/>
                <w:sz w:val="22"/>
                <w:szCs w:val="22"/>
                <w:lang w:val="zh-CN" w:eastAsia="en-GB"/>
                <w14:textFill>
                  <w14:solidFill>
                    <w14:schemeClr w14:val="tx1"/>
                  </w14:solidFill>
                </w14:textFill>
                <w14:ligatures w14:val="none"/>
              </w:rPr>
              <w:t>Revisions, Refinement, and Final Submission</w:t>
            </w:r>
          </w:p>
        </w:tc>
        <w:tc>
          <w:tcPr>
            <w:tcW w:w="5144" w:type="dxa"/>
          </w:tcPr>
          <w:p w14:paraId="1D317D44">
            <w:pPr>
              <w:spacing w:after="0"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xml:space="preserve">• Review full draft and revise according to supervisor feedback. </w:t>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br w:type="textWrapping"/>
            </w: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 Submit final dissertation together with artefact documentation and user guide.</w:t>
            </w:r>
          </w:p>
        </w:tc>
      </w:tr>
    </w:tbl>
    <w:p w14:paraId="57CC88F1">
      <w:pPr>
        <w:spacing w:before="100" w:beforeAutospacing="1" w:after="100" w:afterAutospacing="1" w:line="360" w:lineRule="auto"/>
        <w:outlineLvl w:val="1"/>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p>
    <w:p w14:paraId="48C03787">
      <w:pPr>
        <w:spacing w:before="100" w:beforeAutospacing="1" w:after="100" w:afterAutospacing="1" w:line="360" w:lineRule="auto"/>
        <w:outlineLvl w:val="1"/>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p>
    <w:p w14:paraId="4DC81277">
      <w:pPr>
        <w:spacing w:before="100" w:beforeAutospacing="1" w:after="100" w:afterAutospacing="1" w:line="360" w:lineRule="auto"/>
        <w:outlineLvl w:val="1"/>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p>
    <w:p w14:paraId="5CAE77BD">
      <w:pPr>
        <w:pStyle w:val="2"/>
        <w:spacing w:line="360" w:lineRule="auto"/>
        <w:rPr>
          <w:rFonts w:hint="default" w:ascii="Arial" w:hAnsi="Arial" w:eastAsia="Times New Roman" w:cs="Arial"/>
          <w:color w:val="000000" w:themeColor="text1"/>
          <w:sz w:val="22"/>
          <w:szCs w:val="22"/>
          <w:lang w:val="en-US" w:eastAsia="en-GB"/>
          <w14:textFill>
            <w14:solidFill>
              <w14:schemeClr w14:val="tx1"/>
            </w14:solidFill>
          </w14:textFill>
        </w:rPr>
      </w:pPr>
      <w:bookmarkStart w:id="33" w:name="_Toc214868563"/>
      <w:r>
        <w:rPr>
          <w:rFonts w:ascii="Arial" w:hAnsi="Arial" w:eastAsia="Times New Roman" w:cs="Arial"/>
          <w:color w:val="000000" w:themeColor="text1"/>
          <w:sz w:val="22"/>
          <w:szCs w:val="22"/>
          <w:lang w:val="zh-CN" w:eastAsia="en-GB"/>
          <w14:textFill>
            <w14:solidFill>
              <w14:schemeClr w14:val="tx1"/>
            </w14:solidFill>
          </w14:textFill>
        </w:rPr>
        <w:t>References</w:t>
      </w:r>
      <w:bookmarkEnd w:id="33"/>
      <w:r>
        <w:rPr>
          <w:rFonts w:hint="default" w:ascii="Arial" w:hAnsi="Arial" w:eastAsia="Times New Roman" w:cs="Arial"/>
          <w:color w:val="000000" w:themeColor="text1"/>
          <w:sz w:val="22"/>
          <w:szCs w:val="22"/>
          <w:lang w:val="en-US" w:eastAsia="en-GB"/>
          <w14:textFill>
            <w14:solidFill>
              <w14:schemeClr w14:val="tx1"/>
            </w14:solidFill>
          </w14:textFill>
        </w:rPr>
        <w:t>:</w:t>
      </w:r>
    </w:p>
    <w:p w14:paraId="2C3486F8">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 L. F. Sikos, "Packet analysis for network forensics: A comprehensive survey," Forensic Sci. Int. Digit. Investig., vol. 32, Art. no. 200892, Mar. 2020. doi: 10.1016/j.fsidi.2019.200892.</w:t>
      </w:r>
    </w:p>
    <w:p w14:paraId="762AB4DA">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 S. Khan et al., "Network forensics: Review, taxonomy, and open challenges," J. Netw. Comput. Appl., vol. 66, pp. 214-235, May 2016. doi: 10.1016/j.jnca.2016.03.005.</w:t>
      </w:r>
    </w:p>
    <w:p w14:paraId="5F690A73">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[3] Verizon, "Data Breach Investigations Report," Verizon, 2024.</w:t>
      </w:r>
    </w:p>
    <w:p w14:paraId="5BC2D65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[4] F. Amato et al., "A comprehensive analysis of the role of artificial intelligence and machine learning in modern digital forensics and incident response," Forensic Sci. Int. Digit. Investig., vol. 46, Art. no. 301544, Sep. 2023. doi: 10.1016/j.fsidi.2023.301544.</w:t>
      </w:r>
    </w:p>
    <w:p w14:paraId="5CA5850C">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[5] I. Sharafaldin et al., "Toward Generating a New Intrusion Detection Dataset and Intrusion Traffic Characterization," in Proc. 4th Int. Conf. Inf. Syst. Secur. Privacy (ICISSP), 2018, pp. 108-116. doi: 10.5220/0006639801080116.</w:t>
      </w:r>
    </w:p>
    <w:p w14:paraId="54EDF519">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[6] N. Moustafa and J. Slay, "UNSW-NB15: a comprehensive data set for network intrusion detection systems (UNSW-NB15 network data set)," in Proc. Mil. Commun. Inf. Syst. Conf. (MilCIS), 2015, pp. 1-6. doi: 10.1109/MilCIS.2015.7348942.</w:t>
      </w:r>
    </w:p>
    <w:p w14:paraId="47E0B4D2">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[7] S. Bhardwaj and M. Dave, "Enhanced neural network-based attack investigation framework for network forensics: Identification, detection, and analysis of the attack," Comput. Secur., vol. 135, p. 103521, Dec. 2023. doi: 10.1016/j.cose.2023.103521.</w:t>
      </w:r>
    </w:p>
    <w:p w14:paraId="1285B5FB">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[8] A. A. Khan et al., "An Artificial Intelligence-based Proactive Network Forensic Framework," Int. J. Recent Adv. Sci. Technol., vol. 2, no. 3, pp. 1-10, Sep. 2023.</w:t>
      </w:r>
    </w:p>
    <w:p w14:paraId="2EA321EC">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[9] M. A. Paracha et al., "Leveraging AI for Network Threat Detection—A Conceptual Overview," Electronics, vol. 13, no. 23, p. 4611, Nov. 2024. doi: 10.3390/electronics13234611.</w:t>
      </w:r>
    </w:p>
    <w:p w14:paraId="4359160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[10] T. Arif et al., "Unveiling cybersecurity mysteries: A comprehensive survey on digital forensics trends, threats, and solutions in network security," J. Netw. Comput. Appl., p. 104296, 2025. doi: 10.1016/j.jnca.2025.104296.</w:t>
      </w:r>
    </w:p>
    <w:p w14:paraId="4BADF1D7">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[11] L. Chourasiya et al., "Advanced system log analyzer for anomaly detection and cyber forensic investigations using LSTM and transformer networks," J. Cloud Comput., vol. 14, p. 60, Oct. 2025. doi: 10.1186/s13677-025-00789-y.</w:t>
      </w:r>
    </w:p>
    <w:p w14:paraId="6B2397E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[12] J. Pluskal et al., "Netfox Detective: A novel open-source network forensics analysis tool," Forensic Sci. Int. Digit. Investig., vol. 35, Art. no. 301019, Dec. 2020. doi: 10.1016/j.fsidi.2020.301019.</w:t>
      </w:r>
    </w:p>
    <w:p w14:paraId="4F8747BE">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[13] A. Sánchez-Sánchez et al., "A forensic tool for the identification, acquisition and analysis of sources of evidence in IoT investigations," Digit. Investig., vol. 47, Art. no. 301726, Dec. 2024. doi: 10.1016/j.diin.2024.301726.</w:t>
      </w:r>
    </w:p>
    <w:p w14:paraId="13D8212A">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[14] T. J. Silva et al., "A review study of digital forensics in IoT: Process models, phases, architectures, and ontologies," Forensic Sci. Int. Digit. Investig., vol. 53, Art. no. 301666, Jun. 2025. doi: 10.1016/j.fsidi.2025.301666.</w:t>
      </w:r>
    </w:p>
    <w:p w14:paraId="657CF344">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[15] J. Stacey et al., "A responsible artificial intelligence framework for forensic science," Forensic Sci. Int., vol. 361, p. 111770, Aug. 2025. doi: 10.1016/j.forsciint.2025.112115.</w:t>
      </w:r>
    </w:p>
    <w:p w14:paraId="058D5B9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[16] R. Panigrahi and S. Borah, "A detailed analysis of CICIDS2017 dataset for designing Intrusion Detection Systems," Int. J. Eng. Technol., vol. 7, no. 3.24, pp. 479-482, 2018. doi: 10.14419/ijet.v7i3.24.22797.</w:t>
      </w:r>
    </w:p>
    <w:p w14:paraId="1AFF41D7">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[17] Kurniabudi et al., "CICIDS-2017 Dataset Feature Analysis With Information Gain for Anomaly Detection," IEEE Access, vol. 8, pp. 132911-132921, 2020. doi: 10.1109/ACCESS.2020.3009843.</w:t>
      </w:r>
    </w:p>
    <w:p w14:paraId="4D8D9F5C">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[18] NIST, "Digital Investigation Techniques: A NIST Scientific Foundation Review," NIST IR 8354, Nov. 2022.</w:t>
      </w:r>
    </w:p>
    <w:p w14:paraId="4D27667C">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[19] E. S. Pilli et al., "Network forensics: A survey," in Proc. Int. Conf. Adv. Comput. Commun. Technol., 2010, pp. 1-6.</w:t>
      </w:r>
    </w:p>
    <w:p w14:paraId="7B93899F">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[20] . Kurniabudi et al., "CICIDS-2017 Dataset Feature Analysis With Information Gain for Anomaly Detection," IEEE Access, vol. 8, pp. 132911-132921, 2020. doi: 10.1109/ACCESS.2020.3009843.</w:t>
      </w:r>
    </w:p>
    <w:p w14:paraId="66138C26">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[21] M. Conti et al., "Blockchain Forensics," IEEE Commun. Surveys Tuts., vol. 23, no. 2, pp. 1108-1137, 2021. doi: 10.1109/COMST.2021.3053737.</w:t>
      </w:r>
    </w:p>
    <w:p w14:paraId="16F48385">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[22] M. Ring et al., "A Survey of Network-based Intrusion Detection Data Sets," Comput. Secur., vol. 86, pp. 147-167, Sep. 2019. doi: 10.1016/j.cose.2019.06.005.</w:t>
      </w:r>
    </w:p>
    <w:p w14:paraId="3D66468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[23] T. K. Dang et al., "Cloud Forensics Challenges," in Proc. Int. Conf. Cloud Comput. Technol. Sci., 2022, pp. 1-6.</w:t>
      </w:r>
    </w:p>
    <w:p w14:paraId="17AB9DC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[24] A. Hevner et al., "Design Science in Information Systems Research," MIS Q., vol. 28, no. 1, pp. 75-105, 2004.</w:t>
      </w:r>
    </w:p>
    <w:p w14:paraId="2DCFB541">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[25] O. Osanaiye et al., "Ensemble-based Multi-Filter Feature Selection Method for DDoS Detection in Cloud Computing," EURASIP J. Wirel. Commun. Netw., vol. 2016, no. 130, 2016. doi: 10.1186/s13638-016-0623-3.</w:t>
      </w:r>
    </w:p>
    <w:p w14:paraId="146944AD">
      <w:pPr>
        <w:spacing w:before="100" w:beforeAutospacing="1" w:after="100" w:afterAutospacing="1" w:line="360" w:lineRule="auto"/>
        <w:rPr>
          <w:rFonts w:ascii="Arial" w:hAnsi="Arial" w:eastAsia="Times New Roman" w:cs="Arial"/>
          <w:color w:val="000000" w:themeColor="text1"/>
          <w:kern w:val="0"/>
          <w:sz w:val="22"/>
          <w:szCs w:val="22"/>
          <w:lang w:val="zh-CN" w:eastAsia="en-GB"/>
          <w14:textFill>
            <w14:solidFill>
              <w14:schemeClr w14:val="tx1"/>
            </w14:solidFill>
          </w14:textFill>
          <w14:ligatures w14:val="none"/>
        </w:rPr>
      </w:pPr>
      <w:r>
        <w:rPr>
          <w:rFonts w:ascii="Arial" w:hAnsi="Arial" w:eastAsia="Times New Roman" w:cs="Arial"/>
          <w:color w:val="000000" w:themeColor="text1"/>
          <w:kern w:val="0"/>
          <w:sz w:val="22"/>
          <w:szCs w:val="22"/>
          <w:lang w:val="zh-CN" w:eastAsia="en-GB"/>
          <w14:textFill>
            <w14:solidFill>
              <w14:schemeClr w14:val="tx1"/>
            </w14:solidFill>
          </w14:textFill>
          <w14:ligatures w14:val="none"/>
        </w:rPr>
        <w:t>[26] K. Peffers et al., "A Design Science Research Methodology for Information Systems Research," J. Manag. Inf. Syst., vol. 24, no. 3, pp. 45-77, 2007.</w:t>
      </w:r>
    </w:p>
    <w:p w14:paraId="53A56685">
      <w:pPr>
        <w:spacing w:line="360" w:lineRule="auto"/>
        <w:rPr>
          <w:rFonts w:ascii="Arial" w:hAnsi="Arial" w:cs="Arial"/>
          <w:color w:val="000000" w:themeColor="text1"/>
          <w:sz w:val="22"/>
          <w:szCs w:val="22"/>
          <w14:textFill>
            <w14:solidFill>
              <w14:schemeClr w14:val="tx1"/>
            </w14:solidFill>
          </w14:textFill>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830FF">
    <w:pPr>
      <w:pStyle w:val="15"/>
    </w:pPr>
    <w:r>
      <w:drawing>
        <wp:inline distT="0" distB="0" distL="0" distR="0">
          <wp:extent cx="2133600" cy="1066800"/>
          <wp:effectExtent l="0" t="0" r="0" b="0"/>
          <wp:docPr id="499569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9178" name="Picture 1"/>
                  <pic:cNvPicPr>
                    <a:picLocks noChangeAspect="1"/>
                  </pic:cNvPicPr>
                </pic:nvPicPr>
                <pic:blipFill>
                  <a:blip r:embed="rId1"/>
                  <a:stretch>
                    <a:fillRect/>
                  </a:stretch>
                </pic:blipFill>
                <pic:spPr>
                  <a:xfrm>
                    <a:off x="0" y="0"/>
                    <a:ext cx="2133600" cy="10668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5F15B1"/>
    <w:multiLevelType w:val="multilevel"/>
    <w:tmpl w:val="0A5F15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5E91104"/>
    <w:multiLevelType w:val="multilevel"/>
    <w:tmpl w:val="25E911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40C9295D"/>
    <w:multiLevelType w:val="multilevel"/>
    <w:tmpl w:val="40C9295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41DA0E3D"/>
    <w:multiLevelType w:val="multilevel"/>
    <w:tmpl w:val="41DA0E3D"/>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39244C7"/>
    <w:multiLevelType w:val="multilevel"/>
    <w:tmpl w:val="539244C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4712CF0"/>
    <w:multiLevelType w:val="multilevel"/>
    <w:tmpl w:val="54712CF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61E856C5"/>
    <w:multiLevelType w:val="multilevel"/>
    <w:tmpl w:val="61E856C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7FA24526"/>
    <w:multiLevelType w:val="multilevel"/>
    <w:tmpl w:val="7FA2452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0"/>
  </w:num>
  <w:num w:numId="3">
    <w:abstractNumId w:val="6"/>
  </w:num>
  <w:num w:numId="4">
    <w:abstractNumId w:val="3"/>
  </w:num>
  <w:num w:numId="5">
    <w:abstractNumId w:val="7"/>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D5B"/>
    <w:rsid w:val="00062E8F"/>
    <w:rsid w:val="00064D5B"/>
    <w:rsid w:val="000A49D4"/>
    <w:rsid w:val="00415070"/>
    <w:rsid w:val="004203C7"/>
    <w:rsid w:val="005443D3"/>
    <w:rsid w:val="00546CE1"/>
    <w:rsid w:val="0062284A"/>
    <w:rsid w:val="00830AF2"/>
    <w:rsid w:val="00885AF4"/>
    <w:rsid w:val="00BF2431"/>
    <w:rsid w:val="00E25FAC"/>
    <w:rsid w:val="00E71405"/>
    <w:rsid w:val="00F6298D"/>
    <w:rsid w:val="34FF9A68"/>
    <w:rsid w:val="56E1293D"/>
    <w:rsid w:val="68F63AD8"/>
    <w:rsid w:val="7705C5EC"/>
    <w:rsid w:val="77FF0189"/>
    <w:rsid w:val="7DFF97ED"/>
    <w:rsid w:val="7E7EB85F"/>
    <w:rsid w:val="7F5DF276"/>
    <w:rsid w:val="B7EF9B7F"/>
    <w:rsid w:val="BFFF43BF"/>
    <w:rsid w:val="DBF1D956"/>
    <w:rsid w:val="EFEE4D30"/>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31"/>
    <w:qFormat/>
    <w:uiPriority w:val="9"/>
    <w:pPr>
      <w:keepNext/>
      <w:keepLines/>
      <w:spacing w:before="360" w:after="80"/>
      <w:outlineLvl w:val="0"/>
    </w:pPr>
    <w:rPr>
      <w:rFonts w:asciiTheme="majorHAnsi" w:hAnsiTheme="majorHAnsi" w:eastAsiaTheme="majorEastAsia" w:cstheme="majorBidi"/>
      <w:b/>
      <w:color w:val="104862" w:themeColor="accent1" w:themeShade="BF"/>
      <w:sz w:val="40"/>
      <w:szCs w:val="40"/>
      <w:u w:val="single"/>
    </w:rPr>
  </w:style>
  <w:style w:type="paragraph" w:styleId="3">
    <w:name w:val="heading 2"/>
    <w:basedOn w:val="1"/>
    <w:next w:val="1"/>
    <w:link w:val="32"/>
    <w:unhideWhenUsed/>
    <w:qFormat/>
    <w:uiPriority w:val="9"/>
    <w:pPr>
      <w:keepNext/>
      <w:keepLines/>
      <w:spacing w:before="160" w:after="80"/>
      <w:outlineLvl w:val="1"/>
    </w:pPr>
    <w:rPr>
      <w:rFonts w:asciiTheme="majorHAnsi" w:hAnsiTheme="majorHAnsi" w:eastAsiaTheme="majorEastAsia" w:cstheme="majorBidi"/>
      <w:b/>
      <w:i/>
      <w:color w:val="104862" w:themeColor="accent1" w:themeShade="BF"/>
      <w:sz w:val="32"/>
      <w:szCs w:val="32"/>
    </w:rPr>
  </w:style>
  <w:style w:type="paragraph" w:styleId="4">
    <w:name w:val="heading 3"/>
    <w:basedOn w:val="1"/>
    <w:next w:val="1"/>
    <w:link w:val="33"/>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4"/>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51"/>
    <w:unhideWhenUsed/>
    <w:qFormat/>
    <w:uiPriority w:val="99"/>
    <w:pPr>
      <w:tabs>
        <w:tab w:val="center" w:pos="4513"/>
        <w:tab w:val="right" w:pos="9026"/>
      </w:tabs>
      <w:spacing w:after="0" w:line="240" w:lineRule="auto"/>
    </w:pPr>
  </w:style>
  <w:style w:type="paragraph" w:styleId="15">
    <w:name w:val="header"/>
    <w:basedOn w:val="1"/>
    <w:link w:val="50"/>
    <w:unhideWhenUsed/>
    <w:qFormat/>
    <w:uiPriority w:val="99"/>
    <w:pPr>
      <w:tabs>
        <w:tab w:val="center" w:pos="4513"/>
        <w:tab w:val="right" w:pos="9026"/>
      </w:tabs>
      <w:spacing w:after="0" w:line="240" w:lineRule="auto"/>
    </w:pPr>
  </w:style>
  <w:style w:type="character" w:styleId="16">
    <w:name w:val="Hyperlink"/>
    <w:basedOn w:val="11"/>
    <w:unhideWhenUsed/>
    <w:qFormat/>
    <w:uiPriority w:val="99"/>
    <w:rPr>
      <w:color w:val="467886" w:themeColor="hyperlink"/>
      <w:u w:val="single"/>
      <w14:textFill>
        <w14:solidFill>
          <w14:schemeClr w14:val="hlink"/>
        </w14:solidFill>
      </w14:textFill>
    </w:rPr>
  </w:style>
  <w:style w:type="paragraph" w:styleId="1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kern w:val="0"/>
      <w:lang w:val="zh-CN" w:eastAsia="en-GB"/>
      <w14:ligatures w14:val="none"/>
    </w:rPr>
  </w:style>
  <w:style w:type="character" w:styleId="18">
    <w:name w:val="Strong"/>
    <w:basedOn w:val="11"/>
    <w:qFormat/>
    <w:uiPriority w:val="22"/>
    <w:rPr>
      <w:b/>
      <w:bCs/>
    </w:rPr>
  </w:style>
  <w:style w:type="paragraph" w:styleId="19">
    <w:name w:val="Subtitle"/>
    <w:basedOn w:val="1"/>
    <w:next w:val="1"/>
    <w:link w:val="4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0">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itle"/>
    <w:basedOn w:val="1"/>
    <w:next w:val="1"/>
    <w:link w:val="4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autoRedefine/>
    <w:unhideWhenUsed/>
    <w:qFormat/>
    <w:uiPriority w:val="39"/>
    <w:pPr>
      <w:spacing w:before="120" w:after="0"/>
    </w:pPr>
    <w:rPr>
      <w:b/>
      <w:bCs/>
      <w:i/>
      <w:iCs/>
    </w:rPr>
  </w:style>
  <w:style w:type="paragraph" w:styleId="23">
    <w:name w:val="toc 2"/>
    <w:basedOn w:val="1"/>
    <w:next w:val="1"/>
    <w:autoRedefine/>
    <w:unhideWhenUsed/>
    <w:qFormat/>
    <w:uiPriority w:val="39"/>
    <w:pPr>
      <w:spacing w:before="120" w:after="0"/>
      <w:ind w:left="240"/>
    </w:pPr>
    <w:rPr>
      <w:b/>
      <w:bCs/>
      <w:sz w:val="22"/>
      <w:szCs w:val="22"/>
    </w:rPr>
  </w:style>
  <w:style w:type="paragraph" w:styleId="24">
    <w:name w:val="toc 3"/>
    <w:basedOn w:val="1"/>
    <w:next w:val="1"/>
    <w:autoRedefine/>
    <w:unhideWhenUsed/>
    <w:qFormat/>
    <w:uiPriority w:val="39"/>
    <w:pPr>
      <w:spacing w:after="0"/>
      <w:ind w:left="480"/>
    </w:pPr>
    <w:rPr>
      <w:sz w:val="20"/>
      <w:szCs w:val="20"/>
    </w:rPr>
  </w:style>
  <w:style w:type="paragraph" w:styleId="25">
    <w:name w:val="toc 4"/>
    <w:basedOn w:val="1"/>
    <w:next w:val="1"/>
    <w:autoRedefine/>
    <w:semiHidden/>
    <w:unhideWhenUsed/>
    <w:qFormat/>
    <w:uiPriority w:val="39"/>
    <w:pPr>
      <w:spacing w:after="0"/>
      <w:ind w:left="720"/>
    </w:pPr>
    <w:rPr>
      <w:sz w:val="20"/>
      <w:szCs w:val="20"/>
    </w:rPr>
  </w:style>
  <w:style w:type="paragraph" w:styleId="26">
    <w:name w:val="toc 5"/>
    <w:basedOn w:val="1"/>
    <w:next w:val="1"/>
    <w:autoRedefine/>
    <w:semiHidden/>
    <w:unhideWhenUsed/>
    <w:qFormat/>
    <w:uiPriority w:val="39"/>
    <w:pPr>
      <w:spacing w:after="0"/>
      <w:ind w:left="960"/>
    </w:pPr>
    <w:rPr>
      <w:sz w:val="20"/>
      <w:szCs w:val="20"/>
    </w:rPr>
  </w:style>
  <w:style w:type="paragraph" w:styleId="27">
    <w:name w:val="toc 6"/>
    <w:basedOn w:val="1"/>
    <w:next w:val="1"/>
    <w:autoRedefine/>
    <w:semiHidden/>
    <w:unhideWhenUsed/>
    <w:qFormat/>
    <w:uiPriority w:val="39"/>
    <w:pPr>
      <w:spacing w:after="0"/>
      <w:ind w:left="1200"/>
    </w:pPr>
    <w:rPr>
      <w:sz w:val="20"/>
      <w:szCs w:val="20"/>
    </w:rPr>
  </w:style>
  <w:style w:type="paragraph" w:styleId="28">
    <w:name w:val="toc 7"/>
    <w:basedOn w:val="1"/>
    <w:next w:val="1"/>
    <w:autoRedefine/>
    <w:semiHidden/>
    <w:unhideWhenUsed/>
    <w:qFormat/>
    <w:uiPriority w:val="39"/>
    <w:pPr>
      <w:spacing w:after="0"/>
      <w:ind w:left="1440"/>
    </w:pPr>
    <w:rPr>
      <w:sz w:val="20"/>
      <w:szCs w:val="20"/>
    </w:rPr>
  </w:style>
  <w:style w:type="paragraph" w:styleId="29">
    <w:name w:val="toc 8"/>
    <w:basedOn w:val="1"/>
    <w:next w:val="1"/>
    <w:autoRedefine/>
    <w:semiHidden/>
    <w:unhideWhenUsed/>
    <w:qFormat/>
    <w:uiPriority w:val="39"/>
    <w:pPr>
      <w:spacing w:after="0"/>
      <w:ind w:left="1680"/>
    </w:pPr>
    <w:rPr>
      <w:sz w:val="20"/>
      <w:szCs w:val="20"/>
    </w:rPr>
  </w:style>
  <w:style w:type="paragraph" w:styleId="30">
    <w:name w:val="toc 9"/>
    <w:basedOn w:val="1"/>
    <w:next w:val="1"/>
    <w:autoRedefine/>
    <w:semiHidden/>
    <w:unhideWhenUsed/>
    <w:qFormat/>
    <w:uiPriority w:val="39"/>
    <w:pPr>
      <w:spacing w:after="0"/>
      <w:ind w:left="1920"/>
    </w:pPr>
    <w:rPr>
      <w:sz w:val="20"/>
      <w:szCs w:val="20"/>
    </w:rPr>
  </w:style>
  <w:style w:type="character" w:customStyle="1" w:styleId="31">
    <w:name w:val="Heading 1 Char"/>
    <w:basedOn w:val="11"/>
    <w:link w:val="2"/>
    <w:qFormat/>
    <w:uiPriority w:val="9"/>
    <w:rPr>
      <w:rFonts w:asciiTheme="majorHAnsi" w:hAnsiTheme="majorHAnsi" w:eastAsiaTheme="majorEastAsia" w:cstheme="majorBidi"/>
      <w:b/>
      <w:color w:val="104862" w:themeColor="accent1" w:themeShade="BF"/>
      <w:sz w:val="40"/>
      <w:szCs w:val="40"/>
      <w:u w:val="single"/>
      <w:lang w:val="en-GB"/>
    </w:rPr>
  </w:style>
  <w:style w:type="character" w:customStyle="1" w:styleId="32">
    <w:name w:val="Heading 2 Char"/>
    <w:basedOn w:val="11"/>
    <w:link w:val="3"/>
    <w:qFormat/>
    <w:uiPriority w:val="9"/>
    <w:rPr>
      <w:rFonts w:asciiTheme="majorHAnsi" w:hAnsiTheme="majorHAnsi" w:eastAsiaTheme="majorEastAsia" w:cstheme="majorBidi"/>
      <w:b/>
      <w:i/>
      <w:color w:val="104862" w:themeColor="accent1" w:themeShade="BF"/>
      <w:sz w:val="32"/>
      <w:szCs w:val="32"/>
      <w:lang w:val="en-GB"/>
    </w:rPr>
  </w:style>
  <w:style w:type="character" w:customStyle="1" w:styleId="33">
    <w:name w:val="Heading 3 Char"/>
    <w:basedOn w:val="11"/>
    <w:link w:val="4"/>
    <w:qFormat/>
    <w:uiPriority w:val="9"/>
    <w:rPr>
      <w:rFonts w:eastAsiaTheme="majorEastAsia" w:cstheme="majorBidi"/>
      <w:color w:val="104862" w:themeColor="accent1" w:themeShade="BF"/>
      <w:sz w:val="28"/>
      <w:szCs w:val="28"/>
      <w:lang w:val="en-GB"/>
    </w:rPr>
  </w:style>
  <w:style w:type="character" w:customStyle="1" w:styleId="34">
    <w:name w:val="Heading 4 Char"/>
    <w:basedOn w:val="11"/>
    <w:link w:val="5"/>
    <w:qFormat/>
    <w:uiPriority w:val="9"/>
    <w:rPr>
      <w:rFonts w:eastAsiaTheme="majorEastAsia" w:cstheme="majorBidi"/>
      <w:i/>
      <w:iCs/>
      <w:color w:val="104862" w:themeColor="accent1" w:themeShade="BF"/>
      <w:lang w:val="en-GB"/>
    </w:rPr>
  </w:style>
  <w:style w:type="character" w:customStyle="1" w:styleId="35">
    <w:name w:val="Heading 5 Char"/>
    <w:basedOn w:val="11"/>
    <w:link w:val="6"/>
    <w:semiHidden/>
    <w:qFormat/>
    <w:uiPriority w:val="9"/>
    <w:rPr>
      <w:rFonts w:eastAsiaTheme="majorEastAsia" w:cstheme="majorBidi"/>
      <w:color w:val="104862" w:themeColor="accent1" w:themeShade="BF"/>
      <w:lang w:val="en-GB"/>
    </w:rPr>
  </w:style>
  <w:style w:type="character" w:customStyle="1" w:styleId="36">
    <w:name w:val="Heading 6 Char"/>
    <w:basedOn w:val="11"/>
    <w:link w:val="7"/>
    <w:semiHidden/>
    <w:qFormat/>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37">
    <w:name w:val="Heading 7 Char"/>
    <w:basedOn w:val="11"/>
    <w:link w:val="8"/>
    <w:semiHidden/>
    <w:qFormat/>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38">
    <w:name w:val="Heading 8 Char"/>
    <w:basedOn w:val="11"/>
    <w:link w:val="9"/>
    <w:semiHidden/>
    <w:qFormat/>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39">
    <w:name w:val="Heading 9 Char"/>
    <w:basedOn w:val="11"/>
    <w:link w:val="10"/>
    <w:semiHidden/>
    <w:qFormat/>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40">
    <w:name w:val="Title Char"/>
    <w:basedOn w:val="11"/>
    <w:link w:val="21"/>
    <w:qFormat/>
    <w:uiPriority w:val="10"/>
    <w:rPr>
      <w:rFonts w:asciiTheme="majorHAnsi" w:hAnsiTheme="majorHAnsi" w:eastAsiaTheme="majorEastAsia" w:cstheme="majorBidi"/>
      <w:spacing w:val="-10"/>
      <w:kern w:val="28"/>
      <w:sz w:val="56"/>
      <w:szCs w:val="56"/>
      <w:lang w:val="en-GB"/>
    </w:rPr>
  </w:style>
  <w:style w:type="character" w:customStyle="1" w:styleId="41">
    <w:name w:val="Subtitle Char"/>
    <w:basedOn w:val="11"/>
    <w:link w:val="19"/>
    <w:qFormat/>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42">
    <w:name w:val="Quote"/>
    <w:basedOn w:val="1"/>
    <w:next w:val="1"/>
    <w:link w:val="4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3">
    <w:name w:val="Quote Char"/>
    <w:basedOn w:val="11"/>
    <w:link w:val="42"/>
    <w:qFormat/>
    <w:uiPriority w:val="29"/>
    <w:rPr>
      <w:i/>
      <w:iCs/>
      <w:color w:val="404040" w:themeColor="text1" w:themeTint="BF"/>
      <w:lang w:val="en-GB"/>
      <w14:textFill>
        <w14:solidFill>
          <w14:schemeClr w14:val="tx1">
            <w14:lumMod w14:val="75000"/>
            <w14:lumOff w14:val="25000"/>
          </w14:schemeClr>
        </w14:solidFill>
      </w14:textFill>
    </w:rPr>
  </w:style>
  <w:style w:type="paragraph" w:styleId="44">
    <w:name w:val="List Paragraph"/>
    <w:basedOn w:val="1"/>
    <w:qFormat/>
    <w:uiPriority w:val="34"/>
    <w:pPr>
      <w:ind w:left="720"/>
      <w:contextualSpacing/>
    </w:pPr>
  </w:style>
  <w:style w:type="character" w:customStyle="1" w:styleId="45">
    <w:name w:val="Intense Emphasis"/>
    <w:basedOn w:val="11"/>
    <w:qFormat/>
    <w:uiPriority w:val="21"/>
    <w:rPr>
      <w:i/>
      <w:iCs/>
      <w:color w:val="104862" w:themeColor="accent1" w:themeShade="BF"/>
    </w:rPr>
  </w:style>
  <w:style w:type="paragraph" w:styleId="46">
    <w:name w:val="Intense Quote"/>
    <w:basedOn w:val="1"/>
    <w:next w:val="1"/>
    <w:link w:val="4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7">
    <w:name w:val="Intense Quote Char"/>
    <w:basedOn w:val="11"/>
    <w:link w:val="46"/>
    <w:qFormat/>
    <w:uiPriority w:val="30"/>
    <w:rPr>
      <w:i/>
      <w:iCs/>
      <w:color w:val="104862" w:themeColor="accent1" w:themeShade="BF"/>
      <w:lang w:val="en-GB"/>
    </w:rPr>
  </w:style>
  <w:style w:type="character" w:customStyle="1" w:styleId="48">
    <w:name w:val="Intense Reference"/>
    <w:basedOn w:val="11"/>
    <w:qFormat/>
    <w:uiPriority w:val="32"/>
    <w:rPr>
      <w:b/>
      <w:bCs/>
      <w:smallCaps/>
      <w:color w:val="104862" w:themeColor="accent1" w:themeShade="BF"/>
      <w:spacing w:val="5"/>
    </w:rPr>
  </w:style>
  <w:style w:type="paragraph" w:customStyle="1" w:styleId="49">
    <w:name w:val="TOC Heading"/>
    <w:basedOn w:val="2"/>
    <w:next w:val="1"/>
    <w:unhideWhenUsed/>
    <w:qFormat/>
    <w:uiPriority w:val="39"/>
    <w:pPr>
      <w:spacing w:before="480" w:after="0" w:line="276" w:lineRule="auto"/>
      <w:outlineLvl w:val="9"/>
    </w:pPr>
    <w:rPr>
      <w:bCs/>
      <w:kern w:val="0"/>
      <w:sz w:val="28"/>
      <w:szCs w:val="28"/>
      <w:u w:val="none"/>
      <w:lang w:val="en-US"/>
      <w14:ligatures w14:val="none"/>
    </w:rPr>
  </w:style>
  <w:style w:type="character" w:customStyle="1" w:styleId="50">
    <w:name w:val="Header Char"/>
    <w:basedOn w:val="11"/>
    <w:link w:val="15"/>
    <w:qFormat/>
    <w:uiPriority w:val="99"/>
    <w:rPr>
      <w:lang w:val="en-GB"/>
    </w:rPr>
  </w:style>
  <w:style w:type="character" w:customStyle="1" w:styleId="51">
    <w:name w:val="Footer Char"/>
    <w:basedOn w:val="11"/>
    <w:link w:val="14"/>
    <w:qFormat/>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2877AAA9-B2D7-0D40-85B6-508E950EC227}">
  <ds:schemaRefs/>
</ds:datastoreItem>
</file>

<file path=docProps/app.xml><?xml version="1.0" encoding="utf-8"?>
<Properties xmlns="http://schemas.openxmlformats.org/officeDocument/2006/extended-properties" xmlns:vt="http://schemas.openxmlformats.org/officeDocument/2006/docPropsVTypes">
  <Template>Normal.dotm</Template>
  <Pages>24</Pages>
  <Words>6227</Words>
  <Characters>35496</Characters>
  <Lines>295</Lines>
  <Paragraphs>83</Paragraphs>
  <TotalTime>90</TotalTime>
  <ScaleCrop>false</ScaleCrop>
  <LinksUpToDate>false</LinksUpToDate>
  <CharactersWithSpaces>41640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2025-11-24T02:20:00Z</dcterms:created>
  <dc:creator>Aounaiza Ahmed</dc:creator>
  <cp:lastModifiedBy>patel</cp:lastModifiedBy>
  <dcterms:modified xsi:type="dcterms:W3CDTF">2025-12-03T12:11:53Z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B22BE4103C74A5DFBD9E2469D772994C_42</vt:lpwstr>
  </property>
</Properties>
</file>