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035" w:rsidRPr="00FF6A68" w:rsidRDefault="002A1035" w:rsidP="00FF6A68">
      <w:pPr>
        <w:pStyle w:val="Title"/>
        <w:spacing w:line="360" w:lineRule="auto"/>
        <w:jc w:val="center"/>
        <w:rPr>
          <w:rFonts w:ascii="Arial" w:hAnsi="Arial" w:cs="Arial"/>
          <w:sz w:val="22"/>
          <w:szCs w:val="22"/>
        </w:rPr>
      </w:pPr>
      <w:r w:rsidRPr="00FF6A68">
        <w:rPr>
          <w:rFonts w:ascii="Arial" w:hAnsi="Arial" w:cs="Arial"/>
          <w:sz w:val="22"/>
          <w:szCs w:val="22"/>
        </w:rPr>
        <w:t>The Impact of Remote Patient Monitoring (RPM) in UK Health and Social Care</w:t>
      </w:r>
    </w:p>
    <w:p w:rsidR="002A1035" w:rsidRPr="00FF6A68" w:rsidRDefault="002A1035" w:rsidP="00FF6A68">
      <w:pPr>
        <w:spacing w:line="360" w:lineRule="auto"/>
        <w:jc w:val="center"/>
        <w:rPr>
          <w:rFonts w:ascii="Arial" w:hAnsi="Arial" w:cs="Arial"/>
        </w:rPr>
      </w:pPr>
      <w:r w:rsidRPr="00FF6A68">
        <w:rPr>
          <w:rFonts w:ascii="Arial" w:hAnsi="Arial" w:cs="Arial"/>
        </w:rPr>
        <w:t>Module Code: BMHP6026</w:t>
      </w:r>
    </w:p>
    <w:p w:rsidR="002A1035" w:rsidRPr="00FF6A68" w:rsidRDefault="002A1035" w:rsidP="00FF6A68">
      <w:pPr>
        <w:spacing w:line="360" w:lineRule="auto"/>
        <w:jc w:val="center"/>
        <w:rPr>
          <w:rFonts w:ascii="Arial" w:hAnsi="Arial" w:cs="Arial"/>
        </w:rPr>
      </w:pPr>
      <w:r w:rsidRPr="00FF6A68">
        <w:rPr>
          <w:rFonts w:ascii="Arial" w:hAnsi="Arial" w:cs="Arial"/>
        </w:rPr>
        <w:t xml:space="preserve">Student </w:t>
      </w:r>
      <w:r w:rsidR="00FF6A68" w:rsidRPr="00FF6A68">
        <w:rPr>
          <w:rFonts w:ascii="Arial" w:hAnsi="Arial" w:cs="Arial"/>
        </w:rPr>
        <w:t>Name; Adnan Sayeed</w:t>
      </w: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Default="00672E66" w:rsidP="00FF6A68">
      <w:pPr>
        <w:spacing w:line="360" w:lineRule="auto"/>
        <w:rPr>
          <w:rFonts w:ascii="Arial" w:hAnsi="Arial" w:cs="Arial"/>
          <w:color w:val="0F1115"/>
          <w:shd w:val="clear" w:color="auto" w:fill="FFFFFF"/>
        </w:rPr>
      </w:pPr>
    </w:p>
    <w:p w:rsidR="00FF6A68" w:rsidRDefault="00FF6A68" w:rsidP="00FF6A68">
      <w:pPr>
        <w:spacing w:line="360" w:lineRule="auto"/>
        <w:rPr>
          <w:rFonts w:ascii="Arial" w:hAnsi="Arial" w:cs="Arial"/>
          <w:color w:val="0F1115"/>
          <w:shd w:val="clear" w:color="auto" w:fill="FFFFFF"/>
        </w:rPr>
      </w:pPr>
    </w:p>
    <w:p w:rsidR="00FF6A68" w:rsidRPr="00FF6A68" w:rsidRDefault="00FF6A68"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sdt>
      <w:sdtPr>
        <w:rPr>
          <w:rFonts w:ascii="Arial" w:hAnsi="Arial" w:cs="Arial"/>
          <w:sz w:val="22"/>
          <w:szCs w:val="22"/>
        </w:rPr>
        <w:id w:val="-1382092489"/>
        <w:docPartObj>
          <w:docPartGallery w:val="Table of Contents"/>
          <w:docPartUnique/>
        </w:docPartObj>
      </w:sdtPr>
      <w:sdtEndPr>
        <w:rPr>
          <w:rFonts w:eastAsiaTheme="minorHAnsi"/>
          <w:b/>
          <w:bCs/>
          <w:noProof/>
          <w:color w:val="auto"/>
        </w:rPr>
      </w:sdtEndPr>
      <w:sdtContent>
        <w:p w:rsidR="002A1035" w:rsidRPr="00FF6A68" w:rsidRDefault="002A1035" w:rsidP="00FF6A68">
          <w:pPr>
            <w:pStyle w:val="TOCHeading"/>
            <w:spacing w:line="360" w:lineRule="auto"/>
            <w:rPr>
              <w:rFonts w:ascii="Arial" w:hAnsi="Arial" w:cs="Arial"/>
              <w:sz w:val="22"/>
              <w:szCs w:val="22"/>
            </w:rPr>
          </w:pPr>
          <w:r w:rsidRPr="00FF6A68">
            <w:rPr>
              <w:rFonts w:ascii="Arial" w:hAnsi="Arial" w:cs="Arial"/>
              <w:sz w:val="22"/>
              <w:szCs w:val="22"/>
            </w:rPr>
            <w:t>Contents</w:t>
          </w:r>
        </w:p>
        <w:p w:rsidR="00FF6A68" w:rsidRPr="00FF6A68" w:rsidRDefault="002A1035" w:rsidP="00FF6A68">
          <w:pPr>
            <w:pStyle w:val="TOC1"/>
            <w:tabs>
              <w:tab w:val="right" w:leader="dot" w:pos="9350"/>
            </w:tabs>
            <w:spacing w:line="360" w:lineRule="auto"/>
            <w:rPr>
              <w:rFonts w:ascii="Arial" w:eastAsiaTheme="minorEastAsia" w:hAnsi="Arial" w:cs="Arial"/>
              <w:noProof/>
            </w:rPr>
          </w:pPr>
          <w:r w:rsidRPr="00FF6A68">
            <w:rPr>
              <w:rFonts w:ascii="Arial" w:hAnsi="Arial" w:cs="Arial"/>
              <w:b/>
              <w:bCs/>
              <w:noProof/>
            </w:rPr>
            <w:fldChar w:fldCharType="begin"/>
          </w:r>
          <w:r w:rsidRPr="00FF6A68">
            <w:rPr>
              <w:rFonts w:ascii="Arial" w:hAnsi="Arial" w:cs="Arial"/>
              <w:b/>
              <w:bCs/>
              <w:noProof/>
            </w:rPr>
            <w:instrText xml:space="preserve"> TOC \o "1-3" \h \z \u </w:instrText>
          </w:r>
          <w:r w:rsidRPr="00FF6A68">
            <w:rPr>
              <w:rFonts w:ascii="Arial" w:hAnsi="Arial" w:cs="Arial"/>
              <w:b/>
              <w:bCs/>
              <w:noProof/>
            </w:rPr>
            <w:fldChar w:fldCharType="separate"/>
          </w:r>
          <w:hyperlink w:anchor="_Toc212158430" w:history="1">
            <w:r w:rsidR="00FF6A68" w:rsidRPr="00FF6A68">
              <w:rPr>
                <w:rStyle w:val="Hyperlink"/>
                <w:rFonts w:ascii="Arial" w:hAnsi="Arial" w:cs="Arial"/>
                <w:noProof/>
              </w:rPr>
              <w:t>Introduction</w:t>
            </w:r>
            <w:r w:rsidR="00FF6A68" w:rsidRPr="00FF6A68">
              <w:rPr>
                <w:rFonts w:ascii="Arial" w:hAnsi="Arial" w:cs="Arial"/>
                <w:noProof/>
                <w:webHidden/>
              </w:rPr>
              <w:tab/>
            </w:r>
            <w:r w:rsidR="00FF6A68" w:rsidRPr="00FF6A68">
              <w:rPr>
                <w:rFonts w:ascii="Arial" w:hAnsi="Arial" w:cs="Arial"/>
                <w:noProof/>
                <w:webHidden/>
              </w:rPr>
              <w:fldChar w:fldCharType="begin"/>
            </w:r>
            <w:r w:rsidR="00FF6A68" w:rsidRPr="00FF6A68">
              <w:rPr>
                <w:rFonts w:ascii="Arial" w:hAnsi="Arial" w:cs="Arial"/>
                <w:noProof/>
                <w:webHidden/>
              </w:rPr>
              <w:instrText xml:space="preserve"> PAGEREF _Toc212158430 \h </w:instrText>
            </w:r>
            <w:r w:rsidR="00FF6A68" w:rsidRPr="00FF6A68">
              <w:rPr>
                <w:rFonts w:ascii="Arial" w:hAnsi="Arial" w:cs="Arial"/>
                <w:noProof/>
                <w:webHidden/>
              </w:rPr>
            </w:r>
            <w:r w:rsidR="00FF6A68" w:rsidRPr="00FF6A68">
              <w:rPr>
                <w:rFonts w:ascii="Arial" w:hAnsi="Arial" w:cs="Arial"/>
                <w:noProof/>
                <w:webHidden/>
              </w:rPr>
              <w:fldChar w:fldCharType="separate"/>
            </w:r>
            <w:r w:rsidR="00FF6A68" w:rsidRPr="00FF6A68">
              <w:rPr>
                <w:rFonts w:ascii="Arial" w:hAnsi="Arial" w:cs="Arial"/>
                <w:noProof/>
                <w:webHidden/>
              </w:rPr>
              <w:t>3</w:t>
            </w:r>
            <w:r w:rsidR="00FF6A68" w:rsidRPr="00FF6A68">
              <w:rPr>
                <w:rFonts w:ascii="Arial" w:hAnsi="Arial" w:cs="Arial"/>
                <w:noProof/>
                <w:webHidden/>
              </w:rPr>
              <w:fldChar w:fldCharType="end"/>
            </w:r>
          </w:hyperlink>
        </w:p>
        <w:p w:rsidR="00FF6A68" w:rsidRPr="00FF6A68" w:rsidRDefault="00FF6A68" w:rsidP="00FF6A68">
          <w:pPr>
            <w:pStyle w:val="TOC1"/>
            <w:tabs>
              <w:tab w:val="right" w:leader="dot" w:pos="9350"/>
            </w:tabs>
            <w:spacing w:line="360" w:lineRule="auto"/>
            <w:rPr>
              <w:rFonts w:ascii="Arial" w:eastAsiaTheme="minorEastAsia" w:hAnsi="Arial" w:cs="Arial"/>
              <w:noProof/>
            </w:rPr>
          </w:pPr>
          <w:hyperlink w:anchor="_Toc212158431" w:history="1">
            <w:r w:rsidRPr="00FF6A68">
              <w:rPr>
                <w:rStyle w:val="Hyperlink"/>
                <w:rFonts w:ascii="Arial" w:hAnsi="Arial" w:cs="Arial"/>
                <w:noProof/>
              </w:rPr>
              <w:t>ii) Chosen Areas</w:t>
            </w:r>
            <w:r w:rsidRPr="00FF6A68">
              <w:rPr>
                <w:rFonts w:ascii="Arial" w:hAnsi="Arial" w:cs="Arial"/>
                <w:noProof/>
                <w:webHidden/>
              </w:rPr>
              <w:tab/>
            </w:r>
            <w:r w:rsidRPr="00FF6A68">
              <w:rPr>
                <w:rFonts w:ascii="Arial" w:hAnsi="Arial" w:cs="Arial"/>
                <w:noProof/>
                <w:webHidden/>
              </w:rPr>
              <w:fldChar w:fldCharType="begin"/>
            </w:r>
            <w:r w:rsidRPr="00FF6A68">
              <w:rPr>
                <w:rFonts w:ascii="Arial" w:hAnsi="Arial" w:cs="Arial"/>
                <w:noProof/>
                <w:webHidden/>
              </w:rPr>
              <w:instrText xml:space="preserve"> PAGEREF _Toc212158431 \h </w:instrText>
            </w:r>
            <w:r w:rsidRPr="00FF6A68">
              <w:rPr>
                <w:rFonts w:ascii="Arial" w:hAnsi="Arial" w:cs="Arial"/>
                <w:noProof/>
                <w:webHidden/>
              </w:rPr>
            </w:r>
            <w:r w:rsidRPr="00FF6A68">
              <w:rPr>
                <w:rFonts w:ascii="Arial" w:hAnsi="Arial" w:cs="Arial"/>
                <w:noProof/>
                <w:webHidden/>
              </w:rPr>
              <w:fldChar w:fldCharType="separate"/>
            </w:r>
            <w:r w:rsidRPr="00FF6A68">
              <w:rPr>
                <w:rFonts w:ascii="Arial" w:hAnsi="Arial" w:cs="Arial"/>
                <w:noProof/>
                <w:webHidden/>
              </w:rPr>
              <w:t>4</w:t>
            </w:r>
            <w:r w:rsidRPr="00FF6A68">
              <w:rPr>
                <w:rFonts w:ascii="Arial" w:hAnsi="Arial" w:cs="Arial"/>
                <w:noProof/>
                <w:webHidden/>
              </w:rPr>
              <w:fldChar w:fldCharType="end"/>
            </w:r>
          </w:hyperlink>
        </w:p>
        <w:p w:rsidR="00FF6A68" w:rsidRPr="00FF6A68" w:rsidRDefault="00FF6A68" w:rsidP="00FF6A68">
          <w:pPr>
            <w:pStyle w:val="TOC1"/>
            <w:tabs>
              <w:tab w:val="right" w:leader="dot" w:pos="9350"/>
            </w:tabs>
            <w:spacing w:line="360" w:lineRule="auto"/>
            <w:rPr>
              <w:rFonts w:ascii="Arial" w:eastAsiaTheme="minorEastAsia" w:hAnsi="Arial" w:cs="Arial"/>
              <w:noProof/>
            </w:rPr>
          </w:pPr>
          <w:hyperlink w:anchor="_Toc212158432" w:history="1">
            <w:r w:rsidRPr="00FF6A68">
              <w:rPr>
                <w:rStyle w:val="Hyperlink"/>
                <w:rFonts w:ascii="Arial" w:hAnsi="Arial" w:cs="Arial"/>
                <w:noProof/>
              </w:rPr>
              <w:t>Sector 1: Labor Force</w:t>
            </w:r>
            <w:r w:rsidRPr="00FF6A68">
              <w:rPr>
                <w:rFonts w:ascii="Arial" w:hAnsi="Arial" w:cs="Arial"/>
                <w:noProof/>
                <w:webHidden/>
              </w:rPr>
              <w:tab/>
            </w:r>
            <w:r w:rsidRPr="00FF6A68">
              <w:rPr>
                <w:rFonts w:ascii="Arial" w:hAnsi="Arial" w:cs="Arial"/>
                <w:noProof/>
                <w:webHidden/>
              </w:rPr>
              <w:fldChar w:fldCharType="begin"/>
            </w:r>
            <w:r w:rsidRPr="00FF6A68">
              <w:rPr>
                <w:rFonts w:ascii="Arial" w:hAnsi="Arial" w:cs="Arial"/>
                <w:noProof/>
                <w:webHidden/>
              </w:rPr>
              <w:instrText xml:space="preserve"> PAGEREF _Toc212158432 \h </w:instrText>
            </w:r>
            <w:r w:rsidRPr="00FF6A68">
              <w:rPr>
                <w:rFonts w:ascii="Arial" w:hAnsi="Arial" w:cs="Arial"/>
                <w:noProof/>
                <w:webHidden/>
              </w:rPr>
            </w:r>
            <w:r w:rsidRPr="00FF6A68">
              <w:rPr>
                <w:rFonts w:ascii="Arial" w:hAnsi="Arial" w:cs="Arial"/>
                <w:noProof/>
                <w:webHidden/>
              </w:rPr>
              <w:fldChar w:fldCharType="separate"/>
            </w:r>
            <w:r w:rsidRPr="00FF6A68">
              <w:rPr>
                <w:rFonts w:ascii="Arial" w:hAnsi="Arial" w:cs="Arial"/>
                <w:noProof/>
                <w:webHidden/>
              </w:rPr>
              <w:t>4</w:t>
            </w:r>
            <w:r w:rsidRPr="00FF6A68">
              <w:rPr>
                <w:rFonts w:ascii="Arial" w:hAnsi="Arial" w:cs="Arial"/>
                <w:noProof/>
                <w:webHidden/>
              </w:rPr>
              <w:fldChar w:fldCharType="end"/>
            </w:r>
          </w:hyperlink>
        </w:p>
        <w:p w:rsidR="00FF6A68" w:rsidRPr="00FF6A68" w:rsidRDefault="00FF6A68" w:rsidP="00FF6A68">
          <w:pPr>
            <w:pStyle w:val="TOC1"/>
            <w:tabs>
              <w:tab w:val="right" w:leader="dot" w:pos="9350"/>
            </w:tabs>
            <w:spacing w:line="360" w:lineRule="auto"/>
            <w:rPr>
              <w:rFonts w:ascii="Arial" w:eastAsiaTheme="minorEastAsia" w:hAnsi="Arial" w:cs="Arial"/>
              <w:noProof/>
            </w:rPr>
          </w:pPr>
          <w:hyperlink w:anchor="_Toc212158433" w:history="1">
            <w:r w:rsidRPr="00FF6A68">
              <w:rPr>
                <w:rStyle w:val="Hyperlink"/>
                <w:rFonts w:ascii="Arial" w:hAnsi="Arial" w:cs="Arial"/>
                <w:noProof/>
              </w:rPr>
              <w:t>Competencies in Skills, Training, and Role</w:t>
            </w:r>
            <w:r w:rsidRPr="00FF6A68">
              <w:rPr>
                <w:rFonts w:ascii="Arial" w:hAnsi="Arial" w:cs="Arial"/>
                <w:noProof/>
                <w:webHidden/>
              </w:rPr>
              <w:tab/>
            </w:r>
            <w:r w:rsidRPr="00FF6A68">
              <w:rPr>
                <w:rFonts w:ascii="Arial" w:hAnsi="Arial" w:cs="Arial"/>
                <w:noProof/>
                <w:webHidden/>
              </w:rPr>
              <w:fldChar w:fldCharType="begin"/>
            </w:r>
            <w:r w:rsidRPr="00FF6A68">
              <w:rPr>
                <w:rFonts w:ascii="Arial" w:hAnsi="Arial" w:cs="Arial"/>
                <w:noProof/>
                <w:webHidden/>
              </w:rPr>
              <w:instrText xml:space="preserve"> PAGEREF _Toc212158433 \h </w:instrText>
            </w:r>
            <w:r w:rsidRPr="00FF6A68">
              <w:rPr>
                <w:rFonts w:ascii="Arial" w:hAnsi="Arial" w:cs="Arial"/>
                <w:noProof/>
                <w:webHidden/>
              </w:rPr>
            </w:r>
            <w:r w:rsidRPr="00FF6A68">
              <w:rPr>
                <w:rFonts w:ascii="Arial" w:hAnsi="Arial" w:cs="Arial"/>
                <w:noProof/>
                <w:webHidden/>
              </w:rPr>
              <w:fldChar w:fldCharType="separate"/>
            </w:r>
            <w:r w:rsidRPr="00FF6A68">
              <w:rPr>
                <w:rFonts w:ascii="Arial" w:hAnsi="Arial" w:cs="Arial"/>
                <w:noProof/>
                <w:webHidden/>
              </w:rPr>
              <w:t>5</w:t>
            </w:r>
            <w:r w:rsidRPr="00FF6A68">
              <w:rPr>
                <w:rFonts w:ascii="Arial" w:hAnsi="Arial" w:cs="Arial"/>
                <w:noProof/>
                <w:webHidden/>
              </w:rPr>
              <w:fldChar w:fldCharType="end"/>
            </w:r>
          </w:hyperlink>
        </w:p>
        <w:p w:rsidR="00FF6A68" w:rsidRPr="00FF6A68" w:rsidRDefault="00FF6A68" w:rsidP="00FF6A68">
          <w:pPr>
            <w:pStyle w:val="TOC1"/>
            <w:tabs>
              <w:tab w:val="right" w:leader="dot" w:pos="9350"/>
            </w:tabs>
            <w:spacing w:line="360" w:lineRule="auto"/>
            <w:rPr>
              <w:rFonts w:ascii="Arial" w:eastAsiaTheme="minorEastAsia" w:hAnsi="Arial" w:cs="Arial"/>
              <w:noProof/>
            </w:rPr>
          </w:pPr>
          <w:hyperlink w:anchor="_Toc212158434" w:history="1">
            <w:r w:rsidRPr="00FF6A68">
              <w:rPr>
                <w:rStyle w:val="Hyperlink"/>
                <w:rFonts w:ascii="Arial" w:hAnsi="Arial" w:cs="Arial"/>
                <w:noProof/>
              </w:rPr>
              <w:t>Advantages and Obstacles</w:t>
            </w:r>
            <w:r w:rsidRPr="00FF6A68">
              <w:rPr>
                <w:rFonts w:ascii="Arial" w:hAnsi="Arial" w:cs="Arial"/>
                <w:noProof/>
                <w:webHidden/>
              </w:rPr>
              <w:tab/>
            </w:r>
            <w:r w:rsidRPr="00FF6A68">
              <w:rPr>
                <w:rFonts w:ascii="Arial" w:hAnsi="Arial" w:cs="Arial"/>
                <w:noProof/>
                <w:webHidden/>
              </w:rPr>
              <w:fldChar w:fldCharType="begin"/>
            </w:r>
            <w:r w:rsidRPr="00FF6A68">
              <w:rPr>
                <w:rFonts w:ascii="Arial" w:hAnsi="Arial" w:cs="Arial"/>
                <w:noProof/>
                <w:webHidden/>
              </w:rPr>
              <w:instrText xml:space="preserve"> PAGEREF _Toc212158434 \h </w:instrText>
            </w:r>
            <w:r w:rsidRPr="00FF6A68">
              <w:rPr>
                <w:rFonts w:ascii="Arial" w:hAnsi="Arial" w:cs="Arial"/>
                <w:noProof/>
                <w:webHidden/>
              </w:rPr>
            </w:r>
            <w:r w:rsidRPr="00FF6A68">
              <w:rPr>
                <w:rFonts w:ascii="Arial" w:hAnsi="Arial" w:cs="Arial"/>
                <w:noProof/>
                <w:webHidden/>
              </w:rPr>
              <w:fldChar w:fldCharType="separate"/>
            </w:r>
            <w:r w:rsidRPr="00FF6A68">
              <w:rPr>
                <w:rFonts w:ascii="Arial" w:hAnsi="Arial" w:cs="Arial"/>
                <w:noProof/>
                <w:webHidden/>
              </w:rPr>
              <w:t>6</w:t>
            </w:r>
            <w:r w:rsidRPr="00FF6A68">
              <w:rPr>
                <w:rFonts w:ascii="Arial" w:hAnsi="Arial" w:cs="Arial"/>
                <w:noProof/>
                <w:webHidden/>
              </w:rPr>
              <w:fldChar w:fldCharType="end"/>
            </w:r>
          </w:hyperlink>
        </w:p>
        <w:p w:rsidR="00FF6A68" w:rsidRPr="00FF6A68" w:rsidRDefault="00FF6A68" w:rsidP="00FF6A68">
          <w:pPr>
            <w:pStyle w:val="TOC1"/>
            <w:tabs>
              <w:tab w:val="right" w:leader="dot" w:pos="9350"/>
            </w:tabs>
            <w:spacing w:line="360" w:lineRule="auto"/>
            <w:rPr>
              <w:rFonts w:ascii="Arial" w:eastAsiaTheme="minorEastAsia" w:hAnsi="Arial" w:cs="Arial"/>
              <w:noProof/>
            </w:rPr>
          </w:pPr>
          <w:hyperlink w:anchor="_Toc212158435" w:history="1">
            <w:r w:rsidRPr="00FF6A68">
              <w:rPr>
                <w:rStyle w:val="Hyperlink"/>
                <w:rFonts w:ascii="Arial" w:hAnsi="Arial" w:cs="Arial"/>
                <w:noProof/>
              </w:rPr>
              <w:t>Domain 2: Patient/Service User</w:t>
            </w:r>
            <w:r w:rsidRPr="00FF6A68">
              <w:rPr>
                <w:rFonts w:ascii="Arial" w:hAnsi="Arial" w:cs="Arial"/>
                <w:noProof/>
                <w:webHidden/>
              </w:rPr>
              <w:tab/>
            </w:r>
            <w:r w:rsidRPr="00FF6A68">
              <w:rPr>
                <w:rFonts w:ascii="Arial" w:hAnsi="Arial" w:cs="Arial"/>
                <w:noProof/>
                <w:webHidden/>
              </w:rPr>
              <w:fldChar w:fldCharType="begin"/>
            </w:r>
            <w:r w:rsidRPr="00FF6A68">
              <w:rPr>
                <w:rFonts w:ascii="Arial" w:hAnsi="Arial" w:cs="Arial"/>
                <w:noProof/>
                <w:webHidden/>
              </w:rPr>
              <w:instrText xml:space="preserve"> PAGEREF _Toc212158435 \h </w:instrText>
            </w:r>
            <w:r w:rsidRPr="00FF6A68">
              <w:rPr>
                <w:rFonts w:ascii="Arial" w:hAnsi="Arial" w:cs="Arial"/>
                <w:noProof/>
                <w:webHidden/>
              </w:rPr>
            </w:r>
            <w:r w:rsidRPr="00FF6A68">
              <w:rPr>
                <w:rFonts w:ascii="Arial" w:hAnsi="Arial" w:cs="Arial"/>
                <w:noProof/>
                <w:webHidden/>
              </w:rPr>
              <w:fldChar w:fldCharType="separate"/>
            </w:r>
            <w:r w:rsidRPr="00FF6A68">
              <w:rPr>
                <w:rFonts w:ascii="Arial" w:hAnsi="Arial" w:cs="Arial"/>
                <w:noProof/>
                <w:webHidden/>
              </w:rPr>
              <w:t>7</w:t>
            </w:r>
            <w:r w:rsidRPr="00FF6A68">
              <w:rPr>
                <w:rFonts w:ascii="Arial" w:hAnsi="Arial" w:cs="Arial"/>
                <w:noProof/>
                <w:webHidden/>
              </w:rPr>
              <w:fldChar w:fldCharType="end"/>
            </w:r>
          </w:hyperlink>
        </w:p>
        <w:p w:rsidR="00FF6A68" w:rsidRPr="00FF6A68" w:rsidRDefault="00FF6A68" w:rsidP="00FF6A68">
          <w:pPr>
            <w:pStyle w:val="TOC1"/>
            <w:tabs>
              <w:tab w:val="right" w:leader="dot" w:pos="9350"/>
            </w:tabs>
            <w:spacing w:line="360" w:lineRule="auto"/>
            <w:rPr>
              <w:rFonts w:ascii="Arial" w:eastAsiaTheme="minorEastAsia" w:hAnsi="Arial" w:cs="Arial"/>
              <w:noProof/>
            </w:rPr>
          </w:pPr>
          <w:hyperlink w:anchor="_Toc212158436" w:history="1">
            <w:r w:rsidRPr="00FF6A68">
              <w:rPr>
                <w:rStyle w:val="Hyperlink"/>
                <w:rFonts w:ascii="Arial" w:hAnsi="Arial" w:cs="Arial"/>
                <w:noProof/>
              </w:rPr>
              <w:t>Conclusions and Recommendations</w:t>
            </w:r>
            <w:r w:rsidRPr="00FF6A68">
              <w:rPr>
                <w:rFonts w:ascii="Arial" w:hAnsi="Arial" w:cs="Arial"/>
                <w:noProof/>
                <w:webHidden/>
              </w:rPr>
              <w:tab/>
            </w:r>
            <w:r w:rsidRPr="00FF6A68">
              <w:rPr>
                <w:rFonts w:ascii="Arial" w:hAnsi="Arial" w:cs="Arial"/>
                <w:noProof/>
                <w:webHidden/>
              </w:rPr>
              <w:fldChar w:fldCharType="begin"/>
            </w:r>
            <w:r w:rsidRPr="00FF6A68">
              <w:rPr>
                <w:rFonts w:ascii="Arial" w:hAnsi="Arial" w:cs="Arial"/>
                <w:noProof/>
                <w:webHidden/>
              </w:rPr>
              <w:instrText xml:space="preserve"> PAGEREF _Toc212158436 \h </w:instrText>
            </w:r>
            <w:r w:rsidRPr="00FF6A68">
              <w:rPr>
                <w:rFonts w:ascii="Arial" w:hAnsi="Arial" w:cs="Arial"/>
                <w:noProof/>
                <w:webHidden/>
              </w:rPr>
            </w:r>
            <w:r w:rsidRPr="00FF6A68">
              <w:rPr>
                <w:rFonts w:ascii="Arial" w:hAnsi="Arial" w:cs="Arial"/>
                <w:noProof/>
                <w:webHidden/>
              </w:rPr>
              <w:fldChar w:fldCharType="separate"/>
            </w:r>
            <w:r w:rsidRPr="00FF6A68">
              <w:rPr>
                <w:rFonts w:ascii="Arial" w:hAnsi="Arial" w:cs="Arial"/>
                <w:noProof/>
                <w:webHidden/>
              </w:rPr>
              <w:t>9</w:t>
            </w:r>
            <w:r w:rsidRPr="00FF6A68">
              <w:rPr>
                <w:rFonts w:ascii="Arial" w:hAnsi="Arial" w:cs="Arial"/>
                <w:noProof/>
                <w:webHidden/>
              </w:rPr>
              <w:fldChar w:fldCharType="end"/>
            </w:r>
          </w:hyperlink>
        </w:p>
        <w:p w:rsidR="00FF6A68" w:rsidRPr="00FF6A68" w:rsidRDefault="00FF6A68" w:rsidP="00FF6A68">
          <w:pPr>
            <w:pStyle w:val="TOC1"/>
            <w:tabs>
              <w:tab w:val="right" w:leader="dot" w:pos="9350"/>
            </w:tabs>
            <w:spacing w:line="360" w:lineRule="auto"/>
            <w:rPr>
              <w:rFonts w:ascii="Arial" w:eastAsiaTheme="minorEastAsia" w:hAnsi="Arial" w:cs="Arial"/>
              <w:noProof/>
            </w:rPr>
          </w:pPr>
          <w:hyperlink w:anchor="_Toc212158437" w:history="1">
            <w:r w:rsidRPr="00FF6A68">
              <w:rPr>
                <w:rStyle w:val="Hyperlink"/>
                <w:rFonts w:ascii="Arial" w:hAnsi="Arial" w:cs="Arial"/>
                <w:noProof/>
                <w:shd w:val="clear" w:color="auto" w:fill="FFFFFF"/>
              </w:rPr>
              <w:t>References</w:t>
            </w:r>
            <w:r w:rsidRPr="00FF6A68">
              <w:rPr>
                <w:rFonts w:ascii="Arial" w:hAnsi="Arial" w:cs="Arial"/>
                <w:noProof/>
                <w:webHidden/>
              </w:rPr>
              <w:tab/>
            </w:r>
            <w:r w:rsidRPr="00FF6A68">
              <w:rPr>
                <w:rFonts w:ascii="Arial" w:hAnsi="Arial" w:cs="Arial"/>
                <w:noProof/>
                <w:webHidden/>
              </w:rPr>
              <w:fldChar w:fldCharType="begin"/>
            </w:r>
            <w:r w:rsidRPr="00FF6A68">
              <w:rPr>
                <w:rFonts w:ascii="Arial" w:hAnsi="Arial" w:cs="Arial"/>
                <w:noProof/>
                <w:webHidden/>
              </w:rPr>
              <w:instrText xml:space="preserve"> PAGEREF _Toc212158437 \h </w:instrText>
            </w:r>
            <w:r w:rsidRPr="00FF6A68">
              <w:rPr>
                <w:rFonts w:ascii="Arial" w:hAnsi="Arial" w:cs="Arial"/>
                <w:noProof/>
                <w:webHidden/>
              </w:rPr>
            </w:r>
            <w:r w:rsidRPr="00FF6A68">
              <w:rPr>
                <w:rFonts w:ascii="Arial" w:hAnsi="Arial" w:cs="Arial"/>
                <w:noProof/>
                <w:webHidden/>
              </w:rPr>
              <w:fldChar w:fldCharType="separate"/>
            </w:r>
            <w:r w:rsidRPr="00FF6A68">
              <w:rPr>
                <w:rFonts w:ascii="Arial" w:hAnsi="Arial" w:cs="Arial"/>
                <w:noProof/>
                <w:webHidden/>
              </w:rPr>
              <w:t>10</w:t>
            </w:r>
            <w:r w:rsidRPr="00FF6A68">
              <w:rPr>
                <w:rFonts w:ascii="Arial" w:hAnsi="Arial" w:cs="Arial"/>
                <w:noProof/>
                <w:webHidden/>
              </w:rPr>
              <w:fldChar w:fldCharType="end"/>
            </w:r>
          </w:hyperlink>
        </w:p>
        <w:p w:rsidR="002A1035" w:rsidRPr="00FF6A68" w:rsidRDefault="002A1035" w:rsidP="00FF6A68">
          <w:pPr>
            <w:spacing w:line="360" w:lineRule="auto"/>
            <w:rPr>
              <w:rFonts w:ascii="Arial" w:hAnsi="Arial" w:cs="Arial"/>
            </w:rPr>
          </w:pPr>
          <w:r w:rsidRPr="00FF6A68">
            <w:rPr>
              <w:rFonts w:ascii="Arial" w:hAnsi="Arial" w:cs="Arial"/>
              <w:b/>
              <w:bCs/>
              <w:noProof/>
            </w:rPr>
            <w:fldChar w:fldCharType="end"/>
          </w:r>
        </w:p>
      </w:sdtContent>
    </w:sdt>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pStyle w:val="Heading1"/>
        <w:spacing w:line="360" w:lineRule="auto"/>
        <w:rPr>
          <w:rStyle w:val="Strong"/>
          <w:rFonts w:ascii="Arial" w:hAnsi="Arial" w:cs="Arial"/>
          <w:b w:val="0"/>
          <w:bCs w:val="0"/>
          <w:sz w:val="22"/>
          <w:szCs w:val="22"/>
        </w:rPr>
      </w:pPr>
      <w:bookmarkStart w:id="0" w:name="_Toc212158430"/>
      <w:r w:rsidRPr="00FF6A68">
        <w:rPr>
          <w:rStyle w:val="Strong"/>
          <w:rFonts w:ascii="Arial" w:hAnsi="Arial" w:cs="Arial"/>
          <w:b w:val="0"/>
          <w:bCs w:val="0"/>
          <w:sz w:val="22"/>
          <w:szCs w:val="22"/>
        </w:rPr>
        <w:lastRenderedPageBreak/>
        <w:t>Introduction</w:t>
      </w:r>
      <w:bookmarkEnd w:id="0"/>
    </w:p>
    <w:p w:rsidR="002A1035" w:rsidRPr="00FF6A68" w:rsidRDefault="002A1035" w:rsidP="00FF6A68">
      <w:pPr>
        <w:spacing w:line="360" w:lineRule="auto"/>
        <w:rPr>
          <w:rFonts w:ascii="Arial" w:hAnsi="Arial" w:cs="Arial"/>
        </w:rPr>
      </w:pPr>
    </w:p>
    <w:p w:rsidR="00672E66" w:rsidRPr="00672E66" w:rsidRDefault="00672E66" w:rsidP="00FF6A68">
      <w:pPr>
        <w:spacing w:after="0" w:line="360" w:lineRule="auto"/>
        <w:rPr>
          <w:rFonts w:ascii="Arial" w:eastAsia="Times New Roman" w:hAnsi="Arial" w:cs="Arial"/>
        </w:rPr>
      </w:pPr>
      <w:r w:rsidRPr="00672E66">
        <w:rPr>
          <w:rFonts w:ascii="Arial" w:eastAsia="Times New Roman" w:hAnsi="Arial" w:cs="Arial"/>
        </w:rPr>
        <w:t>Remote Patient Monitoring (RPM) is a contemporary digital healthcare methodology that use technology—such as wearable devices, mobile applications, and internet data systems—to monitor a patient's health in a home setting rather than at a hospital or clinic. In the last decade, RPM has gained significant popularity due to its transformative impact on care delivery. Healthcare workers may now continually monitor patients' health and intervene promptly when issues arise, rather of waiting for patients to become ill and seek medical attention (Fatehi et al., 2020).</w:t>
      </w:r>
      <w:r w:rsidRPr="00672E66">
        <w:rPr>
          <w:rFonts w:ascii="Arial" w:eastAsia="Times New Roman" w:hAnsi="Arial" w:cs="Arial"/>
        </w:rPr>
        <w:br/>
      </w:r>
      <w:r w:rsidRPr="00672E66">
        <w:rPr>
          <w:rFonts w:ascii="Arial" w:eastAsia="Times New Roman" w:hAnsi="Arial" w:cs="Arial"/>
        </w:rPr>
        <w:br/>
        <w:t>This innovation is crucial as it alleviates the burden on healthcare systems, enhances the health of individuals with chronic diseases, and empowers patients to assume a more proactive role in controlling their own wellness. In the UK, this is particularly pertinent since the National Health Service (NHS) faces escalating strain from an ageing demographic and a rising prevalence of chronic illnesses (NHS England, 2019).</w:t>
      </w:r>
      <w:r w:rsidRPr="00672E66">
        <w:rPr>
          <w:rFonts w:ascii="Arial" w:eastAsia="Times New Roman" w:hAnsi="Arial" w:cs="Arial"/>
        </w:rPr>
        <w:br/>
      </w:r>
      <w:r w:rsidRPr="00672E66">
        <w:rPr>
          <w:rFonts w:ascii="Arial" w:eastAsia="Times New Roman" w:hAnsi="Arial" w:cs="Arial"/>
        </w:rPr>
        <w:br/>
        <w:t>This paper will examine the impact of RPM on two primary domains:</w:t>
      </w:r>
      <w:r w:rsidRPr="00672E66">
        <w:rPr>
          <w:rFonts w:ascii="Arial" w:eastAsia="Times New Roman" w:hAnsi="Arial" w:cs="Arial"/>
        </w:rPr>
        <w:br/>
      </w:r>
      <w:r w:rsidRPr="00672E66">
        <w:rPr>
          <w:rFonts w:ascii="Arial" w:eastAsia="Times New Roman" w:hAnsi="Arial" w:cs="Arial"/>
        </w:rPr>
        <w:br/>
        <w:t>The health and social care workforce is analyzed by assessing the evolution of employment roles, responsibilities, and requisite skills.</w:t>
      </w:r>
      <w:r w:rsidRPr="00672E66">
        <w:rPr>
          <w:rFonts w:ascii="Arial" w:eastAsia="Times New Roman" w:hAnsi="Arial" w:cs="Arial"/>
        </w:rPr>
        <w:br/>
      </w:r>
      <w:r w:rsidRPr="00672E66">
        <w:rPr>
          <w:rFonts w:ascii="Arial" w:eastAsia="Times New Roman" w:hAnsi="Arial" w:cs="Arial"/>
        </w:rPr>
        <w:br/>
        <w:t>Patients and service users examine how Remote Patient Monitoring (RPM) enhances access to care and treatment quality, while also addressing obstacles such as digital literacy, technological accessibility, and equity in healthcare provision.</w:t>
      </w:r>
    </w:p>
    <w:p w:rsidR="00672E66" w:rsidRPr="00FF6A68" w:rsidRDefault="00672E66" w:rsidP="00FF6A68">
      <w:pPr>
        <w:pStyle w:val="Heading1"/>
        <w:spacing w:line="360" w:lineRule="auto"/>
        <w:rPr>
          <w:rFonts w:ascii="Arial" w:hAnsi="Arial" w:cs="Arial"/>
          <w:sz w:val="22"/>
          <w:szCs w:val="22"/>
        </w:rPr>
      </w:pPr>
      <w:bookmarkStart w:id="1" w:name="_Toc212158431"/>
      <w:r w:rsidRPr="00FF6A68">
        <w:rPr>
          <w:rStyle w:val="Strong"/>
          <w:rFonts w:ascii="Arial" w:hAnsi="Arial" w:cs="Arial"/>
          <w:b w:val="0"/>
          <w:bCs w:val="0"/>
          <w:sz w:val="22"/>
          <w:szCs w:val="22"/>
        </w:rPr>
        <w:t>ii) Chosen Areas</w:t>
      </w:r>
      <w:bookmarkEnd w:id="1"/>
    </w:p>
    <w:p w:rsidR="00672E66" w:rsidRPr="00FF6A68" w:rsidRDefault="001E2765" w:rsidP="00FF6A68">
      <w:pPr>
        <w:spacing w:line="360" w:lineRule="auto"/>
        <w:rPr>
          <w:rFonts w:ascii="Arial" w:hAnsi="Arial" w:cs="Arial"/>
          <w:color w:val="0F1115"/>
          <w:shd w:val="clear" w:color="auto" w:fill="FFFFFF"/>
        </w:rPr>
      </w:pPr>
      <w:r w:rsidRPr="00FF6A68">
        <w:rPr>
          <w:rFonts w:ascii="Arial" w:hAnsi="Arial" w:cs="Arial"/>
          <w:color w:val="0F1115"/>
          <w:shd w:val="clear" w:color="auto" w:fill="FFFFFF"/>
        </w:rPr>
        <w:t>This section will analyse two chosen areas: </w:t>
      </w:r>
      <w:r w:rsidRPr="00FF6A68">
        <w:rPr>
          <w:rStyle w:val="Strong"/>
          <w:rFonts w:ascii="Arial" w:hAnsi="Arial" w:cs="Arial"/>
          <w:color w:val="0F1115"/>
          <w:shd w:val="clear" w:color="auto" w:fill="FFFFFF"/>
        </w:rPr>
        <w:t>Workforce</w:t>
      </w:r>
      <w:r w:rsidRPr="00FF6A68">
        <w:rPr>
          <w:rFonts w:ascii="Arial" w:hAnsi="Arial" w:cs="Arial"/>
          <w:color w:val="0F1115"/>
          <w:shd w:val="clear" w:color="auto" w:fill="FFFFFF"/>
        </w:rPr>
        <w:t> and </w:t>
      </w:r>
      <w:r w:rsidRPr="00FF6A68">
        <w:rPr>
          <w:rStyle w:val="Strong"/>
          <w:rFonts w:ascii="Arial" w:hAnsi="Arial" w:cs="Arial"/>
          <w:color w:val="0F1115"/>
          <w:shd w:val="clear" w:color="auto" w:fill="FFFFFF"/>
        </w:rPr>
        <w:t>Patient/Service User</w:t>
      </w:r>
      <w:r w:rsidRPr="00FF6A68">
        <w:rPr>
          <w:rFonts w:ascii="Arial" w:hAnsi="Arial" w:cs="Arial"/>
          <w:color w:val="0F1115"/>
          <w:shd w:val="clear" w:color="auto" w:fill="FFFFFF"/>
        </w:rPr>
        <w:t>.</w:t>
      </w:r>
    </w:p>
    <w:p w:rsidR="00672E66" w:rsidRPr="00FF6A68" w:rsidRDefault="00672E66" w:rsidP="00FF6A68">
      <w:pPr>
        <w:spacing w:line="360" w:lineRule="auto"/>
        <w:rPr>
          <w:rFonts w:ascii="Arial" w:hAnsi="Arial" w:cs="Arial"/>
          <w:color w:val="0F1115"/>
          <w:shd w:val="clear" w:color="auto" w:fill="FFFFFF"/>
        </w:rPr>
      </w:pPr>
    </w:p>
    <w:p w:rsidR="00FF6A68" w:rsidRPr="00FF6A68" w:rsidRDefault="001E2765" w:rsidP="00FF6A68">
      <w:pPr>
        <w:spacing w:line="360" w:lineRule="auto"/>
        <w:rPr>
          <w:rFonts w:ascii="Arial" w:eastAsia="Times New Roman" w:hAnsi="Arial" w:cs="Arial"/>
        </w:rPr>
      </w:pPr>
      <w:bookmarkStart w:id="2" w:name="_Toc212158432"/>
      <w:r w:rsidRPr="00FF6A68">
        <w:rPr>
          <w:rStyle w:val="Heading1Char"/>
          <w:rFonts w:ascii="Arial" w:hAnsi="Arial" w:cs="Arial"/>
          <w:sz w:val="22"/>
          <w:szCs w:val="22"/>
        </w:rPr>
        <w:t>Sector 1: Labor Force</w:t>
      </w:r>
      <w:bookmarkEnd w:id="2"/>
      <w:r w:rsidRPr="001E2765">
        <w:rPr>
          <w:rFonts w:ascii="Arial" w:eastAsia="Times New Roman" w:hAnsi="Arial" w:cs="Arial"/>
        </w:rPr>
        <w:br/>
      </w:r>
      <w:r w:rsidRPr="001E2765">
        <w:rPr>
          <w:rFonts w:ascii="Arial" w:eastAsia="Times New Roman" w:hAnsi="Arial" w:cs="Arial"/>
        </w:rPr>
        <w:br/>
      </w:r>
      <w:r w:rsidR="00FF6A68" w:rsidRPr="00FF6A68">
        <w:rPr>
          <w:rFonts w:ascii="Arial" w:eastAsia="Times New Roman" w:hAnsi="Arial" w:cs="Arial"/>
        </w:rPr>
        <w:t xml:space="preserve">The implementation of Remote Patient Monitoring (RPM) has instigated a significant and structural change in the healthcare workforce, radically altering operational methods, professional responsibilities, and the capabilities necessary for efficient care delivery. This </w:t>
      </w:r>
      <w:r w:rsidR="00FF6A68" w:rsidRPr="00FF6A68">
        <w:rPr>
          <w:rFonts w:ascii="Arial" w:eastAsia="Times New Roman" w:hAnsi="Arial" w:cs="Arial"/>
        </w:rPr>
        <w:lastRenderedPageBreak/>
        <w:t xml:space="preserve">transition transcends simple technical integration, signifying a fundamental shift from a reactive, intermittent care style to a proactive, continuous, and data-driven approach. Historically, the functions of community nurses, General Practitioners (GPs), and specialists were based on direct, in-person patient interaction, with clinical evaluations—such as vital sign measurements and routine follow-ups—restricted to clinical environments. RPM has profoundly transformed this strategy by allowing a substantial amount of clinical monitoring to take place electronically. The professional emphasis has therefore transitioned from conducting manual observations to the advanced analysis of continuous, patient-generated health data streams automatically sent from home settings. </w:t>
      </w:r>
      <w:r w:rsidR="00FF6A68" w:rsidRPr="00FF6A68">
        <w:rPr>
          <w:rFonts w:ascii="Arial" w:eastAsia="Times New Roman" w:hAnsi="Arial" w:cs="Arial"/>
        </w:rPr>
        <w:br/>
      </w:r>
      <w:r w:rsidR="00FF6A68" w:rsidRPr="00FF6A68">
        <w:rPr>
          <w:rFonts w:ascii="Arial" w:eastAsia="Times New Roman" w:hAnsi="Arial" w:cs="Arial"/>
        </w:rPr>
        <w:br/>
        <w:t xml:space="preserve">This progress has led to two significant changes in employment organization. Firstly, it has required the enhancement of skills and redefinition of current clinical roles. Community nurses and general practitioners are now mandated to triage and react to real-time data about metrics such as blood pressure, heart rate, and oxygen saturation, synthesizing this digital information with their comprehensive clinical knowledge of the patient. Secondly, and more importantly, it has fostered specialization and the establishment of innovative jobs within the NHS ecosystem. Roles like "digital nurses" and "clinical analysts" have arisen, focused on managing population-level patient dashboards, analyzing longitudinal data to detect subtle deterioration patterns, and prioritizing alerts for clinical intervention (Greenhalgh et al., 2017). This signifies a structured allocation of responsibilities in data administration, facilitating a more effective utilization of advanced clinical skills. </w:t>
      </w:r>
      <w:r w:rsidR="00FF6A68" w:rsidRPr="00FF6A68">
        <w:rPr>
          <w:rFonts w:ascii="Arial" w:eastAsia="Times New Roman" w:hAnsi="Arial" w:cs="Arial"/>
        </w:rPr>
        <w:br/>
      </w:r>
      <w:r w:rsidR="00FF6A68" w:rsidRPr="00FF6A68">
        <w:rPr>
          <w:rFonts w:ascii="Arial" w:eastAsia="Times New Roman" w:hAnsi="Arial" w:cs="Arial"/>
        </w:rPr>
        <w:br/>
        <w:t xml:space="preserve">Simultaneously, the patient's position has transformed from a passive recipient of care to an active co-contributor of clinical data. This dynamic shift necessitates a comparable advancement in the competencies of healthcare personnel. In addition to technical data literacy, they must now have advanced skills in remote coaching and supportive communication to assist patients in the successful utilization of technology and the precise interpretation of their own data. Establishing and sustaining trust-based therapeutic partnerships today often transpires through virtual encounters, necessitating an increased level of empathy, clarity, and deliberate communication to offset the absence of physical presence. </w:t>
      </w:r>
      <w:r w:rsidR="00FF6A68" w:rsidRPr="00FF6A68">
        <w:rPr>
          <w:rFonts w:ascii="Arial" w:eastAsia="Times New Roman" w:hAnsi="Arial" w:cs="Arial"/>
        </w:rPr>
        <w:br/>
      </w:r>
      <w:r w:rsidR="00FF6A68" w:rsidRPr="00FF6A68">
        <w:rPr>
          <w:rFonts w:ascii="Arial" w:eastAsia="Times New Roman" w:hAnsi="Arial" w:cs="Arial"/>
        </w:rPr>
        <w:br/>
        <w:t xml:space="preserve">The influence of RPM on the labor force is not only a narrative of automation supplanting employment, but rather one of intricate role enhancement and intentional redistribution. Although many basic jobs have been mechanized, the necessity for sophisticated analytical, </w:t>
      </w:r>
      <w:r w:rsidR="00FF6A68" w:rsidRPr="00FF6A68">
        <w:rPr>
          <w:rFonts w:ascii="Arial" w:eastAsia="Times New Roman" w:hAnsi="Arial" w:cs="Arial"/>
        </w:rPr>
        <w:lastRenderedPageBreak/>
        <w:t>digital, and relational competencies has escalated, resulting in a more specialized and differentiated workforce. This transition is dependent on systematic investment in specialized training and change management to ensure the current workforce is prepared to excel in this new clinical environment, thus preserving both the quality of patient care and the professional viability of healthcare providers.</w:t>
      </w:r>
    </w:p>
    <w:p w:rsidR="00FF6A68" w:rsidRPr="00FF6A68" w:rsidRDefault="001E2765" w:rsidP="00FF6A68">
      <w:pPr>
        <w:spacing w:line="360" w:lineRule="auto"/>
        <w:rPr>
          <w:rFonts w:ascii="Arial" w:eastAsia="Times New Roman" w:hAnsi="Arial" w:cs="Arial"/>
        </w:rPr>
      </w:pPr>
      <w:r w:rsidRPr="001E2765">
        <w:rPr>
          <w:rFonts w:ascii="Arial" w:eastAsia="Times New Roman" w:hAnsi="Arial" w:cs="Arial"/>
        </w:rPr>
        <w:br/>
      </w:r>
      <w:r w:rsidRPr="00FF6A68">
        <w:rPr>
          <w:rStyle w:val="Heading2Char"/>
          <w:rFonts w:ascii="Arial" w:hAnsi="Arial" w:cs="Arial"/>
          <w:sz w:val="22"/>
          <w:szCs w:val="22"/>
        </w:rPr>
        <w:br/>
      </w:r>
      <w:bookmarkStart w:id="3" w:name="_Toc212158433"/>
      <w:r w:rsidRPr="00FF6A68">
        <w:rPr>
          <w:rStyle w:val="Heading1Char"/>
          <w:rFonts w:ascii="Arial" w:hAnsi="Arial" w:cs="Arial"/>
          <w:sz w:val="22"/>
          <w:szCs w:val="22"/>
        </w:rPr>
        <w:t>Competencies in Skills, Training, and Role</w:t>
      </w:r>
      <w:bookmarkEnd w:id="3"/>
      <w:r w:rsidRPr="001E2765">
        <w:rPr>
          <w:rFonts w:ascii="Arial" w:eastAsia="Times New Roman" w:hAnsi="Arial" w:cs="Arial"/>
        </w:rPr>
        <w:br/>
      </w:r>
      <w:r w:rsidRPr="001E2765">
        <w:rPr>
          <w:rFonts w:ascii="Arial" w:eastAsia="Times New Roman" w:hAnsi="Arial" w:cs="Arial"/>
        </w:rPr>
        <w:br/>
      </w:r>
      <w:r w:rsidR="0067306B" w:rsidRPr="00FF6A68">
        <w:rPr>
          <w:rFonts w:ascii="Arial" w:eastAsia="Times New Roman" w:hAnsi="Arial" w:cs="Arial"/>
        </w:rPr>
        <w:t>the</w:t>
      </w:r>
      <w:r w:rsidR="00FF6A68" w:rsidRPr="00FF6A68">
        <w:rPr>
          <w:rFonts w:ascii="Arial" w:eastAsia="Times New Roman" w:hAnsi="Arial" w:cs="Arial"/>
        </w:rPr>
        <w:t xml:space="preserve"> advancement of healthcare responsibilities via Remote Patient Monitoring (RPM) requires a significant enhancement of professional capabilities, extending beyond traditional clinical training. Digital literacy has evolved from a desired skill to a fundamental necessity, as practitioners must now adeptly handle a range of specialized platforms, applications, and monitoring systems crucial to patient care. This necessitates the cultivation of sophisticated data analyzing abilities beyond basic operational expertise. Clinicians must analyze intricate, continuous flows of patient-generated health data, a process that entails identifying subtle, clinically relevant trends within innocuous physiological fluctuations, frequently lacking the contextual insights afforded by direct physical examination. </w:t>
      </w:r>
      <w:r w:rsidR="00FF6A68" w:rsidRPr="00FF6A68">
        <w:rPr>
          <w:rFonts w:ascii="Arial" w:eastAsia="Times New Roman" w:hAnsi="Arial" w:cs="Arial"/>
        </w:rPr>
        <w:br/>
      </w:r>
      <w:r w:rsidR="00FF6A68" w:rsidRPr="00FF6A68">
        <w:rPr>
          <w:rFonts w:ascii="Arial" w:eastAsia="Times New Roman" w:hAnsi="Arial" w:cs="Arial"/>
        </w:rPr>
        <w:br/>
        <w:t xml:space="preserve">Moreover, the expansion of RPM has heightened the significance of distant communication as an essential therapeutic skill. Executing efficient consultations over telephone, video conferencing, or asynchronous digital messaging necessitates intentional tactics to build rapport, evaluate non-verbal signals in a constrained format, and guarantee patient understanding and safety beyond the conventional clinical environment. NHS Digital (2021) underscores that these technical and communication competencies are now as essential to safe and successful practice as practical clinical skills. </w:t>
      </w:r>
      <w:r w:rsidR="00FF6A68" w:rsidRPr="00FF6A68">
        <w:rPr>
          <w:rFonts w:ascii="Arial" w:eastAsia="Times New Roman" w:hAnsi="Arial" w:cs="Arial"/>
        </w:rPr>
        <w:br/>
      </w:r>
      <w:r w:rsidR="00FF6A68" w:rsidRPr="00FF6A68">
        <w:rPr>
          <w:rFonts w:ascii="Arial" w:eastAsia="Times New Roman" w:hAnsi="Arial" w:cs="Arial"/>
        </w:rPr>
        <w:br/>
        <w:t xml:space="preserve">However, a significant challenge lies in the inconsistent provision of training to develop these competencies. The King’s Fund (2020) emphasizes that a decentralized, frequently voluntary method of digital upskilling may exacerbate the digital gap inside the workforce. In the absence of standardized, compulsory training, a difference arises between technologically proficient 'super-users' and others who find it challenging to adapt. This disparity may result in occupational dissatisfaction, inconsistent care quality, and possible clinical mistakes. As a result, role competency in the digital era is redefined; it now extends beyond clinical expertise at </w:t>
      </w:r>
      <w:r w:rsidR="00FF6A68" w:rsidRPr="00FF6A68">
        <w:rPr>
          <w:rFonts w:ascii="Arial" w:eastAsia="Times New Roman" w:hAnsi="Arial" w:cs="Arial"/>
        </w:rPr>
        <w:lastRenderedPageBreak/>
        <w:t>the bedside to include the management of 'digital visibility'—the ability to make confident, safe, and ethical clinical judgments based on the analysis of virtual information, thus supplanting the conventional dependence on physical presence with a novel framework of data-mediated care.</w:t>
      </w:r>
    </w:p>
    <w:p w:rsidR="001E2765" w:rsidRPr="001E2765" w:rsidRDefault="001E2765" w:rsidP="00FF6A68">
      <w:pPr>
        <w:spacing w:line="360" w:lineRule="auto"/>
        <w:rPr>
          <w:rFonts w:ascii="Arial" w:eastAsia="Times New Roman" w:hAnsi="Arial" w:cs="Arial"/>
        </w:rPr>
      </w:pPr>
      <w:r w:rsidRPr="001E2765">
        <w:rPr>
          <w:rFonts w:ascii="Arial" w:eastAsia="Times New Roman" w:hAnsi="Arial" w:cs="Arial"/>
        </w:rPr>
        <w:br/>
      </w:r>
      <w:r w:rsidRPr="001E2765">
        <w:rPr>
          <w:rFonts w:ascii="Arial" w:eastAsia="Times New Roman" w:hAnsi="Arial" w:cs="Arial"/>
        </w:rPr>
        <w:br/>
      </w:r>
      <w:bookmarkStart w:id="4" w:name="_Toc212158434"/>
      <w:r w:rsidRPr="00FF6A68">
        <w:rPr>
          <w:rStyle w:val="Heading1Char"/>
          <w:rFonts w:ascii="Arial" w:hAnsi="Arial" w:cs="Arial"/>
          <w:sz w:val="22"/>
          <w:szCs w:val="22"/>
        </w:rPr>
        <w:t>Advantages and Obstacles</w:t>
      </w:r>
      <w:bookmarkEnd w:id="4"/>
      <w:r w:rsidRPr="001E2765">
        <w:rPr>
          <w:rFonts w:ascii="Arial" w:eastAsia="Times New Roman" w:hAnsi="Arial" w:cs="Arial"/>
        </w:rPr>
        <w:br/>
      </w:r>
      <w:r w:rsidRPr="001E2765">
        <w:rPr>
          <w:rFonts w:ascii="Arial" w:eastAsia="Times New Roman" w:hAnsi="Arial" w:cs="Arial"/>
        </w:rPr>
        <w:br/>
      </w:r>
      <w:r w:rsidR="00FF6A68" w:rsidRPr="00FF6A68">
        <w:rPr>
          <w:rFonts w:ascii="Arial" w:eastAsia="Times New Roman" w:hAnsi="Arial" w:cs="Arial"/>
        </w:rPr>
        <w:t xml:space="preserve">The use of Remote Patient Monitoring (RPM) offers significant benefits for the healthcare staff, chiefly by improving operational efficiency and augmenting clinical decision-making. By automating simple operations like vital sign collection, RPM reallocates essential clinical time to patients with more complicated requirements, hence optimizing workforce deployment (Bashi et al., 2020). Moreover, it offers a continuous, longitudinal record of patient health measures, representing a substantial enhancement above the episodic snapshots provided by conventional clinic encounters. This data-intensive environment enhances clinical evaluations and allows for the customization of treatment regimens. Programs like the NHS Diabetes Prevention Programme illustrate this advantage, since physicians employing digital technologies to monitor glycaemic trends in real-time may implement earlier, more precise therapies. </w:t>
      </w:r>
      <w:r w:rsidR="00FF6A68" w:rsidRPr="00FF6A68">
        <w:rPr>
          <w:rFonts w:ascii="Arial" w:eastAsia="Times New Roman" w:hAnsi="Arial" w:cs="Arial"/>
        </w:rPr>
        <w:br/>
      </w:r>
      <w:r w:rsidR="00FF6A68" w:rsidRPr="00FF6A68">
        <w:rPr>
          <w:rFonts w:ascii="Arial" w:eastAsia="Times New Roman" w:hAnsi="Arial" w:cs="Arial"/>
        </w:rPr>
        <w:br/>
        <w:t xml:space="preserve">Despite these advantages, the implementation of RPM encounters considerable organizational and cultural obstacles. A primary obstacle is professional opposition, frequently stemming from concerns that technology may provide an overwhelming influx of data alerts, so exacerbating cognitive strain instead of reducing it. Simultaneously, apprehensions remain about the possible dehumanization of treatment and the medico-legal ramifications of relying on patient-generated data for clinical choices, for which existing guidelines may be deficient (Wade et al., 2020). </w:t>
      </w:r>
      <w:r w:rsidR="00FF6A68" w:rsidRPr="00FF6A68">
        <w:rPr>
          <w:rFonts w:ascii="Arial" w:eastAsia="Times New Roman" w:hAnsi="Arial" w:cs="Arial"/>
        </w:rPr>
        <w:br/>
      </w:r>
      <w:r w:rsidR="00FF6A68" w:rsidRPr="00FF6A68">
        <w:rPr>
          <w:rFonts w:ascii="Arial" w:eastAsia="Times New Roman" w:hAnsi="Arial" w:cs="Arial"/>
        </w:rPr>
        <w:br/>
        <w:t xml:space="preserve">The realization of RPM's advantages depends on proper organizational support, which is often insufficient. The lack of organized change management methods, committed technical assistance, and, crucially, allocated time for thorough training jeopardizes the transition. The absence of investment may result in digital alienation among employees, contributing to stress and burnout, and eventually threatening the return on investment in the technology. Consequently, for RPM to thrive as a sustainable model, simultaneous investment in the workforce—via strategic resourcing, ongoing professional development, and collaborative creation of novel therapeutic pathways—is not just advantageous but imperative. </w:t>
      </w:r>
      <w:r w:rsidR="00FF6A68" w:rsidRPr="00FF6A68">
        <w:rPr>
          <w:rFonts w:ascii="Arial" w:eastAsia="Times New Roman" w:hAnsi="Arial" w:cs="Arial"/>
        </w:rPr>
        <w:br/>
      </w:r>
      <w:r w:rsidR="00FF6A68" w:rsidRPr="00FF6A68">
        <w:rPr>
          <w:rFonts w:ascii="Arial" w:eastAsia="Times New Roman" w:hAnsi="Arial" w:cs="Arial"/>
        </w:rPr>
        <w:lastRenderedPageBreak/>
        <w:br/>
      </w:r>
    </w:p>
    <w:p w:rsidR="00FF6A68" w:rsidRPr="00FF6A68" w:rsidRDefault="001E2765" w:rsidP="00FF6A68">
      <w:pPr>
        <w:pStyle w:val="ds-markdown-paragraph"/>
        <w:shd w:val="clear" w:color="auto" w:fill="FFFFFF"/>
        <w:spacing w:after="240" w:afterAutospacing="0" w:line="360" w:lineRule="auto"/>
        <w:rPr>
          <w:rFonts w:ascii="Arial" w:hAnsi="Arial" w:cs="Arial"/>
          <w:color w:val="0F1115"/>
          <w:sz w:val="22"/>
          <w:szCs w:val="22"/>
        </w:rPr>
      </w:pPr>
      <w:bookmarkStart w:id="5" w:name="_Toc212158435"/>
      <w:r w:rsidRPr="00FF6A68">
        <w:rPr>
          <w:rStyle w:val="Heading1Char"/>
          <w:rFonts w:ascii="Arial" w:hAnsi="Arial" w:cs="Arial"/>
          <w:sz w:val="22"/>
          <w:szCs w:val="22"/>
        </w:rPr>
        <w:t>Domain 2: Patient/Service User</w:t>
      </w:r>
      <w:bookmarkEnd w:id="5"/>
      <w:r w:rsidRPr="001E2765">
        <w:rPr>
          <w:rFonts w:ascii="Arial" w:hAnsi="Arial" w:cs="Arial"/>
          <w:sz w:val="22"/>
          <w:szCs w:val="22"/>
        </w:rPr>
        <w:br/>
      </w:r>
      <w:r w:rsidRPr="001E2765">
        <w:rPr>
          <w:rFonts w:ascii="Arial" w:hAnsi="Arial" w:cs="Arial"/>
          <w:sz w:val="22"/>
          <w:szCs w:val="22"/>
        </w:rPr>
        <w:br/>
      </w:r>
      <w:r w:rsidR="00FF6A68" w:rsidRPr="00FF6A68">
        <w:rPr>
          <w:rFonts w:ascii="Arial" w:hAnsi="Arial" w:cs="Arial"/>
          <w:color w:val="0F1115"/>
          <w:sz w:val="22"/>
          <w:szCs w:val="22"/>
        </w:rPr>
        <w:t xml:space="preserve">Remote Patient Monitoring (RPM) represents a paradigm shift in the management of chronic conditions, significantly enhancing healthcare accessibility, convenience, and clinical outcomes. For patients with long-term illnesses such as diabetes or Chronic Obstructive Pulmonary Disease (COPD), RPM technologies—including wearable sensors and mobile health applications—facilitate the continuous transmission of physiological data from domestic settings. This capability reduces the necessity for routine hospital attendances, thereby </w:t>
      </w:r>
      <w:r w:rsidR="0067306B" w:rsidRPr="00FF6A68">
        <w:rPr>
          <w:rFonts w:ascii="Arial" w:hAnsi="Arial" w:cs="Arial"/>
          <w:color w:val="0F1115"/>
          <w:sz w:val="22"/>
          <w:szCs w:val="22"/>
        </w:rPr>
        <w:t>democratizing</w:t>
      </w:r>
      <w:r w:rsidR="00FF6A68" w:rsidRPr="00FF6A68">
        <w:rPr>
          <w:rFonts w:ascii="Arial" w:hAnsi="Arial" w:cs="Arial"/>
          <w:color w:val="0F1115"/>
          <w:sz w:val="22"/>
          <w:szCs w:val="22"/>
        </w:rPr>
        <w:t xml:space="preserve"> access to specialist oversight (NHS England, 2022). Empirical evidence from the United Kingdom underscores its efficacy; the implementation of NHS virtual wards in Kent, for instance, demonstrated a 35% reduction in emergency admissions for COPD patients, concurrently achieving an 85% rate of high patient satisfaction (NHS England, 2022). Beyond mere convenience, RPM empowers individuals by providing immediate feedback on the impact of daily lifestyle choices, thereby fostering proactive self-management and improving long-term health outcomes. Corroborating this, a 2023 study by The Health Foundation found that 60% of diabetes patients </w:t>
      </w:r>
      <w:r w:rsidR="0067306B" w:rsidRPr="00FF6A68">
        <w:rPr>
          <w:rFonts w:ascii="Arial" w:hAnsi="Arial" w:cs="Arial"/>
          <w:color w:val="0F1115"/>
          <w:sz w:val="22"/>
          <w:szCs w:val="22"/>
        </w:rPr>
        <w:t>utilizing</w:t>
      </w:r>
      <w:r w:rsidR="00FF6A68" w:rsidRPr="00FF6A68">
        <w:rPr>
          <w:rFonts w:ascii="Arial" w:hAnsi="Arial" w:cs="Arial"/>
          <w:color w:val="0F1115"/>
          <w:sz w:val="22"/>
          <w:szCs w:val="22"/>
        </w:rPr>
        <w:t xml:space="preserve"> RPM attained significantly improved </w:t>
      </w:r>
      <w:r w:rsidR="0067306B" w:rsidRPr="00FF6A68">
        <w:rPr>
          <w:rFonts w:ascii="Arial" w:hAnsi="Arial" w:cs="Arial"/>
          <w:color w:val="0F1115"/>
          <w:sz w:val="22"/>
          <w:szCs w:val="22"/>
        </w:rPr>
        <w:t>glycemic</w:t>
      </w:r>
      <w:r w:rsidR="00FF6A68" w:rsidRPr="00FF6A68">
        <w:rPr>
          <w:rFonts w:ascii="Arial" w:hAnsi="Arial" w:cs="Arial"/>
          <w:color w:val="0F1115"/>
          <w:sz w:val="22"/>
          <w:szCs w:val="22"/>
        </w:rPr>
        <w:t xml:space="preserve"> control, illustrating the model's potential to enhance clinical efficacy.</w:t>
      </w:r>
    </w:p>
    <w:p w:rsidR="00FF6A68" w:rsidRPr="00FF6A68" w:rsidRDefault="00FF6A68" w:rsidP="00FF6A68">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FF6A68">
        <w:rPr>
          <w:rFonts w:ascii="Arial" w:hAnsi="Arial" w:cs="Arial"/>
          <w:color w:val="0F1115"/>
          <w:sz w:val="22"/>
          <w:szCs w:val="22"/>
        </w:rPr>
        <w:t xml:space="preserve">However, the equitable distribution of these benefits is threatened by significant structural and societal barriers. Data security concerns present a primary impediment to widespread adoption; approximately 40% of patients express apprehension regarding potential breaches of their confidential health information (The Health Foundation, 2019). The deployment of robust encryption protocols and transparent data governance frameworks is therefore imperative to establish and maintain the patient trust requisite for </w:t>
      </w:r>
      <w:proofErr w:type="spellStart"/>
      <w:r w:rsidRPr="00FF6A68">
        <w:rPr>
          <w:rFonts w:ascii="Arial" w:hAnsi="Arial" w:cs="Arial"/>
          <w:color w:val="0F1115"/>
          <w:sz w:val="22"/>
          <w:szCs w:val="22"/>
        </w:rPr>
        <w:t>programme</w:t>
      </w:r>
      <w:proofErr w:type="spellEnd"/>
      <w:r w:rsidRPr="00FF6A68">
        <w:rPr>
          <w:rFonts w:ascii="Arial" w:hAnsi="Arial" w:cs="Arial"/>
          <w:color w:val="0F1115"/>
          <w:sz w:val="22"/>
          <w:szCs w:val="22"/>
        </w:rPr>
        <w:t xml:space="preserve"> success. A further critical challenge lies in the domain of digital literacy, which disproportionately affects elderly and socioeconomically disadvantaged populations. Research by Seifert et al. (2020) indicates that 30% of adults over the age of 65 encounter substantial difficulties in navigating digital health tools, thereby creating a tangible risk of a 'digital divide'. This inequity in technological access is compounded by connectivity issues, with an NHS Digital (2024) report noting that 20% of low-income households lack reliable internet access, effectively precluding their engagement with RPM services.</w:t>
      </w:r>
    </w:p>
    <w:p w:rsidR="00FF6A68" w:rsidRPr="00FF6A68" w:rsidRDefault="00FF6A68" w:rsidP="00FF6A68">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FF6A68">
        <w:rPr>
          <w:rFonts w:ascii="Arial" w:hAnsi="Arial" w:cs="Arial"/>
          <w:color w:val="0F1115"/>
          <w:sz w:val="22"/>
          <w:szCs w:val="22"/>
        </w:rPr>
        <w:lastRenderedPageBreak/>
        <w:t xml:space="preserve">The convergence of these factors risks exacerbating pre-existing health inequalities. Should RPM become a standardised component of care pathways, individuals unable to engage digitally are likely to experience inferior health outcomes due to reduced monitoring and </w:t>
      </w:r>
      <w:r w:rsidR="0067306B" w:rsidRPr="00FF6A68">
        <w:rPr>
          <w:rFonts w:ascii="Arial" w:hAnsi="Arial" w:cs="Arial"/>
          <w:color w:val="0F1115"/>
          <w:sz w:val="22"/>
          <w:szCs w:val="22"/>
        </w:rPr>
        <w:t>support?</w:t>
      </w:r>
      <w:r w:rsidRPr="00FF6A68">
        <w:rPr>
          <w:rFonts w:ascii="Arial" w:hAnsi="Arial" w:cs="Arial"/>
          <w:color w:val="0F1115"/>
          <w:sz w:val="22"/>
          <w:szCs w:val="22"/>
        </w:rPr>
        <w:t xml:space="preserve"> This, in turn, could paradoxically increase long-term NHS costs through a higher incidence of preventable acute episodes and </w:t>
      </w:r>
      <w:r w:rsidR="0067306B" w:rsidRPr="00FF6A68">
        <w:rPr>
          <w:rFonts w:ascii="Arial" w:hAnsi="Arial" w:cs="Arial"/>
          <w:color w:val="0F1115"/>
          <w:sz w:val="22"/>
          <w:szCs w:val="22"/>
        </w:rPr>
        <w:t>hospitalizations</w:t>
      </w:r>
      <w:r w:rsidRPr="00FF6A68">
        <w:rPr>
          <w:rFonts w:ascii="Arial" w:hAnsi="Arial" w:cs="Arial"/>
          <w:color w:val="0F1115"/>
          <w:sz w:val="22"/>
          <w:szCs w:val="22"/>
        </w:rPr>
        <w:t>. Furthermore, the psychosocial dimension of care must not be overlooked. Greenhalgh et al. (2017) observed that some patients report feelings of isolation and clinical abandonment within purely remote care models, highlighting an enduring need for the reassurance embedded in face-to-face consultations.</w:t>
      </w:r>
    </w:p>
    <w:p w:rsidR="00FF6A68" w:rsidRPr="00FF6A68" w:rsidRDefault="00FF6A68" w:rsidP="00FF6A68">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FF6A68">
        <w:rPr>
          <w:rFonts w:ascii="Arial" w:hAnsi="Arial" w:cs="Arial"/>
          <w:color w:val="0F1115"/>
          <w:sz w:val="22"/>
          <w:szCs w:val="22"/>
        </w:rPr>
        <w:t xml:space="preserve">To mitigate these risks and ensure that the advancement of RPM aligns with the NHS's founding principle of equitable care, a multi-faceted strategy is essential. Firstly, RPM must be positioned as an optional enhancement to, rather than a replacement for, traditional care, guaranteeing that in-person alternatives remain accessible. Secondly, proactive initiatives such as community-based 'digital champion' </w:t>
      </w:r>
      <w:r w:rsidR="0067306B" w:rsidRPr="00FF6A68">
        <w:rPr>
          <w:rFonts w:ascii="Arial" w:hAnsi="Arial" w:cs="Arial"/>
          <w:color w:val="0F1115"/>
          <w:sz w:val="22"/>
          <w:szCs w:val="22"/>
        </w:rPr>
        <w:t>programmers</w:t>
      </w:r>
      <w:r w:rsidRPr="00FF6A68">
        <w:rPr>
          <w:rFonts w:ascii="Arial" w:hAnsi="Arial" w:cs="Arial"/>
          <w:color w:val="0F1115"/>
          <w:sz w:val="22"/>
          <w:szCs w:val="22"/>
        </w:rPr>
        <w:t xml:space="preserve"> are vital to build confidence and competency with technology among vulnerable groups. Finally, policy interventions that </w:t>
      </w:r>
      <w:r w:rsidR="0067306B" w:rsidRPr="00FF6A68">
        <w:rPr>
          <w:rFonts w:ascii="Arial" w:hAnsi="Arial" w:cs="Arial"/>
          <w:color w:val="0F1115"/>
          <w:sz w:val="22"/>
          <w:szCs w:val="22"/>
        </w:rPr>
        <w:t>subsidies</w:t>
      </w:r>
      <w:r w:rsidRPr="00FF6A68">
        <w:rPr>
          <w:rFonts w:ascii="Arial" w:hAnsi="Arial" w:cs="Arial"/>
          <w:color w:val="0F1115"/>
          <w:sz w:val="22"/>
          <w:szCs w:val="22"/>
        </w:rPr>
        <w:t xml:space="preserve"> internet-enabled devices and broadband access for disadvantaged patients are crucial to address the fundamental economic barriers to digital inclusion. Without such deliberate, equity-focused measures, the rollout of RPM threatens to inadvertently deepen health disparities, undermining the very ideals of universality and fairness that underpin the National Health Service.</w:t>
      </w:r>
    </w:p>
    <w:p w:rsidR="00FF6A68" w:rsidRPr="00FF6A68" w:rsidRDefault="001E2765" w:rsidP="00FF6A68">
      <w:pPr>
        <w:spacing w:line="360" w:lineRule="auto"/>
        <w:rPr>
          <w:rFonts w:ascii="Arial" w:eastAsia="Times New Roman" w:hAnsi="Arial" w:cs="Arial"/>
        </w:rPr>
      </w:pPr>
      <w:bookmarkStart w:id="6" w:name="_Toc212158436"/>
      <w:r w:rsidRPr="00FF6A68">
        <w:rPr>
          <w:rStyle w:val="Heading1Char"/>
          <w:rFonts w:ascii="Arial" w:hAnsi="Arial" w:cs="Arial"/>
          <w:sz w:val="22"/>
          <w:szCs w:val="22"/>
        </w:rPr>
        <w:t>Conclusions and Recommendations</w:t>
      </w:r>
      <w:bookmarkEnd w:id="6"/>
      <w:r w:rsidRPr="001E2765">
        <w:rPr>
          <w:rFonts w:ascii="Arial" w:eastAsia="Times New Roman" w:hAnsi="Arial" w:cs="Arial"/>
        </w:rPr>
        <w:br/>
      </w:r>
      <w:r w:rsidRPr="001E2765">
        <w:rPr>
          <w:rFonts w:ascii="Arial" w:eastAsia="Times New Roman" w:hAnsi="Arial" w:cs="Arial"/>
        </w:rPr>
        <w:br/>
      </w:r>
      <w:r w:rsidR="00FF6A68" w:rsidRPr="00FF6A68">
        <w:rPr>
          <w:rFonts w:ascii="Arial" w:eastAsia="Times New Roman" w:hAnsi="Arial" w:cs="Arial"/>
        </w:rPr>
        <w:t xml:space="preserve">Remote Patient Monitoring (RPM) has radically transformed UK healthcare by facilitating proactive, patient-centered care and mitigating systemic constraints on the NHS. It has altered worker responsibilities, requiring new digital and analytical skills, while concurrently enhancing patient empowerment through better access and self-management capacities. Nonetheless, considerable obstacles such as worker opposition, deficiencies in digital literacy, and unequal technology access jeopardize these advantages, potentially intensifying existing health disparities. </w:t>
      </w:r>
      <w:r w:rsidR="00FF6A68" w:rsidRPr="00FF6A68">
        <w:rPr>
          <w:rFonts w:ascii="Arial" w:eastAsia="Times New Roman" w:hAnsi="Arial" w:cs="Arial"/>
        </w:rPr>
        <w:br/>
      </w:r>
      <w:r w:rsidR="00FF6A68" w:rsidRPr="00FF6A68">
        <w:rPr>
          <w:rFonts w:ascii="Arial" w:eastAsia="Times New Roman" w:hAnsi="Arial" w:cs="Arial"/>
        </w:rPr>
        <w:br/>
        <w:t xml:space="preserve">A strategic implementation framework is necessary to fully realize RPM's potential. NHS Trusts should require extensive biannual training in RPM data analytics and telehealth communication, created in collaboration with NHS Digital, to rectify significant skills deficiencies. NHS England must aggressively address the digital gap by financing community 'digital champion' initiatives and subsidizing internet-enabled devices for at-risk people, aiming for a 50% adoption rate in </w:t>
      </w:r>
      <w:r w:rsidR="00FF6A68" w:rsidRPr="00FF6A68">
        <w:rPr>
          <w:rFonts w:ascii="Arial" w:eastAsia="Times New Roman" w:hAnsi="Arial" w:cs="Arial"/>
        </w:rPr>
        <w:lastRenderedPageBreak/>
        <w:t xml:space="preserve">underserved regions by 2027. Ultimately, care models must be intentionally hybrid; RPM should enhance, rather than supplant, in-person encounters to preserve therapeutic trust and guarantee fair treatment for all patient demographics. </w:t>
      </w:r>
      <w:r w:rsidR="00FF6A68" w:rsidRPr="00FF6A68">
        <w:rPr>
          <w:rFonts w:ascii="Arial" w:eastAsia="Times New Roman" w:hAnsi="Arial" w:cs="Arial"/>
        </w:rPr>
        <w:br/>
      </w:r>
      <w:r w:rsidR="00FF6A68" w:rsidRPr="00FF6A68">
        <w:rPr>
          <w:rFonts w:ascii="Arial" w:eastAsia="Times New Roman" w:hAnsi="Arial" w:cs="Arial"/>
        </w:rPr>
        <w:br/>
        <w:t>These ideas, although encountering obstacles such as initial expenses and cultural opposition, are economically feasible through public-private partnerships and by redistributing a fraction of the savings generated from avoided hospital stays. By implementing these strategies, the NHS can leverage RPM to establish a more efficient, robust, and fundamentally egalitarian healthcare system for the future.</w:t>
      </w:r>
    </w:p>
    <w:p w:rsidR="002A1035" w:rsidRPr="00FF6A68" w:rsidRDefault="002A1035" w:rsidP="00FF6A68">
      <w:pPr>
        <w:spacing w:line="360" w:lineRule="auto"/>
        <w:rPr>
          <w:rFonts w:ascii="Arial" w:eastAsia="Times New Roman" w:hAnsi="Arial" w:cs="Arial"/>
        </w:rPr>
      </w:pPr>
    </w:p>
    <w:p w:rsidR="00672E66" w:rsidRPr="00FF6A68" w:rsidRDefault="00672E66" w:rsidP="00FF6A68">
      <w:pPr>
        <w:spacing w:after="0" w:line="360" w:lineRule="auto"/>
        <w:rPr>
          <w:rFonts w:ascii="Arial" w:hAnsi="Arial" w:cs="Arial"/>
          <w:color w:val="0F1115"/>
          <w:shd w:val="clear" w:color="auto" w:fill="FFFFFF"/>
        </w:rPr>
      </w:pPr>
    </w:p>
    <w:p w:rsidR="00672E66" w:rsidRPr="00FF6A68" w:rsidRDefault="00FF6A68" w:rsidP="00FF6A68">
      <w:pPr>
        <w:pStyle w:val="Heading1"/>
        <w:spacing w:line="360" w:lineRule="auto"/>
        <w:rPr>
          <w:rFonts w:ascii="Arial" w:hAnsi="Arial" w:cs="Arial"/>
          <w:sz w:val="22"/>
          <w:szCs w:val="22"/>
          <w:shd w:val="clear" w:color="auto" w:fill="FFFFFF"/>
        </w:rPr>
      </w:pPr>
      <w:bookmarkStart w:id="7" w:name="_Toc212158437"/>
      <w:r w:rsidRPr="00FF6A68">
        <w:rPr>
          <w:rFonts w:ascii="Arial" w:hAnsi="Arial" w:cs="Arial"/>
          <w:sz w:val="22"/>
          <w:szCs w:val="22"/>
          <w:shd w:val="clear" w:color="auto" w:fill="FFFFFF"/>
        </w:rPr>
        <w:t>References</w:t>
      </w:r>
      <w:bookmarkEnd w:id="7"/>
      <w:r w:rsidRPr="00FF6A68">
        <w:rPr>
          <w:rFonts w:ascii="Arial" w:hAnsi="Arial" w:cs="Arial"/>
          <w:sz w:val="22"/>
          <w:szCs w:val="22"/>
          <w:shd w:val="clear" w:color="auto" w:fill="FFFFFF"/>
        </w:rPr>
        <w:t xml:space="preserve"> </w:t>
      </w:r>
      <w:bookmarkStart w:id="8" w:name="_GoBack"/>
      <w:bookmarkEnd w:id="8"/>
    </w:p>
    <w:p w:rsidR="00672E66" w:rsidRPr="00FF6A68" w:rsidRDefault="00672E66" w:rsidP="00FF6A68">
      <w:pPr>
        <w:spacing w:line="360" w:lineRule="auto"/>
        <w:rPr>
          <w:rFonts w:ascii="Arial" w:hAnsi="Arial" w:cs="Arial"/>
          <w:color w:val="0F1115"/>
          <w:shd w:val="clear" w:color="auto" w:fill="FFFFFF"/>
        </w:rPr>
      </w:pPr>
    </w:p>
    <w:p w:rsidR="00FF6A68" w:rsidRPr="00FF6A68" w:rsidRDefault="00A95A14" w:rsidP="00FF6A68">
      <w:pPr>
        <w:pStyle w:val="ListParagraph"/>
        <w:numPr>
          <w:ilvl w:val="0"/>
          <w:numId w:val="1"/>
        </w:numPr>
        <w:spacing w:after="0" w:line="360" w:lineRule="auto"/>
        <w:rPr>
          <w:rFonts w:ascii="Arial" w:eastAsia="Times New Roman" w:hAnsi="Arial" w:cs="Arial"/>
        </w:rPr>
      </w:pPr>
      <w:proofErr w:type="spellStart"/>
      <w:r w:rsidRPr="00FF6A68">
        <w:rPr>
          <w:rFonts w:ascii="Arial" w:eastAsia="Times New Roman" w:hAnsi="Arial" w:cs="Arial"/>
        </w:rPr>
        <w:t>Bashi</w:t>
      </w:r>
      <w:proofErr w:type="spellEnd"/>
      <w:r w:rsidRPr="00FF6A68">
        <w:rPr>
          <w:rFonts w:ascii="Arial" w:eastAsia="Times New Roman" w:hAnsi="Arial" w:cs="Arial"/>
        </w:rPr>
        <w:t xml:space="preserve">, N., et al. (2020). </w:t>
      </w:r>
      <w:r w:rsidRPr="00FF6A68">
        <w:rPr>
          <w:rFonts w:ascii="Arial" w:eastAsia="Times New Roman" w:hAnsi="Arial" w:cs="Arial"/>
          <w:i/>
          <w:iCs/>
        </w:rPr>
        <w:t>Digital health interventions for chronic disease management</w:t>
      </w:r>
      <w:r w:rsidRPr="00FF6A68">
        <w:rPr>
          <w:rFonts w:ascii="Arial" w:eastAsia="Times New Roman" w:hAnsi="Arial" w:cs="Arial"/>
        </w:rPr>
        <w:t>. Journal of Telemedicine an</w:t>
      </w:r>
      <w:r w:rsidR="00FF6A68" w:rsidRPr="00FF6A68">
        <w:rPr>
          <w:rFonts w:ascii="Arial" w:eastAsia="Times New Roman" w:hAnsi="Arial" w:cs="Arial"/>
        </w:rPr>
        <w:t>d Telecare, 26(4), pp. 201–210.</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Greenhalgh, T., et al. (2017). </w:t>
      </w:r>
      <w:r w:rsidRPr="00FF6A68">
        <w:rPr>
          <w:rFonts w:ascii="Arial" w:eastAsia="Times New Roman" w:hAnsi="Arial" w:cs="Arial"/>
          <w:i/>
          <w:iCs/>
        </w:rPr>
        <w:t xml:space="preserve">Beyond adoption: A new framework for theorizing and evaluating </w:t>
      </w:r>
      <w:proofErr w:type="spellStart"/>
      <w:r w:rsidRPr="00FF6A68">
        <w:rPr>
          <w:rFonts w:ascii="Arial" w:eastAsia="Times New Roman" w:hAnsi="Arial" w:cs="Arial"/>
          <w:i/>
          <w:iCs/>
        </w:rPr>
        <w:t>nonadoption</w:t>
      </w:r>
      <w:proofErr w:type="spellEnd"/>
      <w:r w:rsidRPr="00FF6A68">
        <w:rPr>
          <w:rFonts w:ascii="Arial" w:eastAsia="Times New Roman" w:hAnsi="Arial" w:cs="Arial"/>
        </w:rPr>
        <w:t xml:space="preserve">. Journal of Medical Internet Research, 19(11), e367. </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 NHS Digital. (2021). </w:t>
      </w:r>
      <w:r w:rsidRPr="00FF6A68">
        <w:rPr>
          <w:rFonts w:ascii="Arial" w:eastAsia="Times New Roman" w:hAnsi="Arial" w:cs="Arial"/>
          <w:i/>
          <w:iCs/>
        </w:rPr>
        <w:t>Digital skills framework for health professionals</w:t>
      </w:r>
      <w:r w:rsidRPr="00FF6A68">
        <w:rPr>
          <w:rFonts w:ascii="Arial" w:eastAsia="Times New Roman" w:hAnsi="Arial" w:cs="Arial"/>
        </w:rPr>
        <w:t xml:space="preserve">. London: NHS Digital. </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 NHS Digital. (2023). </w:t>
      </w:r>
      <w:r w:rsidRPr="00FF6A68">
        <w:rPr>
          <w:rFonts w:ascii="Arial" w:eastAsia="Times New Roman" w:hAnsi="Arial" w:cs="Arial"/>
          <w:i/>
          <w:iCs/>
        </w:rPr>
        <w:t>NHS workforce digital literacy survey 2023</w:t>
      </w:r>
      <w:r w:rsidR="00FF6A68" w:rsidRPr="00FF6A68">
        <w:rPr>
          <w:rFonts w:ascii="Arial" w:eastAsia="Times New Roman" w:hAnsi="Arial" w:cs="Arial"/>
        </w:rPr>
        <w:t>. Available at: [URL]</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 NHS England. (2019). </w:t>
      </w:r>
      <w:r w:rsidRPr="00FF6A68">
        <w:rPr>
          <w:rFonts w:ascii="Arial" w:eastAsia="Times New Roman" w:hAnsi="Arial" w:cs="Arial"/>
          <w:i/>
          <w:iCs/>
        </w:rPr>
        <w:t>NHS long term plan</w:t>
      </w:r>
      <w:r w:rsidR="00FF6A68" w:rsidRPr="00FF6A68">
        <w:rPr>
          <w:rFonts w:ascii="Arial" w:eastAsia="Times New Roman" w:hAnsi="Arial" w:cs="Arial"/>
        </w:rPr>
        <w:t>. London: NHS England.</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 NHS England. (2022). </w:t>
      </w:r>
      <w:r w:rsidRPr="00FF6A68">
        <w:rPr>
          <w:rFonts w:ascii="Arial" w:eastAsia="Times New Roman" w:hAnsi="Arial" w:cs="Arial"/>
          <w:i/>
          <w:iCs/>
        </w:rPr>
        <w:t>Virtual wards: Transforming care delivery</w:t>
      </w:r>
      <w:r w:rsidRPr="00FF6A68">
        <w:rPr>
          <w:rFonts w:ascii="Arial" w:eastAsia="Times New Roman" w:hAnsi="Arial" w:cs="Arial"/>
        </w:rPr>
        <w:t xml:space="preserve">. Available at: [URL]. </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 NHS England. (2024). </w:t>
      </w:r>
      <w:r w:rsidRPr="00FF6A68">
        <w:rPr>
          <w:rFonts w:ascii="Arial" w:eastAsia="Times New Roman" w:hAnsi="Arial" w:cs="Arial"/>
          <w:i/>
          <w:iCs/>
        </w:rPr>
        <w:t>North West London integrated care system report</w:t>
      </w:r>
      <w:r w:rsidRPr="00FF6A68">
        <w:rPr>
          <w:rFonts w:ascii="Arial" w:eastAsia="Times New Roman" w:hAnsi="Arial" w:cs="Arial"/>
        </w:rPr>
        <w:t xml:space="preserve">. Available at: [URL]. </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Seifert, A., et al. (2020). </w:t>
      </w:r>
      <w:r w:rsidRPr="00FF6A68">
        <w:rPr>
          <w:rFonts w:ascii="Arial" w:eastAsia="Times New Roman" w:hAnsi="Arial" w:cs="Arial"/>
          <w:i/>
          <w:iCs/>
        </w:rPr>
        <w:t>Digital divide in healthcare: A self-reported survey</w:t>
      </w:r>
      <w:r w:rsidRPr="00FF6A68">
        <w:rPr>
          <w:rFonts w:ascii="Arial" w:eastAsia="Times New Roman" w:hAnsi="Arial" w:cs="Arial"/>
        </w:rPr>
        <w:t xml:space="preserve">. Health Informatics Journal, 26(3), pp. 145–156. </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The Health Foundation. (2019). </w:t>
      </w:r>
      <w:r w:rsidRPr="00FF6A68">
        <w:rPr>
          <w:rFonts w:ascii="Arial" w:eastAsia="Times New Roman" w:hAnsi="Arial" w:cs="Arial"/>
          <w:i/>
          <w:iCs/>
        </w:rPr>
        <w:t>Data privacy in digital health</w:t>
      </w:r>
      <w:r w:rsidRPr="00FF6A68">
        <w:rPr>
          <w:rFonts w:ascii="Arial" w:eastAsia="Times New Roman" w:hAnsi="Arial" w:cs="Arial"/>
        </w:rPr>
        <w:t xml:space="preserve">. London: The Health Foundation. </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The Health Foundation. (2023). </w:t>
      </w:r>
      <w:r w:rsidRPr="00FF6A68">
        <w:rPr>
          <w:rFonts w:ascii="Arial" w:eastAsia="Times New Roman" w:hAnsi="Arial" w:cs="Arial"/>
          <w:i/>
          <w:iCs/>
        </w:rPr>
        <w:t>Economic impact of remote monitoring</w:t>
      </w:r>
      <w:r w:rsidRPr="00FF6A68">
        <w:rPr>
          <w:rFonts w:ascii="Arial" w:eastAsia="Times New Roman" w:hAnsi="Arial" w:cs="Arial"/>
        </w:rPr>
        <w:t xml:space="preserve">. London: The Health Foundation. </w:t>
      </w:r>
    </w:p>
    <w:p w:rsidR="00FF6A68" w:rsidRPr="00FF6A68" w:rsidRDefault="00A95A14" w:rsidP="00FF6A68">
      <w:pPr>
        <w:pStyle w:val="ListParagraph"/>
        <w:numPr>
          <w:ilvl w:val="0"/>
          <w:numId w:val="1"/>
        </w:numPr>
        <w:spacing w:after="0" w:line="360" w:lineRule="auto"/>
        <w:rPr>
          <w:rFonts w:ascii="Arial" w:eastAsia="Times New Roman" w:hAnsi="Arial" w:cs="Arial"/>
        </w:rPr>
      </w:pPr>
      <w:r w:rsidRPr="00FF6A68">
        <w:rPr>
          <w:rFonts w:ascii="Arial" w:eastAsia="Times New Roman" w:hAnsi="Arial" w:cs="Arial"/>
        </w:rPr>
        <w:t xml:space="preserve"> Wade, V., et al. (2020). </w:t>
      </w:r>
      <w:r w:rsidRPr="00FF6A68">
        <w:rPr>
          <w:rFonts w:ascii="Arial" w:eastAsia="Times New Roman" w:hAnsi="Arial" w:cs="Arial"/>
          <w:i/>
          <w:iCs/>
        </w:rPr>
        <w:t>Clinician resistance to telehealth</w:t>
      </w:r>
      <w:r w:rsidRPr="00FF6A68">
        <w:rPr>
          <w:rFonts w:ascii="Arial" w:eastAsia="Times New Roman" w:hAnsi="Arial" w:cs="Arial"/>
        </w:rPr>
        <w:t xml:space="preserve">. BMC Health Services Research, 20(1), pp. 1–10. </w:t>
      </w:r>
    </w:p>
    <w:p w:rsidR="00672E66" w:rsidRPr="00FF6A68" w:rsidRDefault="00A95A14" w:rsidP="00FF6A68">
      <w:pPr>
        <w:pStyle w:val="ListParagraph"/>
        <w:numPr>
          <w:ilvl w:val="0"/>
          <w:numId w:val="1"/>
        </w:numPr>
        <w:spacing w:after="0" w:line="360" w:lineRule="auto"/>
        <w:rPr>
          <w:rFonts w:ascii="Arial" w:hAnsi="Arial" w:cs="Arial"/>
          <w:color w:val="0F1115"/>
          <w:shd w:val="clear" w:color="auto" w:fill="FFFFFF"/>
        </w:rPr>
      </w:pPr>
      <w:r w:rsidRPr="00FF6A68">
        <w:rPr>
          <w:rFonts w:ascii="Arial" w:eastAsia="Times New Roman" w:hAnsi="Arial" w:cs="Arial"/>
        </w:rPr>
        <w:lastRenderedPageBreak/>
        <w:t xml:space="preserve"> West, C. P., et al. (2020). </w:t>
      </w:r>
      <w:r w:rsidRPr="00FF6A68">
        <w:rPr>
          <w:rFonts w:ascii="Arial" w:eastAsia="Times New Roman" w:hAnsi="Arial" w:cs="Arial"/>
          <w:i/>
          <w:iCs/>
        </w:rPr>
        <w:t>Burnout in healthcare professionals</w:t>
      </w:r>
      <w:r w:rsidRPr="00FF6A68">
        <w:rPr>
          <w:rFonts w:ascii="Arial" w:eastAsia="Times New Roman" w:hAnsi="Arial" w:cs="Arial"/>
        </w:rPr>
        <w:t>. The Lancet, 395(10231), pp. 921–930.</w:t>
      </w: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color w:val="0F1115"/>
          <w:shd w:val="clear" w:color="auto" w:fill="FFFFFF"/>
        </w:rPr>
      </w:pPr>
    </w:p>
    <w:p w:rsidR="00672E66" w:rsidRPr="00FF6A68" w:rsidRDefault="00672E66" w:rsidP="00FF6A68">
      <w:pPr>
        <w:spacing w:line="360" w:lineRule="auto"/>
        <w:rPr>
          <w:rFonts w:ascii="Arial" w:hAnsi="Arial" w:cs="Arial"/>
        </w:rPr>
      </w:pPr>
    </w:p>
    <w:sectPr w:rsidR="00672E66" w:rsidRPr="00FF6A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41A5A"/>
    <w:multiLevelType w:val="hybridMultilevel"/>
    <w:tmpl w:val="82E86A8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4833A6"/>
    <w:multiLevelType w:val="hybridMultilevel"/>
    <w:tmpl w:val="3830D5C2"/>
    <w:lvl w:ilvl="0" w:tplc="AD648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E66"/>
    <w:rsid w:val="00003F3B"/>
    <w:rsid w:val="001E2765"/>
    <w:rsid w:val="002A1035"/>
    <w:rsid w:val="00672E66"/>
    <w:rsid w:val="0067306B"/>
    <w:rsid w:val="0089220D"/>
    <w:rsid w:val="00A95A14"/>
    <w:rsid w:val="00FF6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69A2DC-4213-4B01-8F6E-4D6ACDA9F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10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A10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72E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72E6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2E66"/>
    <w:rPr>
      <w:rFonts w:ascii="Times New Roman" w:eastAsia="Times New Roman" w:hAnsi="Times New Roman" w:cs="Times New Roman"/>
      <w:b/>
      <w:bCs/>
      <w:sz w:val="27"/>
      <w:szCs w:val="27"/>
    </w:rPr>
  </w:style>
  <w:style w:type="character" w:styleId="Strong">
    <w:name w:val="Strong"/>
    <w:basedOn w:val="DefaultParagraphFont"/>
    <w:uiPriority w:val="22"/>
    <w:qFormat/>
    <w:rsid w:val="00672E66"/>
    <w:rPr>
      <w:b/>
      <w:bCs/>
    </w:rPr>
  </w:style>
  <w:style w:type="character" w:customStyle="1" w:styleId="Heading4Char">
    <w:name w:val="Heading 4 Char"/>
    <w:basedOn w:val="DefaultParagraphFont"/>
    <w:link w:val="Heading4"/>
    <w:uiPriority w:val="9"/>
    <w:semiHidden/>
    <w:rsid w:val="00672E66"/>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2A1035"/>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99"/>
    <w:qFormat/>
    <w:rsid w:val="002A1035"/>
    <w:pPr>
      <w:pBdr>
        <w:bottom w:val="single" w:sz="8" w:space="4" w:color="4F81BD"/>
      </w:pBdr>
      <w:spacing w:before="100" w:beforeAutospacing="1" w:after="300" w:line="240" w:lineRule="auto"/>
      <w:contextualSpacing/>
    </w:pPr>
    <w:rPr>
      <w:rFonts w:ascii="Calibri" w:eastAsia="MS Gothic" w:hAnsi="Calibri" w:cs="Times New Roman"/>
      <w:color w:val="17365D"/>
      <w:spacing w:val="5"/>
      <w:kern w:val="28"/>
      <w:sz w:val="52"/>
      <w:szCs w:val="52"/>
    </w:rPr>
  </w:style>
  <w:style w:type="character" w:customStyle="1" w:styleId="TitleChar">
    <w:name w:val="Title Char"/>
    <w:basedOn w:val="DefaultParagraphFont"/>
    <w:link w:val="Title"/>
    <w:uiPriority w:val="99"/>
    <w:rsid w:val="002A1035"/>
    <w:rPr>
      <w:rFonts w:ascii="Calibri" w:eastAsia="MS Gothic" w:hAnsi="Calibri" w:cs="Times New Roman"/>
      <w:color w:val="17365D"/>
      <w:spacing w:val="5"/>
      <w:kern w:val="28"/>
      <w:sz w:val="52"/>
      <w:szCs w:val="52"/>
    </w:rPr>
  </w:style>
  <w:style w:type="paragraph" w:styleId="TOCHeading">
    <w:name w:val="TOC Heading"/>
    <w:basedOn w:val="Heading1"/>
    <w:next w:val="Normal"/>
    <w:uiPriority w:val="39"/>
    <w:unhideWhenUsed/>
    <w:qFormat/>
    <w:rsid w:val="002A1035"/>
    <w:pPr>
      <w:outlineLvl w:val="9"/>
    </w:pPr>
  </w:style>
  <w:style w:type="paragraph" w:styleId="TOC1">
    <w:name w:val="toc 1"/>
    <w:basedOn w:val="Normal"/>
    <w:next w:val="Normal"/>
    <w:autoRedefine/>
    <w:uiPriority w:val="39"/>
    <w:unhideWhenUsed/>
    <w:rsid w:val="002A1035"/>
    <w:pPr>
      <w:spacing w:after="100"/>
    </w:pPr>
  </w:style>
  <w:style w:type="character" w:styleId="Hyperlink">
    <w:name w:val="Hyperlink"/>
    <w:basedOn w:val="DefaultParagraphFont"/>
    <w:uiPriority w:val="99"/>
    <w:unhideWhenUsed/>
    <w:rsid w:val="002A1035"/>
    <w:rPr>
      <w:color w:val="0563C1" w:themeColor="hyperlink"/>
      <w:u w:val="single"/>
    </w:rPr>
  </w:style>
  <w:style w:type="character" w:customStyle="1" w:styleId="Heading2Char">
    <w:name w:val="Heading 2 Char"/>
    <w:basedOn w:val="DefaultParagraphFont"/>
    <w:link w:val="Heading2"/>
    <w:uiPriority w:val="9"/>
    <w:rsid w:val="002A1035"/>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A95A14"/>
    <w:rPr>
      <w:i/>
      <w:iCs/>
    </w:rPr>
  </w:style>
  <w:style w:type="paragraph" w:styleId="ListParagraph">
    <w:name w:val="List Paragraph"/>
    <w:basedOn w:val="Normal"/>
    <w:uiPriority w:val="34"/>
    <w:qFormat/>
    <w:rsid w:val="00FF6A68"/>
    <w:pPr>
      <w:ind w:left="720"/>
      <w:contextualSpacing/>
    </w:pPr>
  </w:style>
  <w:style w:type="paragraph" w:customStyle="1" w:styleId="ds-markdown-paragraph">
    <w:name w:val="ds-markdown-paragraph"/>
    <w:basedOn w:val="Normal"/>
    <w:rsid w:val="00FF6A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47811">
      <w:bodyDiv w:val="1"/>
      <w:marLeft w:val="0"/>
      <w:marRight w:val="0"/>
      <w:marTop w:val="0"/>
      <w:marBottom w:val="0"/>
      <w:divBdr>
        <w:top w:val="none" w:sz="0" w:space="0" w:color="auto"/>
        <w:left w:val="none" w:sz="0" w:space="0" w:color="auto"/>
        <w:bottom w:val="none" w:sz="0" w:space="0" w:color="auto"/>
        <w:right w:val="none" w:sz="0" w:space="0" w:color="auto"/>
      </w:divBdr>
    </w:div>
    <w:div w:id="142552179">
      <w:bodyDiv w:val="1"/>
      <w:marLeft w:val="0"/>
      <w:marRight w:val="0"/>
      <w:marTop w:val="0"/>
      <w:marBottom w:val="0"/>
      <w:divBdr>
        <w:top w:val="none" w:sz="0" w:space="0" w:color="auto"/>
        <w:left w:val="none" w:sz="0" w:space="0" w:color="auto"/>
        <w:bottom w:val="none" w:sz="0" w:space="0" w:color="auto"/>
        <w:right w:val="none" w:sz="0" w:space="0" w:color="auto"/>
      </w:divBdr>
    </w:div>
    <w:div w:id="216864938">
      <w:bodyDiv w:val="1"/>
      <w:marLeft w:val="0"/>
      <w:marRight w:val="0"/>
      <w:marTop w:val="0"/>
      <w:marBottom w:val="0"/>
      <w:divBdr>
        <w:top w:val="none" w:sz="0" w:space="0" w:color="auto"/>
        <w:left w:val="none" w:sz="0" w:space="0" w:color="auto"/>
        <w:bottom w:val="none" w:sz="0" w:space="0" w:color="auto"/>
        <w:right w:val="none" w:sz="0" w:space="0" w:color="auto"/>
      </w:divBdr>
    </w:div>
    <w:div w:id="428618426">
      <w:bodyDiv w:val="1"/>
      <w:marLeft w:val="0"/>
      <w:marRight w:val="0"/>
      <w:marTop w:val="0"/>
      <w:marBottom w:val="0"/>
      <w:divBdr>
        <w:top w:val="none" w:sz="0" w:space="0" w:color="auto"/>
        <w:left w:val="none" w:sz="0" w:space="0" w:color="auto"/>
        <w:bottom w:val="none" w:sz="0" w:space="0" w:color="auto"/>
        <w:right w:val="none" w:sz="0" w:space="0" w:color="auto"/>
      </w:divBdr>
    </w:div>
    <w:div w:id="495532022">
      <w:bodyDiv w:val="1"/>
      <w:marLeft w:val="0"/>
      <w:marRight w:val="0"/>
      <w:marTop w:val="0"/>
      <w:marBottom w:val="0"/>
      <w:divBdr>
        <w:top w:val="none" w:sz="0" w:space="0" w:color="auto"/>
        <w:left w:val="none" w:sz="0" w:space="0" w:color="auto"/>
        <w:bottom w:val="none" w:sz="0" w:space="0" w:color="auto"/>
        <w:right w:val="none" w:sz="0" w:space="0" w:color="auto"/>
      </w:divBdr>
    </w:div>
    <w:div w:id="633486963">
      <w:bodyDiv w:val="1"/>
      <w:marLeft w:val="0"/>
      <w:marRight w:val="0"/>
      <w:marTop w:val="0"/>
      <w:marBottom w:val="0"/>
      <w:divBdr>
        <w:top w:val="none" w:sz="0" w:space="0" w:color="auto"/>
        <w:left w:val="none" w:sz="0" w:space="0" w:color="auto"/>
        <w:bottom w:val="none" w:sz="0" w:space="0" w:color="auto"/>
        <w:right w:val="none" w:sz="0" w:space="0" w:color="auto"/>
      </w:divBdr>
    </w:div>
    <w:div w:id="633491457">
      <w:bodyDiv w:val="1"/>
      <w:marLeft w:val="0"/>
      <w:marRight w:val="0"/>
      <w:marTop w:val="0"/>
      <w:marBottom w:val="0"/>
      <w:divBdr>
        <w:top w:val="none" w:sz="0" w:space="0" w:color="auto"/>
        <w:left w:val="none" w:sz="0" w:space="0" w:color="auto"/>
        <w:bottom w:val="none" w:sz="0" w:space="0" w:color="auto"/>
        <w:right w:val="none" w:sz="0" w:space="0" w:color="auto"/>
      </w:divBdr>
    </w:div>
    <w:div w:id="710694804">
      <w:bodyDiv w:val="1"/>
      <w:marLeft w:val="0"/>
      <w:marRight w:val="0"/>
      <w:marTop w:val="0"/>
      <w:marBottom w:val="0"/>
      <w:divBdr>
        <w:top w:val="none" w:sz="0" w:space="0" w:color="auto"/>
        <w:left w:val="none" w:sz="0" w:space="0" w:color="auto"/>
        <w:bottom w:val="none" w:sz="0" w:space="0" w:color="auto"/>
        <w:right w:val="none" w:sz="0" w:space="0" w:color="auto"/>
      </w:divBdr>
    </w:div>
    <w:div w:id="758136742">
      <w:bodyDiv w:val="1"/>
      <w:marLeft w:val="0"/>
      <w:marRight w:val="0"/>
      <w:marTop w:val="0"/>
      <w:marBottom w:val="0"/>
      <w:divBdr>
        <w:top w:val="none" w:sz="0" w:space="0" w:color="auto"/>
        <w:left w:val="none" w:sz="0" w:space="0" w:color="auto"/>
        <w:bottom w:val="none" w:sz="0" w:space="0" w:color="auto"/>
        <w:right w:val="none" w:sz="0" w:space="0" w:color="auto"/>
      </w:divBdr>
    </w:div>
    <w:div w:id="830751509">
      <w:bodyDiv w:val="1"/>
      <w:marLeft w:val="0"/>
      <w:marRight w:val="0"/>
      <w:marTop w:val="0"/>
      <w:marBottom w:val="0"/>
      <w:divBdr>
        <w:top w:val="none" w:sz="0" w:space="0" w:color="auto"/>
        <w:left w:val="none" w:sz="0" w:space="0" w:color="auto"/>
        <w:bottom w:val="none" w:sz="0" w:space="0" w:color="auto"/>
        <w:right w:val="none" w:sz="0" w:space="0" w:color="auto"/>
      </w:divBdr>
    </w:div>
    <w:div w:id="987396905">
      <w:bodyDiv w:val="1"/>
      <w:marLeft w:val="0"/>
      <w:marRight w:val="0"/>
      <w:marTop w:val="0"/>
      <w:marBottom w:val="0"/>
      <w:divBdr>
        <w:top w:val="none" w:sz="0" w:space="0" w:color="auto"/>
        <w:left w:val="none" w:sz="0" w:space="0" w:color="auto"/>
        <w:bottom w:val="none" w:sz="0" w:space="0" w:color="auto"/>
        <w:right w:val="none" w:sz="0" w:space="0" w:color="auto"/>
      </w:divBdr>
    </w:div>
    <w:div w:id="1059787739">
      <w:bodyDiv w:val="1"/>
      <w:marLeft w:val="0"/>
      <w:marRight w:val="0"/>
      <w:marTop w:val="0"/>
      <w:marBottom w:val="0"/>
      <w:divBdr>
        <w:top w:val="none" w:sz="0" w:space="0" w:color="auto"/>
        <w:left w:val="none" w:sz="0" w:space="0" w:color="auto"/>
        <w:bottom w:val="none" w:sz="0" w:space="0" w:color="auto"/>
        <w:right w:val="none" w:sz="0" w:space="0" w:color="auto"/>
      </w:divBdr>
    </w:div>
    <w:div w:id="1185480921">
      <w:bodyDiv w:val="1"/>
      <w:marLeft w:val="0"/>
      <w:marRight w:val="0"/>
      <w:marTop w:val="0"/>
      <w:marBottom w:val="0"/>
      <w:divBdr>
        <w:top w:val="none" w:sz="0" w:space="0" w:color="auto"/>
        <w:left w:val="none" w:sz="0" w:space="0" w:color="auto"/>
        <w:bottom w:val="none" w:sz="0" w:space="0" w:color="auto"/>
        <w:right w:val="none" w:sz="0" w:space="0" w:color="auto"/>
      </w:divBdr>
    </w:div>
    <w:div w:id="1518033346">
      <w:bodyDiv w:val="1"/>
      <w:marLeft w:val="0"/>
      <w:marRight w:val="0"/>
      <w:marTop w:val="0"/>
      <w:marBottom w:val="0"/>
      <w:divBdr>
        <w:top w:val="none" w:sz="0" w:space="0" w:color="auto"/>
        <w:left w:val="none" w:sz="0" w:space="0" w:color="auto"/>
        <w:bottom w:val="none" w:sz="0" w:space="0" w:color="auto"/>
        <w:right w:val="none" w:sz="0" w:space="0" w:color="auto"/>
      </w:divBdr>
    </w:div>
    <w:div w:id="1654290052">
      <w:bodyDiv w:val="1"/>
      <w:marLeft w:val="0"/>
      <w:marRight w:val="0"/>
      <w:marTop w:val="0"/>
      <w:marBottom w:val="0"/>
      <w:divBdr>
        <w:top w:val="none" w:sz="0" w:space="0" w:color="auto"/>
        <w:left w:val="none" w:sz="0" w:space="0" w:color="auto"/>
        <w:bottom w:val="none" w:sz="0" w:space="0" w:color="auto"/>
        <w:right w:val="none" w:sz="0" w:space="0" w:color="auto"/>
      </w:divBdr>
    </w:div>
    <w:div w:id="1705790060">
      <w:bodyDiv w:val="1"/>
      <w:marLeft w:val="0"/>
      <w:marRight w:val="0"/>
      <w:marTop w:val="0"/>
      <w:marBottom w:val="0"/>
      <w:divBdr>
        <w:top w:val="none" w:sz="0" w:space="0" w:color="auto"/>
        <w:left w:val="none" w:sz="0" w:space="0" w:color="auto"/>
        <w:bottom w:val="none" w:sz="0" w:space="0" w:color="auto"/>
        <w:right w:val="none" w:sz="0" w:space="0" w:color="auto"/>
      </w:divBdr>
    </w:div>
    <w:div w:id="1761680076">
      <w:bodyDiv w:val="1"/>
      <w:marLeft w:val="0"/>
      <w:marRight w:val="0"/>
      <w:marTop w:val="0"/>
      <w:marBottom w:val="0"/>
      <w:divBdr>
        <w:top w:val="none" w:sz="0" w:space="0" w:color="auto"/>
        <w:left w:val="none" w:sz="0" w:space="0" w:color="auto"/>
        <w:bottom w:val="none" w:sz="0" w:space="0" w:color="auto"/>
        <w:right w:val="none" w:sz="0" w:space="0" w:color="auto"/>
      </w:divBdr>
    </w:div>
    <w:div w:id="1809935043">
      <w:bodyDiv w:val="1"/>
      <w:marLeft w:val="0"/>
      <w:marRight w:val="0"/>
      <w:marTop w:val="0"/>
      <w:marBottom w:val="0"/>
      <w:divBdr>
        <w:top w:val="none" w:sz="0" w:space="0" w:color="auto"/>
        <w:left w:val="none" w:sz="0" w:space="0" w:color="auto"/>
        <w:bottom w:val="none" w:sz="0" w:space="0" w:color="auto"/>
        <w:right w:val="none" w:sz="0" w:space="0" w:color="auto"/>
      </w:divBdr>
    </w:div>
    <w:div w:id="205634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A53A0-4853-49D0-A89F-F71C9D5DF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10</Pages>
  <Words>2643</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dc:creator>
  <cp:keywords/>
  <dc:description/>
  <cp:lastModifiedBy>AK</cp:lastModifiedBy>
  <cp:revision>3</cp:revision>
  <dcterms:created xsi:type="dcterms:W3CDTF">2025-10-23T18:42:00Z</dcterms:created>
  <dcterms:modified xsi:type="dcterms:W3CDTF">2025-10-23T19:37:00Z</dcterms:modified>
</cp:coreProperties>
</file>