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65E4ED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D9379C">
              <w:rPr>
                <w:rFonts w:ascii="Tahoma" w:hAnsi="Tahoma" w:cs="Tahoma"/>
                <w:b/>
                <w:sz w:val="20"/>
                <w:szCs w:val="20"/>
              </w:rPr>
              <w:t>Mihaela Anton</w:t>
            </w:r>
          </w:p>
          <w:p w14:paraId="498F0B10" w14:textId="77777777" w:rsidR="001B69C8" w:rsidRPr="003C3341" w:rsidRDefault="001B69C8">
            <w:pPr>
              <w:rPr>
                <w:rFonts w:ascii="Tahoma" w:hAnsi="Tahoma" w:cs="Tahoma"/>
                <w:b/>
                <w:sz w:val="20"/>
                <w:szCs w:val="20"/>
              </w:rPr>
            </w:pPr>
          </w:p>
          <w:p w14:paraId="69E1F0CF" w14:textId="2ACBC21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D9379C">
              <w:rPr>
                <w:rFonts w:ascii="Tahoma" w:hAnsi="Tahoma" w:cs="Tahoma"/>
                <w:b/>
                <w:sz w:val="20"/>
                <w:szCs w:val="20"/>
              </w:rPr>
              <w:t>2122259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0773894"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9379C">
              <w:rPr>
                <w:rFonts w:ascii="Tahoma" w:hAnsi="Tahoma" w:cs="Tahoma"/>
                <w:b/>
                <w:sz w:val="20"/>
                <w:szCs w:val="20"/>
              </w:rPr>
              <w:t>BMHI4002</w:t>
            </w:r>
          </w:p>
          <w:p w14:paraId="2019D1B6" w14:textId="77777777" w:rsidR="00B21F2E" w:rsidRDefault="00B21F2E" w:rsidP="00B21F2E">
            <w:pPr>
              <w:rPr>
                <w:rFonts w:ascii="Tahoma" w:hAnsi="Tahoma" w:cs="Tahoma"/>
                <w:b/>
                <w:sz w:val="20"/>
                <w:szCs w:val="20"/>
              </w:rPr>
            </w:pPr>
          </w:p>
          <w:p w14:paraId="450FE136" w14:textId="10E6584B"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9379C">
              <w:rPr>
                <w:rFonts w:ascii="Tahoma" w:hAnsi="Tahoma" w:cs="Tahoma"/>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4DC073CE" w:rsidR="00B21F2E" w:rsidRDefault="00D9379C" w:rsidP="00B945EA">
            <w:pPr>
              <w:rPr>
                <w:rFonts w:ascii="Tahoma" w:hAnsi="Tahoma" w:cs="Tahoma"/>
                <w:b/>
                <w:sz w:val="20"/>
                <w:szCs w:val="20"/>
              </w:rPr>
            </w:pPr>
            <w:r>
              <w:rPr>
                <w:rFonts w:ascii="Tahoma" w:hAnsi="Tahoma" w:cs="Tahoma"/>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18226CB" w14:textId="77777777" w:rsidR="00F81011" w:rsidRPr="001825B5" w:rsidRDefault="00F81011" w:rsidP="00F81011"/>
          <w:p w14:paraId="391712E9" w14:textId="5E8DFB44" w:rsidR="00F81011" w:rsidRPr="001A6501" w:rsidRDefault="00F81011" w:rsidP="00F81011">
            <w:pPr>
              <w:rPr>
                <w:rFonts w:ascii="Arial" w:hAnsi="Arial" w:cs="Arial"/>
              </w:rPr>
            </w:pPr>
            <w:r>
              <w:rPr>
                <w:rFonts w:asciiTheme="minorHAnsi" w:hAnsiTheme="minorHAnsi" w:cstheme="minorHAnsi"/>
              </w:rPr>
              <w:t xml:space="preserve">  </w:t>
            </w:r>
            <w:r w:rsidRPr="001A6501">
              <w:rPr>
                <w:rFonts w:ascii="Arial" w:hAnsi="Arial" w:cs="Arial"/>
              </w:rPr>
              <w:t xml:space="preserve">I have learned at Food and Beverage about food allergy that is an extreme and severe allergic reaction and the whole body is affected. </w:t>
            </w:r>
          </w:p>
          <w:p w14:paraId="453D5454" w14:textId="77777777" w:rsidR="00F81011" w:rsidRPr="001A6501" w:rsidRDefault="00F81011" w:rsidP="00F81011">
            <w:pPr>
              <w:rPr>
                <w:rFonts w:ascii="Arial" w:hAnsi="Arial" w:cs="Arial"/>
              </w:rPr>
            </w:pPr>
            <w:r w:rsidRPr="001A6501">
              <w:rPr>
                <w:rFonts w:ascii="Arial" w:hAnsi="Arial" w:cs="Arial"/>
              </w:rPr>
              <w:t>Food allergy affects 1-2% of adults and around 6-8% of children in United Kingdom. In United Kingdom around ten people die from food allergic reaction every year (Food Standards Agency, 2020).</w:t>
            </w:r>
          </w:p>
          <w:p w14:paraId="5CD8F2A1" w14:textId="77777777" w:rsidR="00F81011" w:rsidRPr="001A6501" w:rsidRDefault="00F81011" w:rsidP="00F81011">
            <w:pPr>
              <w:rPr>
                <w:rFonts w:ascii="Arial" w:hAnsi="Arial" w:cs="Arial"/>
              </w:rPr>
            </w:pPr>
            <w:r w:rsidRPr="001A6501">
              <w:rPr>
                <w:rFonts w:ascii="Arial" w:hAnsi="Arial" w:cs="Arial"/>
              </w:rPr>
              <w:t>There are fourteen major allergens that the consumers need to be aware of: cereals, crustaceans, eggs, fish, peanuts, soybeans, milk, nuts, celery, mustard, sesame seeds, sulphur dioxide, lupin and mollusc. The reactions of allergies can include flushing of the skin, swelling of face, lips and eyes, swelling of throat and mouth, difficulty in swelling or speaking, alterations in hearth rate, dizziness, collapse and unconsciousness, severe asthma, abdominal pain, runny nose/ itchy nose, sneezing and many more.</w:t>
            </w:r>
          </w:p>
          <w:p w14:paraId="09E0FBB5" w14:textId="77777777" w:rsidR="00F81011" w:rsidRPr="001A6501" w:rsidRDefault="00F81011" w:rsidP="00F81011">
            <w:pPr>
              <w:rPr>
                <w:rFonts w:ascii="Arial" w:hAnsi="Arial" w:cs="Arial"/>
              </w:rPr>
            </w:pPr>
            <w:r w:rsidRPr="001A6501">
              <w:rPr>
                <w:rFonts w:ascii="Arial" w:hAnsi="Arial" w:cs="Arial"/>
              </w:rPr>
              <w:t>Another allergy includes asthmatics sensitive to sulphides in food as well as pollens (Wen et al.,2019).</w:t>
            </w:r>
          </w:p>
          <w:p w14:paraId="172513D7" w14:textId="77777777" w:rsidR="00F81011" w:rsidRPr="001A6501" w:rsidRDefault="00F81011" w:rsidP="00F81011">
            <w:pPr>
              <w:rPr>
                <w:rFonts w:ascii="Arial" w:hAnsi="Arial" w:cs="Arial"/>
              </w:rPr>
            </w:pPr>
            <w:r w:rsidRPr="001A6501">
              <w:rPr>
                <w:rFonts w:ascii="Arial" w:hAnsi="Arial" w:cs="Arial"/>
              </w:rPr>
              <w:t>Allergies can cause Anaphylaxis which is always a medical emergency because can be life-threatening. (NHS, 2019).</w:t>
            </w:r>
          </w:p>
          <w:p w14:paraId="0476E4B8" w14:textId="77777777" w:rsidR="00F81011" w:rsidRPr="001A6501" w:rsidRDefault="00F81011" w:rsidP="00F81011">
            <w:pPr>
              <w:rPr>
                <w:rFonts w:ascii="Arial" w:hAnsi="Arial" w:cs="Arial"/>
              </w:rPr>
            </w:pPr>
            <w:r w:rsidRPr="001A6501">
              <w:rPr>
                <w:rFonts w:ascii="Arial" w:hAnsi="Arial" w:cs="Arial"/>
              </w:rPr>
              <w:t>Intolerances is a reaction to aliments caused by an enzyme absence that can obtain inability to digest the food effectively. It is not medically diagnosed and can be confirmed by an elimination diet, but this should not mean take them less seriously. The symptoms can have long-term effect, and this are abdominal and gastrointestinal pain which can then cause muscular pain and headache.</w:t>
            </w:r>
          </w:p>
          <w:p w14:paraId="60311081" w14:textId="77777777" w:rsidR="00F81011" w:rsidRPr="001A6501" w:rsidRDefault="00F81011" w:rsidP="00F81011">
            <w:pPr>
              <w:rPr>
                <w:rFonts w:ascii="Arial" w:hAnsi="Arial" w:cs="Arial"/>
              </w:rPr>
            </w:pPr>
            <w:r w:rsidRPr="001A6501">
              <w:rPr>
                <w:rFonts w:ascii="Arial" w:hAnsi="Arial" w:cs="Arial"/>
              </w:rPr>
              <w:t>Coeliac disease is an autoimmune disease, where your immune system attacks your own tissues when you eat gluten. The symptoms are diarrhoea, abdominal pain and bloating. Can be test usually for people with an increased risk such those with family history condition and they need gluten-free diet.</w:t>
            </w:r>
          </w:p>
          <w:p w14:paraId="5552FE67" w14:textId="77777777" w:rsidR="00F81011" w:rsidRPr="001A6501" w:rsidRDefault="00F81011" w:rsidP="00F81011">
            <w:pPr>
              <w:rPr>
                <w:rFonts w:ascii="Arial" w:hAnsi="Arial" w:cs="Arial"/>
              </w:rPr>
            </w:pPr>
            <w:r w:rsidRPr="001A6501">
              <w:rPr>
                <w:rFonts w:ascii="Arial" w:hAnsi="Arial" w:cs="Arial"/>
              </w:rPr>
              <w:t>Cross-Contamination with allergens can happened when a small amount of allergen gets into another food accidentally through the manufacturing or food preparation. It can also occur through contact with utensils, surface or objects.</w:t>
            </w:r>
          </w:p>
          <w:p w14:paraId="6BF69194" w14:textId="77777777" w:rsidR="00F81011" w:rsidRPr="001A6501" w:rsidRDefault="00F81011" w:rsidP="00F81011">
            <w:pPr>
              <w:rPr>
                <w:rFonts w:ascii="Arial" w:hAnsi="Arial" w:cs="Arial"/>
              </w:rPr>
            </w:pPr>
            <w:r w:rsidRPr="001A6501">
              <w:rPr>
                <w:rFonts w:ascii="Arial" w:hAnsi="Arial" w:cs="Arial"/>
              </w:rPr>
              <w:t xml:space="preserve">To avoid the Cross-Contamination the businesses need to focus on keeping the workplace clean, sanitized, in proper storage, proper seal and proper disposal. Businesses also need designated equipment. </w:t>
            </w:r>
          </w:p>
          <w:p w14:paraId="6D3BC4A3" w14:textId="77777777" w:rsidR="00F81011" w:rsidRPr="001A6501" w:rsidRDefault="00F81011" w:rsidP="00F81011">
            <w:pPr>
              <w:rPr>
                <w:rFonts w:ascii="Arial" w:hAnsi="Arial" w:cs="Arial"/>
              </w:rPr>
            </w:pPr>
            <w:r w:rsidRPr="001A6501">
              <w:rPr>
                <w:rFonts w:ascii="Arial" w:hAnsi="Arial" w:cs="Arial"/>
              </w:rPr>
              <w:t>I remember when I was young, I had allergy at eggs. All over my body was covered in red spots and I remember that it was very itchy with abdominal pain, cramps and it was difficult for me because sometimes I was missing the taste of it. But I never realised how dangerous can be. I was one of those lucky children because when I grew up my allergy disappeared.</w:t>
            </w:r>
          </w:p>
          <w:p w14:paraId="28F39462" w14:textId="77777777" w:rsidR="00F81011" w:rsidRPr="001A6501" w:rsidRDefault="00F81011" w:rsidP="00F81011">
            <w:pPr>
              <w:rPr>
                <w:rFonts w:ascii="Arial" w:hAnsi="Arial" w:cs="Arial"/>
              </w:rPr>
            </w:pPr>
            <w:r w:rsidRPr="001A6501">
              <w:rPr>
                <w:rFonts w:ascii="Arial" w:hAnsi="Arial" w:cs="Arial"/>
              </w:rPr>
              <w:t>I read that allergy symptoms can change all conditions of a children’s constantly life, along with health, education and social activities (Allergy in childhood, 2022)</w:t>
            </w:r>
          </w:p>
          <w:p w14:paraId="23902E1F" w14:textId="77777777" w:rsidR="00F81011" w:rsidRPr="001A6501" w:rsidRDefault="00F81011" w:rsidP="00F81011">
            <w:pPr>
              <w:rPr>
                <w:rFonts w:ascii="Arial" w:hAnsi="Arial" w:cs="Arial"/>
              </w:rPr>
            </w:pPr>
            <w:r w:rsidRPr="001A6501">
              <w:rPr>
                <w:rFonts w:ascii="Arial" w:hAnsi="Arial" w:cs="Arial"/>
              </w:rPr>
              <w:t xml:space="preserve"> I also never know how dangerous it is for other people that have this problem. Apart from allergies and the reaction of it, at this course I learned allot of new things that I did not know about. In kitchen restaurants I realised that it is a big responsibility for the staff that is preparing the food for the customers. However, I did know that they use special appropriated equipment to prevent cross-contamination. </w:t>
            </w:r>
          </w:p>
          <w:p w14:paraId="6D462FC7" w14:textId="77777777" w:rsidR="00F81011" w:rsidRPr="001A6501" w:rsidRDefault="00F81011" w:rsidP="00F81011">
            <w:pPr>
              <w:rPr>
                <w:rFonts w:ascii="Arial" w:hAnsi="Arial" w:cs="Arial"/>
              </w:rPr>
            </w:pPr>
            <w:r w:rsidRPr="001A6501">
              <w:rPr>
                <w:rFonts w:ascii="Arial" w:hAnsi="Arial" w:cs="Arial"/>
              </w:rPr>
              <w:t>An independent government department is working to protect public health and consumers higher interest in food named Food Standard Agency that was established in 2000. They are responsible for the systems that regulate food businesses.</w:t>
            </w:r>
          </w:p>
          <w:p w14:paraId="38A3E14D" w14:textId="77777777" w:rsidR="00F81011" w:rsidRPr="001A6501" w:rsidRDefault="00F81011" w:rsidP="00F81011">
            <w:pPr>
              <w:rPr>
                <w:rFonts w:ascii="Arial" w:hAnsi="Arial" w:cs="Arial"/>
              </w:rPr>
            </w:pPr>
            <w:r w:rsidRPr="001A6501">
              <w:rPr>
                <w:rFonts w:ascii="Arial" w:hAnsi="Arial" w:cs="Arial"/>
              </w:rPr>
              <w:lastRenderedPageBreak/>
              <w:t>Food Standard Agency is helping the food service industry to develop the experience of dining out for the consumers who have food allergy, coeliac disease and food intolerances (Food Standard Agency).</w:t>
            </w:r>
          </w:p>
          <w:p w14:paraId="02071221" w14:textId="77777777" w:rsidR="00F81011" w:rsidRPr="001A6501" w:rsidRDefault="00F81011" w:rsidP="00F81011">
            <w:pPr>
              <w:rPr>
                <w:rFonts w:ascii="Arial" w:hAnsi="Arial" w:cs="Arial"/>
              </w:rPr>
            </w:pPr>
            <w:r w:rsidRPr="001A6501">
              <w:rPr>
                <w:rFonts w:ascii="Arial" w:hAnsi="Arial" w:cs="Arial"/>
              </w:rPr>
              <w:t>Business operators must provide allergen information in writing, part of a conversation with the customer or can display allergy and intolerance sign so they can know where they can find the information’s. The takeaway restaurants should provide information before the customer purchasing.</w:t>
            </w:r>
          </w:p>
          <w:p w14:paraId="644F3695" w14:textId="77777777" w:rsidR="00F81011" w:rsidRPr="001A6501" w:rsidRDefault="00F81011" w:rsidP="00F81011">
            <w:pPr>
              <w:rPr>
                <w:rFonts w:ascii="Arial" w:hAnsi="Arial" w:cs="Arial"/>
              </w:rPr>
            </w:pPr>
            <w:r w:rsidRPr="001A6501">
              <w:rPr>
                <w:rFonts w:ascii="Arial" w:hAnsi="Arial" w:cs="Arial"/>
              </w:rPr>
              <w:t xml:space="preserve">If the business cannot avoid the cross-contamination in food preparation, they should inform customers that they cannot provide an allergen free dish.  </w:t>
            </w:r>
          </w:p>
          <w:p w14:paraId="4DEDCD9E" w14:textId="77777777" w:rsidR="00F81011" w:rsidRPr="001A6501" w:rsidRDefault="00F81011" w:rsidP="00F81011">
            <w:pPr>
              <w:rPr>
                <w:rFonts w:ascii="Arial" w:hAnsi="Arial" w:cs="Arial"/>
              </w:rPr>
            </w:pPr>
            <w:r w:rsidRPr="001A6501">
              <w:rPr>
                <w:rFonts w:ascii="Arial" w:hAnsi="Arial" w:cs="Arial"/>
              </w:rPr>
              <w:t>Based on the menus analysis the restaurants have codes for special dietary menus like: LF for lactose free, GF for gluten free, NF for nut free, DF for dairy free and many more (</w:t>
            </w:r>
            <w:proofErr w:type="spellStart"/>
            <w:r w:rsidRPr="001A6501">
              <w:rPr>
                <w:rFonts w:ascii="Arial" w:hAnsi="Arial" w:cs="Arial"/>
              </w:rPr>
              <w:t>Oktadiana</w:t>
            </w:r>
            <w:proofErr w:type="spellEnd"/>
            <w:r w:rsidRPr="001A6501">
              <w:rPr>
                <w:rFonts w:ascii="Arial" w:hAnsi="Arial" w:cs="Arial"/>
              </w:rPr>
              <w:t xml:space="preserve"> et al., 2020).</w:t>
            </w:r>
          </w:p>
          <w:p w14:paraId="36F60EED" w14:textId="77777777" w:rsidR="00F81011" w:rsidRPr="001A6501" w:rsidRDefault="00F81011" w:rsidP="00F81011">
            <w:pPr>
              <w:rPr>
                <w:rFonts w:ascii="Arial" w:hAnsi="Arial" w:cs="Arial"/>
              </w:rPr>
            </w:pPr>
            <w:r w:rsidRPr="001A6501">
              <w:rPr>
                <w:rFonts w:ascii="Arial" w:hAnsi="Arial" w:cs="Arial"/>
              </w:rPr>
              <w:t xml:space="preserve">In conclusion, the restaurant’s skills and knowledge of food, health diets and restrictions on consumption is to comply with the range of dietary restrictions and laws. This topic is very important within the industry because it is about the consumers health, mainly children and adults that can be diagnosed with all that I described above and may be in danger. I would also like to know more in the future about this subject and I will continue with my researching.  </w:t>
            </w: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Pr="00F81011" w:rsidRDefault="00375882" w:rsidP="007F6692">
            <w:pPr>
              <w:rPr>
                <w:rFonts w:asciiTheme="minorHAnsi" w:hAnsiTheme="minorHAnsi" w:cstheme="minorHAnsi"/>
                <w:sz w:val="20"/>
                <w:szCs w:val="20"/>
              </w:rPr>
            </w:pPr>
          </w:p>
          <w:p w14:paraId="09A3178A" w14:textId="4A3D0AC6" w:rsidR="00F81011" w:rsidRDefault="001A1785" w:rsidP="00F81011">
            <w:pPr>
              <w:spacing w:line="360" w:lineRule="auto"/>
              <w:jc w:val="both"/>
              <w:rPr>
                <w:rFonts w:asciiTheme="minorHAnsi" w:hAnsiTheme="minorHAnsi" w:cstheme="minorHAnsi"/>
              </w:rPr>
            </w:pPr>
            <w:hyperlink r:id="rId7" w:history="1">
              <w:r w:rsidR="00F81011" w:rsidRPr="00FA6B35">
                <w:rPr>
                  <w:rStyle w:val="Hyperlink"/>
                  <w:rFonts w:asciiTheme="minorHAnsi" w:hAnsiTheme="minorHAnsi" w:cstheme="minorHAnsi"/>
                </w:rPr>
                <w:t>https://www.nhs.uk/conditions/anaphylaxis/</w:t>
              </w:r>
            </w:hyperlink>
            <w:r w:rsidR="001B05CF">
              <w:rPr>
                <w:rFonts w:asciiTheme="minorHAnsi" w:hAnsiTheme="minorHAnsi" w:cstheme="minorHAnsi"/>
              </w:rPr>
              <w:t xml:space="preserve"> (</w:t>
            </w:r>
            <w:r w:rsidR="00256B41">
              <w:rPr>
                <w:rFonts w:asciiTheme="minorHAnsi" w:hAnsiTheme="minorHAnsi" w:cstheme="minorHAnsi"/>
              </w:rPr>
              <w:t>Accessed:</w:t>
            </w:r>
            <w:r w:rsidR="001B05CF">
              <w:rPr>
                <w:rFonts w:asciiTheme="minorHAnsi" w:hAnsiTheme="minorHAnsi" w:cstheme="minorHAnsi"/>
              </w:rPr>
              <w:t xml:space="preserve"> 29 May 2022)</w:t>
            </w:r>
          </w:p>
          <w:p w14:paraId="5A3E1D63" w14:textId="77777777" w:rsidR="00F81011" w:rsidRPr="00F81011" w:rsidRDefault="00F81011" w:rsidP="00F81011">
            <w:pPr>
              <w:spacing w:line="360" w:lineRule="auto"/>
              <w:jc w:val="both"/>
              <w:rPr>
                <w:rFonts w:asciiTheme="minorHAnsi" w:hAnsiTheme="minorHAnsi" w:cstheme="minorHAnsi"/>
              </w:rPr>
            </w:pPr>
          </w:p>
          <w:p w14:paraId="50CAB1D1" w14:textId="0F4E1B80" w:rsidR="00F81011" w:rsidRDefault="001A1785" w:rsidP="00F81011">
            <w:pPr>
              <w:spacing w:line="360" w:lineRule="auto"/>
              <w:jc w:val="both"/>
              <w:rPr>
                <w:rFonts w:asciiTheme="minorHAnsi" w:hAnsiTheme="minorHAnsi" w:cstheme="minorHAnsi"/>
              </w:rPr>
            </w:pPr>
            <w:hyperlink r:id="rId8" w:history="1">
              <w:r w:rsidR="00F81011" w:rsidRPr="00FA6B35">
                <w:rPr>
                  <w:rStyle w:val="Hyperlink"/>
                  <w:rFonts w:asciiTheme="minorHAnsi" w:hAnsiTheme="minorHAnsi" w:cstheme="minorHAnsi"/>
                </w:rPr>
                <w:t>https://foodallergyaware.co.uk/resources/food-standard-agency/</w:t>
              </w:r>
            </w:hyperlink>
            <w:r w:rsidR="001B05CF">
              <w:rPr>
                <w:rFonts w:asciiTheme="minorHAnsi" w:hAnsiTheme="minorHAnsi" w:cstheme="minorHAnsi"/>
              </w:rPr>
              <w:t xml:space="preserve"> (Accessed: 29 May 2022)</w:t>
            </w:r>
          </w:p>
          <w:p w14:paraId="3B55C543" w14:textId="77777777" w:rsidR="00F81011" w:rsidRPr="00F81011" w:rsidRDefault="00F81011" w:rsidP="00F81011">
            <w:pPr>
              <w:spacing w:line="360" w:lineRule="auto"/>
              <w:jc w:val="both"/>
              <w:rPr>
                <w:rFonts w:asciiTheme="minorHAnsi" w:hAnsiTheme="minorHAnsi" w:cstheme="minorHAnsi"/>
              </w:rPr>
            </w:pPr>
          </w:p>
          <w:p w14:paraId="0B1490F8" w14:textId="5FCD9686" w:rsidR="00F81011" w:rsidRDefault="001A1785" w:rsidP="00F81011">
            <w:pPr>
              <w:spacing w:line="360" w:lineRule="auto"/>
              <w:jc w:val="both"/>
              <w:rPr>
                <w:rFonts w:asciiTheme="minorHAnsi" w:hAnsiTheme="minorHAnsi" w:cstheme="minorHAnsi"/>
              </w:rPr>
            </w:pPr>
            <w:hyperlink r:id="rId9" w:anchor="allergen-information-for-different-types-of-food-businesses" w:history="1">
              <w:r w:rsidR="00F81011" w:rsidRPr="00FA6B35">
                <w:rPr>
                  <w:rStyle w:val="Hyperlink"/>
                  <w:rFonts w:asciiTheme="minorHAnsi" w:hAnsiTheme="minorHAnsi" w:cstheme="minorHAnsi"/>
                </w:rPr>
                <w:t>https://www.food.gov.uk/business-guidance/allergen-guidance-for-food-businesses#allergen-information-for-different-types-of-food-businesses</w:t>
              </w:r>
            </w:hyperlink>
            <w:r w:rsidR="00A42387">
              <w:rPr>
                <w:rFonts w:asciiTheme="minorHAnsi" w:hAnsiTheme="minorHAnsi" w:cstheme="minorHAnsi"/>
              </w:rPr>
              <w:t xml:space="preserve"> (Accessed</w:t>
            </w:r>
            <w:r w:rsidR="001B05CF">
              <w:rPr>
                <w:rFonts w:asciiTheme="minorHAnsi" w:hAnsiTheme="minorHAnsi" w:cstheme="minorHAnsi"/>
              </w:rPr>
              <w:t>: 29 May 2022)</w:t>
            </w:r>
          </w:p>
          <w:p w14:paraId="19C10951" w14:textId="77777777" w:rsidR="00F81011" w:rsidRPr="00F81011" w:rsidRDefault="00F81011" w:rsidP="00F81011">
            <w:pPr>
              <w:spacing w:line="360" w:lineRule="auto"/>
              <w:jc w:val="both"/>
              <w:rPr>
                <w:rFonts w:asciiTheme="minorHAnsi" w:hAnsiTheme="minorHAnsi" w:cstheme="minorHAnsi"/>
              </w:rPr>
            </w:pPr>
          </w:p>
          <w:p w14:paraId="2F0A3F1B" w14:textId="50772E5F" w:rsidR="00F81011" w:rsidRDefault="001A1785" w:rsidP="00F81011">
            <w:pPr>
              <w:spacing w:line="360" w:lineRule="auto"/>
              <w:jc w:val="both"/>
              <w:rPr>
                <w:rFonts w:asciiTheme="minorHAnsi" w:hAnsiTheme="minorHAnsi" w:cstheme="minorHAnsi"/>
              </w:rPr>
            </w:pPr>
            <w:hyperlink r:id="rId10" w:history="1">
              <w:r w:rsidR="00F81011" w:rsidRPr="00FA6B35">
                <w:rPr>
                  <w:rStyle w:val="Hyperlink"/>
                  <w:rFonts w:asciiTheme="minorHAnsi" w:hAnsiTheme="minorHAnsi" w:cstheme="minorHAnsi"/>
                </w:rPr>
                <w:t>https://www.allergyuk.org/about-allergy/allergy-in-childhood/</w:t>
              </w:r>
            </w:hyperlink>
            <w:r w:rsidR="00A42387">
              <w:rPr>
                <w:rFonts w:asciiTheme="minorHAnsi" w:hAnsiTheme="minorHAnsi" w:cstheme="minorHAnsi"/>
              </w:rPr>
              <w:t xml:space="preserve"> (Accessed: 30 May 2022).</w:t>
            </w:r>
          </w:p>
          <w:p w14:paraId="1EEDD614" w14:textId="77777777" w:rsidR="00F81011" w:rsidRPr="00F81011" w:rsidRDefault="00F81011" w:rsidP="00F81011">
            <w:pPr>
              <w:spacing w:line="360" w:lineRule="auto"/>
              <w:jc w:val="both"/>
              <w:rPr>
                <w:rFonts w:asciiTheme="minorHAnsi" w:hAnsiTheme="minorHAnsi" w:cstheme="minorHAnsi"/>
              </w:rPr>
            </w:pPr>
          </w:p>
          <w:p w14:paraId="3723AD73" w14:textId="77777777" w:rsidR="00F81011" w:rsidRPr="00F81011" w:rsidRDefault="00F81011" w:rsidP="00F81011">
            <w:pPr>
              <w:spacing w:line="360" w:lineRule="auto"/>
              <w:jc w:val="both"/>
              <w:rPr>
                <w:rFonts w:asciiTheme="minorHAnsi" w:hAnsiTheme="minorHAnsi" w:cstheme="minorHAnsi"/>
              </w:rPr>
            </w:pPr>
            <w:proofErr w:type="spellStart"/>
            <w:r w:rsidRPr="00F81011">
              <w:rPr>
                <w:rFonts w:asciiTheme="minorHAnsi" w:hAnsiTheme="minorHAnsi" w:cstheme="minorHAnsi"/>
              </w:rPr>
              <w:t>Oktadiana</w:t>
            </w:r>
            <w:proofErr w:type="spellEnd"/>
            <w:r w:rsidRPr="00F81011">
              <w:rPr>
                <w:rFonts w:asciiTheme="minorHAnsi" w:hAnsiTheme="minorHAnsi" w:cstheme="minorHAnsi"/>
              </w:rPr>
              <w:t>, H., Pearce, P.L. and Mohammadi, Z. (2020) ‘Special dietary requirements: Restaurant sector responses across six tourist cities’, The international journal of tourism research, 22(4), pp. 507–517. doi:10.1002/jtr.2352.</w:t>
            </w:r>
          </w:p>
          <w:p w14:paraId="4F228F5D" w14:textId="6EC1E8EB" w:rsidR="00375882" w:rsidRPr="00F81011" w:rsidRDefault="00F81011" w:rsidP="00F81011">
            <w:pPr>
              <w:spacing w:line="360" w:lineRule="auto"/>
              <w:jc w:val="both"/>
              <w:rPr>
                <w:rFonts w:asciiTheme="minorHAnsi" w:hAnsiTheme="minorHAnsi" w:cstheme="minorHAnsi"/>
              </w:rPr>
            </w:pPr>
            <w:r w:rsidRPr="00F81011">
              <w:rPr>
                <w:rFonts w:asciiTheme="minorHAnsi" w:hAnsiTheme="minorHAnsi" w:cstheme="minorHAnsi"/>
              </w:rPr>
              <w:t>Wen, H. and Kwon, J. (2019) ‘Food allergy information sharing and communication strategies in full-service restaurants in the U.S’, Journal of foodservice business research, 22(1), pp. 50–65. doi:10.1080/15378020.2018.1546074.</w:t>
            </w:r>
          </w:p>
          <w:p w14:paraId="00C184CC" w14:textId="1B102F8C" w:rsidR="00375882" w:rsidRPr="00F81011" w:rsidRDefault="00375882" w:rsidP="007F6692">
            <w:pPr>
              <w:spacing w:line="360" w:lineRule="auto"/>
              <w:jc w:val="both"/>
              <w:rPr>
                <w:rFonts w:asciiTheme="minorHAnsi" w:hAnsiTheme="minorHAnsi" w:cstheme="minorHAnsi"/>
              </w:rPr>
            </w:pPr>
          </w:p>
          <w:p w14:paraId="68704F0D" w14:textId="77777777" w:rsidR="00375882" w:rsidRDefault="00375882" w:rsidP="007F6692">
            <w:pPr>
              <w:jc w:val="both"/>
              <w:rPr>
                <w:rFonts w:asciiTheme="minorHAnsi" w:hAnsiTheme="minorHAnsi" w:cstheme="minorHAnsi"/>
              </w:rPr>
            </w:pPr>
          </w:p>
          <w:p w14:paraId="06176274" w14:textId="77777777" w:rsidR="0084055B" w:rsidRDefault="0084055B" w:rsidP="007F6692">
            <w:pPr>
              <w:jc w:val="both"/>
              <w:rPr>
                <w:rFonts w:asciiTheme="minorHAnsi" w:hAnsiTheme="minorHAnsi" w:cstheme="minorHAnsi"/>
              </w:rPr>
            </w:pPr>
          </w:p>
          <w:p w14:paraId="1456840D" w14:textId="77777777" w:rsidR="0084055B" w:rsidRDefault="0084055B" w:rsidP="007F6692">
            <w:pPr>
              <w:jc w:val="both"/>
              <w:rPr>
                <w:rFonts w:asciiTheme="minorHAnsi" w:hAnsiTheme="minorHAnsi" w:cstheme="minorHAnsi"/>
              </w:rPr>
            </w:pPr>
          </w:p>
          <w:p w14:paraId="6EF68D80" w14:textId="77777777" w:rsidR="0084055B" w:rsidRDefault="0084055B" w:rsidP="007F6692">
            <w:pPr>
              <w:jc w:val="both"/>
              <w:rPr>
                <w:rFonts w:asciiTheme="minorHAnsi" w:hAnsiTheme="minorHAnsi" w:cstheme="minorHAnsi"/>
              </w:rPr>
            </w:pPr>
          </w:p>
          <w:p w14:paraId="11DC3E49" w14:textId="77777777" w:rsidR="0084055B" w:rsidRDefault="0084055B" w:rsidP="007F6692">
            <w:pPr>
              <w:jc w:val="both"/>
              <w:rPr>
                <w:rFonts w:asciiTheme="minorHAnsi" w:hAnsiTheme="minorHAnsi" w:cstheme="minorHAnsi"/>
              </w:rPr>
            </w:pPr>
          </w:p>
          <w:p w14:paraId="47FB6995" w14:textId="494E3935" w:rsidR="0084055B" w:rsidRPr="00F81011" w:rsidRDefault="0084055B" w:rsidP="007F6692">
            <w:pPr>
              <w:jc w:val="both"/>
              <w:rPr>
                <w:rFonts w:asciiTheme="minorHAnsi" w:hAnsiTheme="minorHAnsi" w:cstheme="minorHAnsi"/>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95B" w14:textId="77777777" w:rsidR="001A1785" w:rsidRDefault="001A1785">
      <w:r>
        <w:separator/>
      </w:r>
    </w:p>
  </w:endnote>
  <w:endnote w:type="continuationSeparator" w:id="0">
    <w:p w14:paraId="6D740B78" w14:textId="77777777" w:rsidR="001A1785" w:rsidRDefault="001A1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7A9DD" w14:textId="77777777" w:rsidR="001A1785" w:rsidRDefault="001A1785">
      <w:r>
        <w:separator/>
      </w:r>
    </w:p>
  </w:footnote>
  <w:footnote w:type="continuationSeparator" w:id="0">
    <w:p w14:paraId="17EA3BB6" w14:textId="77777777" w:rsidR="001A1785" w:rsidRDefault="001A1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1436601">
    <w:abstractNumId w:val="12"/>
  </w:num>
  <w:num w:numId="2" w16cid:durableId="1189029113">
    <w:abstractNumId w:val="4"/>
  </w:num>
  <w:num w:numId="3" w16cid:durableId="2116436966">
    <w:abstractNumId w:val="27"/>
  </w:num>
  <w:num w:numId="4" w16cid:durableId="439184399">
    <w:abstractNumId w:val="5"/>
  </w:num>
  <w:num w:numId="5" w16cid:durableId="983119985">
    <w:abstractNumId w:val="23"/>
  </w:num>
  <w:num w:numId="6" w16cid:durableId="1282150440">
    <w:abstractNumId w:val="6"/>
  </w:num>
  <w:num w:numId="7" w16cid:durableId="715740954">
    <w:abstractNumId w:val="0"/>
  </w:num>
  <w:num w:numId="8" w16cid:durableId="1780300433">
    <w:abstractNumId w:val="26"/>
  </w:num>
  <w:num w:numId="9" w16cid:durableId="1148979630">
    <w:abstractNumId w:val="15"/>
  </w:num>
  <w:num w:numId="10" w16cid:durableId="701437201">
    <w:abstractNumId w:val="18"/>
  </w:num>
  <w:num w:numId="11" w16cid:durableId="492529837">
    <w:abstractNumId w:val="3"/>
  </w:num>
  <w:num w:numId="12" w16cid:durableId="1397043795">
    <w:abstractNumId w:val="13"/>
  </w:num>
  <w:num w:numId="13" w16cid:durableId="1972587439">
    <w:abstractNumId w:val="2"/>
  </w:num>
  <w:num w:numId="14" w16cid:durableId="1551064740">
    <w:abstractNumId w:val="9"/>
  </w:num>
  <w:num w:numId="15" w16cid:durableId="299312346">
    <w:abstractNumId w:val="17"/>
  </w:num>
  <w:num w:numId="16" w16cid:durableId="873689573">
    <w:abstractNumId w:val="19"/>
  </w:num>
  <w:num w:numId="17" w16cid:durableId="1155220640">
    <w:abstractNumId w:val="1"/>
  </w:num>
  <w:num w:numId="18" w16cid:durableId="1607542982">
    <w:abstractNumId w:val="25"/>
  </w:num>
  <w:num w:numId="19" w16cid:durableId="1688672030">
    <w:abstractNumId w:val="8"/>
  </w:num>
  <w:num w:numId="20" w16cid:durableId="1597130737">
    <w:abstractNumId w:val="20"/>
  </w:num>
  <w:num w:numId="21" w16cid:durableId="372078985">
    <w:abstractNumId w:val="11"/>
  </w:num>
  <w:num w:numId="22" w16cid:durableId="840001234">
    <w:abstractNumId w:val="16"/>
  </w:num>
  <w:num w:numId="23" w16cid:durableId="1493526121">
    <w:abstractNumId w:val="24"/>
  </w:num>
  <w:num w:numId="24" w16cid:durableId="1857765475">
    <w:abstractNumId w:val="10"/>
  </w:num>
  <w:num w:numId="25" w16cid:durableId="1107386204">
    <w:abstractNumId w:val="22"/>
  </w:num>
  <w:num w:numId="26" w16cid:durableId="1106998909">
    <w:abstractNumId w:val="7"/>
  </w:num>
  <w:num w:numId="27" w16cid:durableId="1858536786">
    <w:abstractNumId w:val="21"/>
  </w:num>
  <w:num w:numId="28" w16cid:durableId="3010391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1785"/>
    <w:rsid w:val="001A59E7"/>
    <w:rsid w:val="001A6501"/>
    <w:rsid w:val="001B05CF"/>
    <w:rsid w:val="001B69C8"/>
    <w:rsid w:val="001B6DB4"/>
    <w:rsid w:val="001C5C4E"/>
    <w:rsid w:val="001D4719"/>
    <w:rsid w:val="001E720E"/>
    <w:rsid w:val="00202878"/>
    <w:rsid w:val="002314D4"/>
    <w:rsid w:val="002430D4"/>
    <w:rsid w:val="00244B89"/>
    <w:rsid w:val="00244F84"/>
    <w:rsid w:val="00256B41"/>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2344"/>
    <w:rsid w:val="00814801"/>
    <w:rsid w:val="0082407E"/>
    <w:rsid w:val="00826699"/>
    <w:rsid w:val="0084055B"/>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2387"/>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379C"/>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81011"/>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F81011"/>
    <w:rPr>
      <w:color w:val="0000FF" w:themeColor="hyperlink"/>
      <w:u w:val="single"/>
    </w:rPr>
  </w:style>
  <w:style w:type="character" w:styleId="UnresolvedMention">
    <w:name w:val="Unresolved Mention"/>
    <w:basedOn w:val="DefaultParagraphFont"/>
    <w:uiPriority w:val="99"/>
    <w:semiHidden/>
    <w:unhideWhenUsed/>
    <w:rsid w:val="00F81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odallergyaware.co.uk/resources/food-standard-agenc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anaphylaxi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llergyuk.org/about-allergy/allergy-in-childhood/" TargetMode="External"/><Relationship Id="rId4" Type="http://schemas.openxmlformats.org/officeDocument/2006/relationships/webSettings" Target="webSettings.xml"/><Relationship Id="rId9" Type="http://schemas.openxmlformats.org/officeDocument/2006/relationships/hyperlink" Target="https://www.food.gov.uk/business-guidance/allergen-guidance-for-food-business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922</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Mihaela</cp:lastModifiedBy>
  <cp:revision>7</cp:revision>
  <cp:lastPrinted>2020-09-28T20:53:00Z</cp:lastPrinted>
  <dcterms:created xsi:type="dcterms:W3CDTF">2022-01-12T15:50:00Z</dcterms:created>
  <dcterms:modified xsi:type="dcterms:W3CDTF">2022-06-02T23:09:00Z</dcterms:modified>
</cp:coreProperties>
</file>