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6A40AD" w14:textId="77777777" w:rsidR="00CD697A" w:rsidRPr="00CD697A" w:rsidRDefault="00CD697A" w:rsidP="00CD697A">
      <w:pPr>
        <w:ind w:left="720"/>
        <w:rPr>
          <w:rFonts w:ascii="Arial" w:hAnsi="Arial" w:cs="Arial"/>
          <w:b/>
          <w:bCs/>
          <w:color w:val="000000" w:themeColor="text1"/>
          <w:sz w:val="22"/>
          <w:szCs w:val="22"/>
        </w:rPr>
      </w:pPr>
      <w:proofErr w:type="spellStart"/>
      <w:r w:rsidRPr="00CD697A">
        <w:rPr>
          <w:rFonts w:ascii="Arial" w:hAnsi="Arial" w:cs="Arial"/>
          <w:b/>
          <w:bCs/>
          <w:color w:val="000000" w:themeColor="text1"/>
          <w:sz w:val="22"/>
          <w:szCs w:val="22"/>
        </w:rPr>
        <w:t>Nikol</w:t>
      </w:r>
      <w:proofErr w:type="spellEnd"/>
      <w:r w:rsidRPr="00CD697A">
        <w:rPr>
          <w:rFonts w:ascii="Arial" w:hAnsi="Arial" w:cs="Arial"/>
          <w:b/>
          <w:bCs/>
          <w:color w:val="000000" w:themeColor="text1"/>
          <w:sz w:val="22"/>
          <w:szCs w:val="22"/>
        </w:rPr>
        <w:t xml:space="preserve"> Ivanova</w:t>
      </w:r>
    </w:p>
    <w:p w14:paraId="3C3FFA8D" w14:textId="77777777" w:rsidR="00CD697A" w:rsidRPr="00CD697A" w:rsidRDefault="00CD697A" w:rsidP="00CD697A">
      <w:pPr>
        <w:ind w:left="720"/>
        <w:rPr>
          <w:rFonts w:ascii="Arial" w:hAnsi="Arial" w:cs="Arial"/>
          <w:b/>
          <w:bCs/>
          <w:color w:val="000000" w:themeColor="text1"/>
          <w:sz w:val="22"/>
          <w:szCs w:val="22"/>
        </w:rPr>
      </w:pPr>
      <w:r w:rsidRPr="00CD697A">
        <w:rPr>
          <w:rFonts w:ascii="Arial" w:hAnsi="Arial" w:cs="Arial"/>
          <w:b/>
          <w:bCs/>
          <w:color w:val="000000" w:themeColor="text1"/>
          <w:sz w:val="22"/>
          <w:szCs w:val="22"/>
        </w:rPr>
        <w:t>Principles of Professional Practice- Assignment 1</w:t>
      </w:r>
    </w:p>
    <w:p w14:paraId="7D7BB48F" w14:textId="77777777" w:rsidR="00CD697A" w:rsidRPr="00CD697A" w:rsidRDefault="00CD697A" w:rsidP="00CD697A">
      <w:pPr>
        <w:ind w:left="720"/>
        <w:rPr>
          <w:rFonts w:ascii="Arial" w:hAnsi="Arial" w:cs="Arial"/>
          <w:b/>
          <w:bCs/>
          <w:color w:val="000000" w:themeColor="text1"/>
          <w:sz w:val="22"/>
          <w:szCs w:val="22"/>
        </w:rPr>
      </w:pPr>
    </w:p>
    <w:p w14:paraId="0DCABAC7" w14:textId="77777777" w:rsidR="00CD697A" w:rsidRPr="00CD697A" w:rsidRDefault="00CD697A" w:rsidP="00CD697A">
      <w:pPr>
        <w:ind w:left="720"/>
        <w:rPr>
          <w:rFonts w:ascii="Arial" w:hAnsi="Arial" w:cs="Arial"/>
          <w:b/>
          <w:bCs/>
          <w:color w:val="000000" w:themeColor="text1"/>
          <w:sz w:val="22"/>
          <w:szCs w:val="22"/>
          <w:u w:val="single"/>
        </w:rPr>
      </w:pPr>
      <w:r w:rsidRPr="00CD697A">
        <w:rPr>
          <w:rFonts w:ascii="Arial" w:hAnsi="Arial" w:cs="Arial"/>
          <w:b/>
          <w:bCs/>
          <w:color w:val="000000" w:themeColor="text1"/>
          <w:sz w:val="22"/>
          <w:szCs w:val="22"/>
          <w:u w:val="single"/>
        </w:rPr>
        <w:t>Element 1- Email Writing</w:t>
      </w:r>
    </w:p>
    <w:p w14:paraId="356C1C44" w14:textId="77777777" w:rsidR="00CD697A" w:rsidRPr="00CD697A" w:rsidRDefault="00CD697A" w:rsidP="00CD697A">
      <w:pPr>
        <w:ind w:left="720"/>
        <w:rPr>
          <w:rFonts w:ascii="Arial" w:hAnsi="Arial" w:cs="Arial"/>
          <w:color w:val="000000" w:themeColor="text1"/>
          <w:sz w:val="22"/>
          <w:szCs w:val="22"/>
        </w:rPr>
      </w:pPr>
    </w:p>
    <w:p w14:paraId="0F852A7B" w14:textId="77777777" w:rsidR="00CD697A" w:rsidRPr="00CD697A" w:rsidRDefault="00CD697A" w:rsidP="00CD697A">
      <w:pPr>
        <w:rPr>
          <w:rFonts w:ascii="Arial" w:hAnsi="Arial" w:cs="Arial"/>
          <w:color w:val="000000" w:themeColor="text1"/>
          <w:sz w:val="22"/>
          <w:szCs w:val="22"/>
        </w:rPr>
      </w:pPr>
      <w:r w:rsidRPr="00CD697A">
        <w:rPr>
          <w:rFonts w:ascii="Arial" w:hAnsi="Arial" w:cs="Arial"/>
          <w:color w:val="000000" w:themeColor="text1"/>
          <w:sz w:val="22"/>
          <w:szCs w:val="22"/>
        </w:rPr>
        <w:t xml:space="preserve">Dear Mr. </w:t>
      </w:r>
      <w:proofErr w:type="spellStart"/>
      <w:r w:rsidRPr="00CD697A">
        <w:rPr>
          <w:rFonts w:ascii="Arial" w:hAnsi="Arial" w:cs="Arial"/>
          <w:color w:val="000000" w:themeColor="text1"/>
          <w:sz w:val="22"/>
          <w:szCs w:val="22"/>
        </w:rPr>
        <w:t>Moneymaker</w:t>
      </w:r>
      <w:proofErr w:type="spellEnd"/>
      <w:r w:rsidRPr="00CD697A">
        <w:rPr>
          <w:rFonts w:ascii="Arial" w:hAnsi="Arial" w:cs="Arial"/>
          <w:color w:val="000000" w:themeColor="text1"/>
          <w:sz w:val="22"/>
          <w:szCs w:val="22"/>
        </w:rPr>
        <w:t>,</w:t>
      </w:r>
    </w:p>
    <w:p w14:paraId="02BB78FE" w14:textId="77777777" w:rsidR="00CD697A" w:rsidRPr="00CD697A" w:rsidRDefault="00CD697A" w:rsidP="00CD697A">
      <w:pPr>
        <w:rPr>
          <w:rFonts w:ascii="Arial" w:hAnsi="Arial" w:cs="Arial"/>
          <w:color w:val="000000" w:themeColor="text1"/>
          <w:sz w:val="22"/>
          <w:szCs w:val="22"/>
        </w:rPr>
      </w:pPr>
    </w:p>
    <w:p w14:paraId="6D1D669D" w14:textId="77777777" w:rsidR="00CD697A" w:rsidRPr="00CD697A" w:rsidRDefault="00CD697A" w:rsidP="00CD697A">
      <w:pPr>
        <w:rPr>
          <w:rFonts w:ascii="Arial" w:hAnsi="Arial" w:cs="Arial"/>
          <w:color w:val="000000" w:themeColor="text1"/>
          <w:sz w:val="22"/>
          <w:szCs w:val="22"/>
        </w:rPr>
      </w:pPr>
      <w:r w:rsidRPr="00CD697A">
        <w:rPr>
          <w:rFonts w:ascii="Arial" w:hAnsi="Arial" w:cs="Arial"/>
          <w:color w:val="000000" w:themeColor="text1"/>
          <w:sz w:val="22"/>
          <w:szCs w:val="22"/>
        </w:rPr>
        <w:t>Thank you for coming to our office to discuss your investment in a new startup company. As a solicitor, it is my duty to provide you with legal advice that is both ethical and professional.</w:t>
      </w:r>
    </w:p>
    <w:p w14:paraId="1BF673AD" w14:textId="77777777" w:rsidR="00CD697A" w:rsidRPr="00CD697A" w:rsidRDefault="00CD697A" w:rsidP="00CD697A">
      <w:pPr>
        <w:rPr>
          <w:rFonts w:ascii="Arial" w:hAnsi="Arial" w:cs="Arial"/>
          <w:color w:val="000000" w:themeColor="text1"/>
          <w:sz w:val="22"/>
          <w:szCs w:val="22"/>
        </w:rPr>
      </w:pPr>
    </w:p>
    <w:p w14:paraId="58C067C6" w14:textId="77777777" w:rsidR="00CD697A" w:rsidRPr="00CD697A" w:rsidRDefault="00CD697A" w:rsidP="00CD697A">
      <w:pPr>
        <w:rPr>
          <w:rFonts w:ascii="Arial" w:hAnsi="Arial" w:cs="Arial"/>
          <w:color w:val="000000" w:themeColor="text1"/>
          <w:sz w:val="22"/>
          <w:szCs w:val="22"/>
        </w:rPr>
      </w:pPr>
      <w:r w:rsidRPr="00CD697A">
        <w:rPr>
          <w:rFonts w:ascii="Arial" w:hAnsi="Arial" w:cs="Arial"/>
          <w:color w:val="000000" w:themeColor="text1"/>
          <w:sz w:val="22"/>
          <w:szCs w:val="22"/>
        </w:rPr>
        <w:t xml:space="preserve">After careful consideration, I must advise you against investing in this </w:t>
      </w:r>
      <w:proofErr w:type="gramStart"/>
      <w:r w:rsidRPr="00CD697A">
        <w:rPr>
          <w:rFonts w:ascii="Arial" w:hAnsi="Arial" w:cs="Arial"/>
          <w:color w:val="000000" w:themeColor="text1"/>
          <w:sz w:val="22"/>
          <w:szCs w:val="22"/>
        </w:rPr>
        <w:t>particular company</w:t>
      </w:r>
      <w:proofErr w:type="gramEnd"/>
      <w:r w:rsidRPr="00CD697A">
        <w:rPr>
          <w:rFonts w:ascii="Arial" w:hAnsi="Arial" w:cs="Arial"/>
          <w:color w:val="000000" w:themeColor="text1"/>
          <w:sz w:val="22"/>
          <w:szCs w:val="22"/>
        </w:rPr>
        <w:t>. Under the Financial Services and Markets Act 2000, it is illegal for a solicitor to provide investment advice unless they are authorized by the Financial Conduct Authority (FCA). As a High Street firm, we are not authorized to provide investment advice, and doing so would be a breach of our professional obligations.</w:t>
      </w:r>
    </w:p>
    <w:p w14:paraId="6859EC0C" w14:textId="77777777" w:rsidR="00CD697A" w:rsidRPr="00CD697A" w:rsidRDefault="00CD697A" w:rsidP="00CD697A">
      <w:pPr>
        <w:rPr>
          <w:rFonts w:ascii="Arial" w:hAnsi="Arial" w:cs="Arial"/>
          <w:color w:val="000000" w:themeColor="text1"/>
          <w:sz w:val="22"/>
          <w:szCs w:val="22"/>
        </w:rPr>
      </w:pPr>
    </w:p>
    <w:p w14:paraId="5CC16F62" w14:textId="77777777" w:rsidR="00CD697A" w:rsidRPr="00CD697A" w:rsidRDefault="00CD697A" w:rsidP="00CD697A">
      <w:pPr>
        <w:rPr>
          <w:rFonts w:ascii="Arial" w:hAnsi="Arial" w:cs="Arial"/>
          <w:color w:val="000000" w:themeColor="text1"/>
          <w:sz w:val="22"/>
          <w:szCs w:val="22"/>
        </w:rPr>
      </w:pPr>
      <w:r w:rsidRPr="00CD697A">
        <w:rPr>
          <w:rFonts w:ascii="Arial" w:hAnsi="Arial" w:cs="Arial"/>
          <w:color w:val="000000" w:themeColor="text1"/>
          <w:sz w:val="22"/>
          <w:szCs w:val="22"/>
        </w:rPr>
        <w:t>Furthermore, providing investment advice without the proper authorization would be a violation of the SRA Code of Conduct. The Code requires solicitors to act in the best interests of their clients and to avoid conflicts of interest. If we were to provide investment advice, we would be placing our own interests above yours, which would be a clear breach of our professional obligations.</w:t>
      </w:r>
    </w:p>
    <w:p w14:paraId="03DAF971" w14:textId="77777777" w:rsidR="00CD697A" w:rsidRPr="00CD697A" w:rsidRDefault="00CD697A" w:rsidP="00CD697A">
      <w:pPr>
        <w:rPr>
          <w:rFonts w:ascii="Arial" w:hAnsi="Arial" w:cs="Arial"/>
          <w:color w:val="000000" w:themeColor="text1"/>
          <w:sz w:val="22"/>
          <w:szCs w:val="22"/>
        </w:rPr>
      </w:pPr>
    </w:p>
    <w:p w14:paraId="02A01AAD" w14:textId="77777777" w:rsidR="00CD697A" w:rsidRPr="00CD697A" w:rsidRDefault="00CD697A" w:rsidP="00CD697A">
      <w:pPr>
        <w:rPr>
          <w:rFonts w:ascii="Arial" w:hAnsi="Arial" w:cs="Arial"/>
          <w:color w:val="000000" w:themeColor="text1"/>
          <w:sz w:val="22"/>
          <w:szCs w:val="22"/>
        </w:rPr>
      </w:pPr>
      <w:r w:rsidRPr="00CD697A">
        <w:rPr>
          <w:rFonts w:ascii="Arial" w:hAnsi="Arial" w:cs="Arial"/>
          <w:color w:val="000000" w:themeColor="text1"/>
          <w:sz w:val="22"/>
          <w:szCs w:val="22"/>
        </w:rPr>
        <w:t>Additionally, the Money Laundering Regulations require us to carry out due diligence on our clients to ensure that we are not facilitating money laundering or terrorist financing. Providing investment advice without the proper authorization would be a violation of these regulations and could result in severe penalties for both of us.</w:t>
      </w:r>
    </w:p>
    <w:p w14:paraId="532C2248" w14:textId="77777777" w:rsidR="00CD697A" w:rsidRPr="00CD697A" w:rsidRDefault="00CD697A" w:rsidP="00CD697A">
      <w:pPr>
        <w:rPr>
          <w:rFonts w:ascii="Arial" w:hAnsi="Arial" w:cs="Arial"/>
          <w:color w:val="000000" w:themeColor="text1"/>
          <w:sz w:val="22"/>
          <w:szCs w:val="22"/>
        </w:rPr>
      </w:pPr>
    </w:p>
    <w:p w14:paraId="5F2C1047" w14:textId="77777777" w:rsidR="00CD697A" w:rsidRPr="00CD697A" w:rsidRDefault="00CD697A" w:rsidP="00CD697A">
      <w:pPr>
        <w:rPr>
          <w:rFonts w:ascii="Arial" w:hAnsi="Arial" w:cs="Arial"/>
          <w:color w:val="000000" w:themeColor="text1"/>
          <w:sz w:val="22"/>
          <w:szCs w:val="22"/>
        </w:rPr>
      </w:pPr>
      <w:r w:rsidRPr="00CD697A">
        <w:rPr>
          <w:rFonts w:ascii="Arial" w:hAnsi="Arial" w:cs="Arial"/>
          <w:color w:val="000000" w:themeColor="text1"/>
          <w:sz w:val="22"/>
          <w:szCs w:val="22"/>
        </w:rPr>
        <w:t>Finally, investing in a start-up company could also pose a significant risk to your finances. Start-ups are inherently risky and often fail to generate the returns that investors expect. We strongly advise you to seek investment advice from a qualified and authorized financial advisor who can provide you with a comprehensive analysis of the risks involved.</w:t>
      </w:r>
    </w:p>
    <w:p w14:paraId="387968C2" w14:textId="77777777" w:rsidR="00CD697A" w:rsidRPr="00CD697A" w:rsidRDefault="00CD697A" w:rsidP="00CD697A">
      <w:pPr>
        <w:rPr>
          <w:rFonts w:ascii="Arial" w:hAnsi="Arial" w:cs="Arial"/>
          <w:color w:val="000000" w:themeColor="text1"/>
          <w:sz w:val="22"/>
          <w:szCs w:val="22"/>
        </w:rPr>
      </w:pPr>
    </w:p>
    <w:p w14:paraId="24B4A2B6" w14:textId="77777777" w:rsidR="00CD697A" w:rsidRPr="00CD697A" w:rsidRDefault="00CD697A" w:rsidP="00CD697A">
      <w:pPr>
        <w:rPr>
          <w:rFonts w:ascii="Arial" w:hAnsi="Arial" w:cs="Arial"/>
          <w:color w:val="000000" w:themeColor="text1"/>
          <w:sz w:val="22"/>
          <w:szCs w:val="22"/>
        </w:rPr>
      </w:pPr>
      <w:r w:rsidRPr="00CD697A">
        <w:rPr>
          <w:rFonts w:ascii="Arial" w:hAnsi="Arial" w:cs="Arial"/>
          <w:color w:val="000000" w:themeColor="text1"/>
          <w:sz w:val="22"/>
          <w:szCs w:val="22"/>
        </w:rPr>
        <w:t>I understand that this may not be the advice you were hoping for, but I must stress that it is in your best interests to seek investment advice from a qualified and authorized financial advisor. If you have any further questions, please do not hesitate to contact me.</w:t>
      </w:r>
    </w:p>
    <w:p w14:paraId="40D2D77D" w14:textId="77777777" w:rsidR="00CD697A" w:rsidRPr="00CD697A" w:rsidRDefault="00CD697A" w:rsidP="00CD697A">
      <w:pPr>
        <w:rPr>
          <w:rFonts w:ascii="Arial" w:hAnsi="Arial" w:cs="Arial"/>
          <w:color w:val="000000" w:themeColor="text1"/>
          <w:sz w:val="22"/>
          <w:szCs w:val="22"/>
        </w:rPr>
      </w:pPr>
    </w:p>
    <w:p w14:paraId="73A1B92A" w14:textId="77777777" w:rsidR="00CD697A" w:rsidRPr="00CD697A" w:rsidRDefault="00CD697A" w:rsidP="00CD697A">
      <w:pPr>
        <w:rPr>
          <w:rFonts w:ascii="Arial" w:hAnsi="Arial" w:cs="Arial"/>
          <w:color w:val="000000" w:themeColor="text1"/>
          <w:sz w:val="22"/>
          <w:szCs w:val="22"/>
        </w:rPr>
      </w:pPr>
      <w:r w:rsidRPr="00CD697A">
        <w:rPr>
          <w:rFonts w:ascii="Arial" w:hAnsi="Arial" w:cs="Arial"/>
          <w:color w:val="000000" w:themeColor="text1"/>
          <w:sz w:val="22"/>
          <w:szCs w:val="22"/>
        </w:rPr>
        <w:t xml:space="preserve">Sincerely, </w:t>
      </w:r>
      <w:proofErr w:type="spellStart"/>
      <w:r w:rsidRPr="00CD697A">
        <w:rPr>
          <w:rFonts w:ascii="Arial" w:hAnsi="Arial" w:cs="Arial"/>
          <w:color w:val="000000" w:themeColor="text1"/>
          <w:sz w:val="22"/>
          <w:szCs w:val="22"/>
        </w:rPr>
        <w:t>Nikol</w:t>
      </w:r>
      <w:proofErr w:type="spellEnd"/>
      <w:r w:rsidRPr="00CD697A">
        <w:rPr>
          <w:rFonts w:ascii="Arial" w:hAnsi="Arial" w:cs="Arial"/>
          <w:color w:val="000000" w:themeColor="text1"/>
          <w:sz w:val="22"/>
          <w:szCs w:val="22"/>
        </w:rPr>
        <w:t xml:space="preserve"> Ivanova.</w:t>
      </w:r>
    </w:p>
    <w:p w14:paraId="1E496989" w14:textId="1EFEF01F" w:rsidR="00CD697A" w:rsidRDefault="00CD697A" w:rsidP="00CD697A">
      <w:pPr>
        <w:rPr>
          <w:rFonts w:ascii="Arial" w:hAnsi="Arial" w:cs="Arial"/>
          <w:color w:val="000000" w:themeColor="text1"/>
          <w:sz w:val="22"/>
          <w:szCs w:val="22"/>
        </w:rPr>
      </w:pPr>
    </w:p>
    <w:p w14:paraId="354EA31D" w14:textId="24D45ED0" w:rsidR="00CD697A" w:rsidRDefault="00CD697A" w:rsidP="00CD697A">
      <w:pPr>
        <w:rPr>
          <w:rFonts w:ascii="Arial" w:hAnsi="Arial" w:cs="Arial"/>
          <w:color w:val="000000" w:themeColor="text1"/>
          <w:sz w:val="22"/>
          <w:szCs w:val="22"/>
        </w:rPr>
      </w:pPr>
    </w:p>
    <w:p w14:paraId="02460BC9" w14:textId="543ED6AA" w:rsidR="00CD697A" w:rsidRDefault="00CD697A" w:rsidP="00CD697A">
      <w:pPr>
        <w:rPr>
          <w:rFonts w:ascii="Arial" w:hAnsi="Arial" w:cs="Arial"/>
          <w:color w:val="000000" w:themeColor="text1"/>
          <w:sz w:val="22"/>
          <w:szCs w:val="22"/>
        </w:rPr>
      </w:pPr>
    </w:p>
    <w:p w14:paraId="09BE1DE4" w14:textId="5D8D6E0C" w:rsidR="00CD697A" w:rsidRDefault="00CD697A" w:rsidP="00CD697A">
      <w:pPr>
        <w:rPr>
          <w:rFonts w:ascii="Arial" w:hAnsi="Arial" w:cs="Arial"/>
          <w:color w:val="000000" w:themeColor="text1"/>
          <w:sz w:val="22"/>
          <w:szCs w:val="22"/>
        </w:rPr>
      </w:pPr>
    </w:p>
    <w:p w14:paraId="15C3A15F" w14:textId="0D127947" w:rsidR="00CD697A" w:rsidRDefault="00CD697A" w:rsidP="00CD697A">
      <w:pPr>
        <w:rPr>
          <w:rFonts w:ascii="Arial" w:hAnsi="Arial" w:cs="Arial"/>
          <w:color w:val="000000" w:themeColor="text1"/>
          <w:sz w:val="22"/>
          <w:szCs w:val="22"/>
        </w:rPr>
      </w:pPr>
    </w:p>
    <w:p w14:paraId="18C36260" w14:textId="1AA1BE97" w:rsidR="00CD697A" w:rsidRDefault="00CD697A" w:rsidP="00CD697A">
      <w:pPr>
        <w:rPr>
          <w:rFonts w:ascii="Arial" w:hAnsi="Arial" w:cs="Arial"/>
          <w:color w:val="000000" w:themeColor="text1"/>
          <w:sz w:val="22"/>
          <w:szCs w:val="22"/>
        </w:rPr>
      </w:pPr>
    </w:p>
    <w:p w14:paraId="4A1965CC" w14:textId="4B630CC3" w:rsidR="00CD697A" w:rsidRDefault="00CD697A" w:rsidP="00CD697A">
      <w:pPr>
        <w:rPr>
          <w:rFonts w:ascii="Arial" w:hAnsi="Arial" w:cs="Arial"/>
          <w:color w:val="000000" w:themeColor="text1"/>
          <w:sz w:val="22"/>
          <w:szCs w:val="22"/>
        </w:rPr>
      </w:pPr>
    </w:p>
    <w:p w14:paraId="31ED83E2" w14:textId="7FE95648" w:rsidR="00CD697A" w:rsidRDefault="00CD697A" w:rsidP="00CD697A">
      <w:pPr>
        <w:rPr>
          <w:rFonts w:ascii="Arial" w:hAnsi="Arial" w:cs="Arial"/>
          <w:color w:val="000000" w:themeColor="text1"/>
          <w:sz w:val="22"/>
          <w:szCs w:val="22"/>
        </w:rPr>
      </w:pPr>
    </w:p>
    <w:p w14:paraId="359FF88D" w14:textId="550EFE61" w:rsidR="00CD697A" w:rsidRDefault="00CD697A" w:rsidP="00CD697A">
      <w:pPr>
        <w:rPr>
          <w:rFonts w:ascii="Arial" w:hAnsi="Arial" w:cs="Arial"/>
          <w:color w:val="000000" w:themeColor="text1"/>
          <w:sz w:val="22"/>
          <w:szCs w:val="22"/>
        </w:rPr>
      </w:pPr>
    </w:p>
    <w:p w14:paraId="3B41C22E" w14:textId="64C32A9D" w:rsidR="00CD697A" w:rsidRDefault="00CD697A" w:rsidP="00CD697A">
      <w:pPr>
        <w:rPr>
          <w:rFonts w:ascii="Arial" w:hAnsi="Arial" w:cs="Arial"/>
          <w:color w:val="000000" w:themeColor="text1"/>
          <w:sz w:val="22"/>
          <w:szCs w:val="22"/>
        </w:rPr>
      </w:pPr>
    </w:p>
    <w:p w14:paraId="2E46A2F3" w14:textId="66E61CEA" w:rsidR="00CD697A" w:rsidRDefault="00CD697A" w:rsidP="00CD697A">
      <w:pPr>
        <w:rPr>
          <w:rFonts w:ascii="Arial" w:hAnsi="Arial" w:cs="Arial"/>
          <w:color w:val="000000" w:themeColor="text1"/>
          <w:sz w:val="22"/>
          <w:szCs w:val="22"/>
        </w:rPr>
      </w:pPr>
    </w:p>
    <w:p w14:paraId="24F038A4" w14:textId="2EB9BA2E" w:rsidR="00CD697A" w:rsidRDefault="00CD697A" w:rsidP="00CD697A">
      <w:pPr>
        <w:rPr>
          <w:rFonts w:ascii="Arial" w:hAnsi="Arial" w:cs="Arial"/>
          <w:color w:val="000000" w:themeColor="text1"/>
          <w:sz w:val="22"/>
          <w:szCs w:val="22"/>
        </w:rPr>
      </w:pPr>
    </w:p>
    <w:p w14:paraId="26283EF2" w14:textId="71038149" w:rsidR="00CD697A" w:rsidRDefault="00CD697A" w:rsidP="00CD697A">
      <w:pPr>
        <w:rPr>
          <w:rFonts w:ascii="Arial" w:hAnsi="Arial" w:cs="Arial"/>
          <w:color w:val="000000" w:themeColor="text1"/>
          <w:sz w:val="22"/>
          <w:szCs w:val="22"/>
        </w:rPr>
      </w:pPr>
    </w:p>
    <w:p w14:paraId="2E83B047" w14:textId="0D0E56DB" w:rsidR="00CD697A" w:rsidRDefault="00CD697A" w:rsidP="00CD697A">
      <w:pPr>
        <w:rPr>
          <w:rFonts w:ascii="Arial" w:hAnsi="Arial" w:cs="Arial"/>
          <w:color w:val="000000" w:themeColor="text1"/>
          <w:sz w:val="22"/>
          <w:szCs w:val="22"/>
        </w:rPr>
      </w:pPr>
    </w:p>
    <w:p w14:paraId="7A26D8D6" w14:textId="3F597C4F" w:rsidR="00CD697A" w:rsidRDefault="00CD697A" w:rsidP="00CD697A">
      <w:pPr>
        <w:rPr>
          <w:rFonts w:ascii="Arial" w:hAnsi="Arial" w:cs="Arial"/>
          <w:color w:val="000000" w:themeColor="text1"/>
          <w:sz w:val="22"/>
          <w:szCs w:val="22"/>
        </w:rPr>
      </w:pPr>
    </w:p>
    <w:p w14:paraId="6702B232" w14:textId="6D7B1DA6" w:rsidR="00CD697A" w:rsidRDefault="00CD697A" w:rsidP="00CD697A">
      <w:pPr>
        <w:rPr>
          <w:rFonts w:ascii="Arial" w:hAnsi="Arial" w:cs="Arial"/>
          <w:color w:val="000000" w:themeColor="text1"/>
          <w:sz w:val="22"/>
          <w:szCs w:val="22"/>
        </w:rPr>
      </w:pPr>
    </w:p>
    <w:p w14:paraId="272D6251" w14:textId="77777777" w:rsidR="00CD697A" w:rsidRPr="00CD697A" w:rsidRDefault="00CD697A" w:rsidP="00CD697A">
      <w:pPr>
        <w:rPr>
          <w:rFonts w:ascii="Arial" w:hAnsi="Arial" w:cs="Arial"/>
          <w:color w:val="000000" w:themeColor="text1"/>
          <w:sz w:val="22"/>
          <w:szCs w:val="22"/>
        </w:rPr>
      </w:pPr>
    </w:p>
    <w:p w14:paraId="01626831" w14:textId="77777777" w:rsidR="00CD697A" w:rsidRPr="00CD697A" w:rsidRDefault="00CD697A" w:rsidP="00CD697A">
      <w:pPr>
        <w:ind w:left="720"/>
        <w:rPr>
          <w:rFonts w:ascii="Arial" w:hAnsi="Arial" w:cs="Arial"/>
          <w:color w:val="000000" w:themeColor="text1"/>
          <w:sz w:val="22"/>
          <w:szCs w:val="22"/>
        </w:rPr>
      </w:pPr>
    </w:p>
    <w:p w14:paraId="3743D4DA" w14:textId="77777777" w:rsidR="00CD697A" w:rsidRPr="00CD697A" w:rsidRDefault="00CD697A" w:rsidP="00CD697A">
      <w:pPr>
        <w:rPr>
          <w:rFonts w:ascii="Arial" w:hAnsi="Arial" w:cs="Arial"/>
          <w:b/>
          <w:bCs/>
          <w:color w:val="000000" w:themeColor="text1"/>
          <w:sz w:val="22"/>
          <w:szCs w:val="22"/>
          <w:u w:val="single"/>
        </w:rPr>
      </w:pPr>
      <w:r w:rsidRPr="00CD697A">
        <w:rPr>
          <w:rFonts w:ascii="Arial" w:hAnsi="Arial" w:cs="Arial"/>
          <w:b/>
          <w:bCs/>
          <w:color w:val="000000" w:themeColor="text1"/>
          <w:sz w:val="22"/>
          <w:szCs w:val="22"/>
          <w:u w:val="single"/>
        </w:rPr>
        <w:lastRenderedPageBreak/>
        <w:t>Element 2- Letter writing task.</w:t>
      </w:r>
    </w:p>
    <w:p w14:paraId="404979C0" w14:textId="77777777" w:rsidR="00CD697A" w:rsidRPr="00CD697A" w:rsidRDefault="00CD697A" w:rsidP="00CD697A">
      <w:pPr>
        <w:rPr>
          <w:rFonts w:ascii="Arial" w:hAnsi="Arial" w:cs="Arial"/>
          <w:color w:val="000000" w:themeColor="text1"/>
          <w:sz w:val="22"/>
          <w:szCs w:val="22"/>
        </w:rPr>
      </w:pPr>
    </w:p>
    <w:p w14:paraId="5DD095C9" w14:textId="77777777" w:rsidR="00CD697A" w:rsidRPr="00CD697A" w:rsidRDefault="00CD697A" w:rsidP="00CD697A">
      <w:pPr>
        <w:rPr>
          <w:rFonts w:ascii="Arial" w:hAnsi="Arial" w:cs="Arial"/>
          <w:color w:val="000000" w:themeColor="text1"/>
          <w:sz w:val="22"/>
          <w:szCs w:val="22"/>
        </w:rPr>
      </w:pPr>
    </w:p>
    <w:p w14:paraId="260F3476" w14:textId="77777777" w:rsidR="00CD697A" w:rsidRPr="00CD697A" w:rsidRDefault="00CD697A" w:rsidP="00CD697A">
      <w:pPr>
        <w:rPr>
          <w:rFonts w:ascii="Arial" w:hAnsi="Arial" w:cs="Arial"/>
          <w:color w:val="000000" w:themeColor="text1"/>
          <w:sz w:val="22"/>
          <w:szCs w:val="22"/>
        </w:rPr>
      </w:pPr>
    </w:p>
    <w:p w14:paraId="305C50AF" w14:textId="77777777" w:rsidR="00CD697A" w:rsidRPr="00CD697A" w:rsidRDefault="00CD697A" w:rsidP="00CD697A">
      <w:pPr>
        <w:rPr>
          <w:rFonts w:ascii="Arial" w:hAnsi="Arial" w:cs="Arial"/>
          <w:color w:val="000000" w:themeColor="text1"/>
          <w:sz w:val="22"/>
          <w:szCs w:val="22"/>
        </w:rPr>
      </w:pPr>
    </w:p>
    <w:p w14:paraId="60901DCB" w14:textId="77777777" w:rsidR="00CD697A" w:rsidRPr="00CD697A" w:rsidRDefault="00CD697A" w:rsidP="00CD697A">
      <w:pPr>
        <w:jc w:val="right"/>
        <w:rPr>
          <w:rFonts w:ascii="Arial" w:hAnsi="Arial" w:cs="Arial"/>
          <w:i/>
          <w:iCs/>
          <w:color w:val="000000" w:themeColor="text1"/>
          <w:sz w:val="22"/>
          <w:szCs w:val="22"/>
          <w:u w:val="single"/>
        </w:rPr>
      </w:pPr>
      <w:proofErr w:type="spellStart"/>
      <w:r w:rsidRPr="00CD697A">
        <w:rPr>
          <w:rFonts w:ascii="Arial" w:hAnsi="Arial" w:cs="Arial"/>
          <w:i/>
          <w:iCs/>
          <w:color w:val="000000" w:themeColor="text1"/>
          <w:sz w:val="22"/>
          <w:szCs w:val="22"/>
          <w:u w:val="single"/>
        </w:rPr>
        <w:t>Nikol</w:t>
      </w:r>
      <w:proofErr w:type="spellEnd"/>
      <w:r w:rsidRPr="00CD697A">
        <w:rPr>
          <w:rFonts w:ascii="Arial" w:hAnsi="Arial" w:cs="Arial"/>
          <w:i/>
          <w:iCs/>
          <w:color w:val="000000" w:themeColor="text1"/>
          <w:sz w:val="22"/>
          <w:szCs w:val="22"/>
          <w:u w:val="single"/>
        </w:rPr>
        <w:t xml:space="preserve"> Ivanova</w:t>
      </w:r>
    </w:p>
    <w:p w14:paraId="13D3D4E2" w14:textId="77777777" w:rsidR="00CD697A" w:rsidRPr="00CD697A" w:rsidRDefault="00CD697A" w:rsidP="00CD697A">
      <w:pPr>
        <w:jc w:val="right"/>
        <w:rPr>
          <w:rFonts w:ascii="Arial" w:hAnsi="Arial" w:cs="Arial"/>
          <w:i/>
          <w:iCs/>
          <w:color w:val="000000" w:themeColor="text1"/>
          <w:sz w:val="22"/>
          <w:szCs w:val="22"/>
          <w:u w:val="single"/>
        </w:rPr>
      </w:pPr>
      <w:r w:rsidRPr="00CD697A">
        <w:rPr>
          <w:rFonts w:ascii="Arial" w:hAnsi="Arial" w:cs="Arial"/>
          <w:i/>
          <w:iCs/>
          <w:color w:val="000000" w:themeColor="text1"/>
          <w:sz w:val="22"/>
          <w:szCs w:val="22"/>
          <w:u w:val="single"/>
        </w:rPr>
        <w:t>50A Tudor Street, Riverside, Cardiff</w:t>
      </w:r>
    </w:p>
    <w:p w14:paraId="409A974D" w14:textId="77777777" w:rsidR="00CD697A" w:rsidRPr="00CD697A" w:rsidRDefault="00CD697A" w:rsidP="00CD697A">
      <w:pPr>
        <w:jc w:val="right"/>
        <w:rPr>
          <w:rFonts w:ascii="Arial" w:hAnsi="Arial" w:cs="Arial"/>
          <w:i/>
          <w:iCs/>
          <w:color w:val="000000" w:themeColor="text1"/>
          <w:sz w:val="22"/>
          <w:szCs w:val="22"/>
          <w:u w:val="single"/>
        </w:rPr>
      </w:pPr>
      <w:r w:rsidRPr="00CD697A">
        <w:rPr>
          <w:rFonts w:ascii="Arial" w:hAnsi="Arial" w:cs="Arial"/>
          <w:i/>
          <w:iCs/>
          <w:color w:val="000000" w:themeColor="text1"/>
          <w:sz w:val="22"/>
          <w:szCs w:val="22"/>
          <w:u w:val="single"/>
        </w:rPr>
        <w:t xml:space="preserve">CF11 6AJ </w:t>
      </w:r>
    </w:p>
    <w:p w14:paraId="05AB3D78" w14:textId="77777777" w:rsidR="00CD697A" w:rsidRPr="00CD697A" w:rsidRDefault="00CD697A" w:rsidP="00CD697A">
      <w:pPr>
        <w:rPr>
          <w:rFonts w:ascii="Arial" w:hAnsi="Arial" w:cs="Arial"/>
          <w:i/>
          <w:iCs/>
          <w:color w:val="000000" w:themeColor="text1"/>
          <w:sz w:val="22"/>
          <w:szCs w:val="22"/>
          <w:u w:val="single"/>
        </w:rPr>
      </w:pPr>
    </w:p>
    <w:p w14:paraId="1561C591" w14:textId="77777777" w:rsidR="00CD697A" w:rsidRPr="00CD697A" w:rsidRDefault="00CD697A" w:rsidP="00CD697A">
      <w:pPr>
        <w:rPr>
          <w:rFonts w:ascii="Arial" w:hAnsi="Arial" w:cs="Arial"/>
          <w:i/>
          <w:iCs/>
          <w:color w:val="000000" w:themeColor="text1"/>
          <w:sz w:val="22"/>
          <w:szCs w:val="22"/>
          <w:u w:val="single"/>
        </w:rPr>
      </w:pPr>
      <w:r w:rsidRPr="00CD697A">
        <w:rPr>
          <w:rFonts w:ascii="Arial" w:hAnsi="Arial" w:cs="Arial"/>
          <w:i/>
          <w:iCs/>
          <w:color w:val="000000" w:themeColor="text1"/>
          <w:sz w:val="22"/>
          <w:szCs w:val="22"/>
          <w:u w:val="single"/>
        </w:rPr>
        <w:t>NQ Solicitors</w:t>
      </w:r>
    </w:p>
    <w:p w14:paraId="62E4FC27" w14:textId="77777777" w:rsidR="00CD697A" w:rsidRPr="00CD697A" w:rsidRDefault="00CD697A" w:rsidP="00CD697A">
      <w:pPr>
        <w:rPr>
          <w:rFonts w:ascii="Arial" w:hAnsi="Arial" w:cs="Arial"/>
          <w:i/>
          <w:iCs/>
          <w:color w:val="000000" w:themeColor="text1"/>
          <w:sz w:val="22"/>
          <w:szCs w:val="22"/>
          <w:u w:val="single"/>
        </w:rPr>
      </w:pPr>
      <w:r w:rsidRPr="00CD697A">
        <w:rPr>
          <w:rFonts w:ascii="Arial" w:hAnsi="Arial" w:cs="Arial"/>
          <w:i/>
          <w:iCs/>
          <w:color w:val="000000" w:themeColor="text1"/>
          <w:sz w:val="22"/>
          <w:szCs w:val="22"/>
          <w:u w:val="single"/>
        </w:rPr>
        <w:t>39 High Street, Swansea</w:t>
      </w:r>
    </w:p>
    <w:p w14:paraId="05AA5204" w14:textId="77777777" w:rsidR="00CD697A" w:rsidRPr="00CD697A" w:rsidRDefault="00CD697A" w:rsidP="00CD697A">
      <w:pPr>
        <w:rPr>
          <w:rFonts w:ascii="Arial" w:hAnsi="Arial" w:cs="Arial"/>
          <w:i/>
          <w:iCs/>
          <w:color w:val="000000" w:themeColor="text1"/>
          <w:sz w:val="22"/>
          <w:szCs w:val="22"/>
          <w:u w:val="single"/>
        </w:rPr>
      </w:pPr>
      <w:r w:rsidRPr="00CD697A">
        <w:rPr>
          <w:rFonts w:ascii="Arial" w:hAnsi="Arial" w:cs="Arial"/>
          <w:i/>
          <w:iCs/>
          <w:color w:val="000000" w:themeColor="text1"/>
          <w:sz w:val="22"/>
          <w:szCs w:val="22"/>
          <w:u w:val="single"/>
        </w:rPr>
        <w:t>SA1 LA</w:t>
      </w:r>
    </w:p>
    <w:p w14:paraId="721921DE" w14:textId="77777777" w:rsidR="00CD697A" w:rsidRPr="00CD697A" w:rsidRDefault="00CD697A" w:rsidP="00CD697A">
      <w:pPr>
        <w:rPr>
          <w:rFonts w:ascii="Arial" w:hAnsi="Arial" w:cs="Arial"/>
          <w:i/>
          <w:iCs/>
          <w:color w:val="000000" w:themeColor="text1"/>
          <w:sz w:val="22"/>
          <w:szCs w:val="22"/>
          <w:u w:val="single"/>
        </w:rPr>
      </w:pPr>
    </w:p>
    <w:p w14:paraId="49352740" w14:textId="77777777" w:rsidR="00CD697A" w:rsidRPr="00CD697A" w:rsidRDefault="00CD697A" w:rsidP="00CD697A">
      <w:pPr>
        <w:rPr>
          <w:rFonts w:ascii="Arial" w:hAnsi="Arial" w:cs="Arial"/>
          <w:i/>
          <w:iCs/>
          <w:color w:val="000000" w:themeColor="text1"/>
          <w:sz w:val="22"/>
          <w:szCs w:val="22"/>
          <w:u w:val="single"/>
        </w:rPr>
      </w:pPr>
    </w:p>
    <w:p w14:paraId="172FA7C8" w14:textId="77777777" w:rsidR="00CD697A" w:rsidRPr="00CD697A" w:rsidRDefault="00CD697A" w:rsidP="00CD697A">
      <w:pPr>
        <w:rPr>
          <w:rFonts w:ascii="Arial" w:hAnsi="Arial" w:cs="Arial"/>
          <w:color w:val="000000" w:themeColor="text1"/>
          <w:sz w:val="22"/>
          <w:szCs w:val="22"/>
        </w:rPr>
      </w:pPr>
      <w:r w:rsidRPr="00CD697A">
        <w:rPr>
          <w:rFonts w:ascii="Arial" w:hAnsi="Arial" w:cs="Arial"/>
          <w:color w:val="000000" w:themeColor="text1"/>
          <w:sz w:val="22"/>
          <w:szCs w:val="22"/>
        </w:rPr>
        <w:t>Dear NQ Solicitors,</w:t>
      </w:r>
    </w:p>
    <w:p w14:paraId="1A445BDB" w14:textId="77777777" w:rsidR="00CD697A" w:rsidRPr="00CD697A" w:rsidRDefault="00CD697A" w:rsidP="00CD697A">
      <w:pPr>
        <w:rPr>
          <w:rFonts w:ascii="Arial" w:hAnsi="Arial" w:cs="Arial"/>
          <w:color w:val="000000" w:themeColor="text1"/>
          <w:sz w:val="22"/>
          <w:szCs w:val="22"/>
        </w:rPr>
      </w:pPr>
    </w:p>
    <w:p w14:paraId="4B849CE0" w14:textId="77777777" w:rsidR="00CD697A" w:rsidRPr="00CD697A" w:rsidRDefault="00CD697A" w:rsidP="00CD697A">
      <w:pPr>
        <w:rPr>
          <w:rFonts w:ascii="Arial" w:hAnsi="Arial" w:cs="Arial"/>
          <w:color w:val="000000" w:themeColor="text1"/>
          <w:sz w:val="22"/>
          <w:szCs w:val="22"/>
        </w:rPr>
      </w:pPr>
      <w:r w:rsidRPr="00CD697A">
        <w:rPr>
          <w:rFonts w:ascii="Arial" w:hAnsi="Arial" w:cs="Arial"/>
          <w:color w:val="000000" w:themeColor="text1"/>
          <w:sz w:val="22"/>
          <w:szCs w:val="22"/>
        </w:rPr>
        <w:t>Congratulations on your recent qualification! As you embark on your legal career, it is important to understand the core principles of the SRA Code of Conduct, which sets out the ethical and professional standards that all solicitors must adhere to.</w:t>
      </w:r>
    </w:p>
    <w:p w14:paraId="39831FAE" w14:textId="77777777" w:rsidR="00CD697A" w:rsidRPr="00CD697A" w:rsidRDefault="00CD697A" w:rsidP="00CD697A">
      <w:pPr>
        <w:rPr>
          <w:rFonts w:ascii="Arial" w:hAnsi="Arial" w:cs="Arial"/>
          <w:color w:val="000000" w:themeColor="text1"/>
          <w:sz w:val="22"/>
          <w:szCs w:val="22"/>
        </w:rPr>
      </w:pPr>
    </w:p>
    <w:p w14:paraId="76633C09" w14:textId="77777777" w:rsidR="00CD697A" w:rsidRPr="00CD697A" w:rsidRDefault="00CD697A" w:rsidP="00CD697A">
      <w:pPr>
        <w:rPr>
          <w:rFonts w:ascii="Arial" w:hAnsi="Arial" w:cs="Arial"/>
          <w:color w:val="000000" w:themeColor="text1"/>
          <w:sz w:val="22"/>
          <w:szCs w:val="22"/>
        </w:rPr>
      </w:pPr>
      <w:r w:rsidRPr="00CD697A">
        <w:rPr>
          <w:rFonts w:ascii="Arial" w:hAnsi="Arial" w:cs="Arial"/>
          <w:color w:val="000000" w:themeColor="text1"/>
          <w:sz w:val="22"/>
          <w:szCs w:val="22"/>
        </w:rPr>
        <w:t>The SRA Code of Conduct is divided into various sections, but for the purposes of this letter, we will focus on Rules 1 to 4 and Rules 6.1 to 6.5, which are particularly relevant to your work as a solicitor.</w:t>
      </w:r>
    </w:p>
    <w:p w14:paraId="58031FB4" w14:textId="77777777" w:rsidR="00CD697A" w:rsidRPr="00CD697A" w:rsidRDefault="00CD697A" w:rsidP="00CD697A">
      <w:pPr>
        <w:rPr>
          <w:rFonts w:ascii="Arial" w:hAnsi="Arial" w:cs="Arial"/>
          <w:color w:val="000000" w:themeColor="text1"/>
          <w:sz w:val="22"/>
          <w:szCs w:val="22"/>
        </w:rPr>
      </w:pPr>
    </w:p>
    <w:p w14:paraId="0AE40EBE" w14:textId="77777777" w:rsidR="00CD697A" w:rsidRPr="00CD697A" w:rsidRDefault="00CD697A" w:rsidP="00CD697A">
      <w:pPr>
        <w:rPr>
          <w:rFonts w:ascii="Arial" w:hAnsi="Arial" w:cs="Arial"/>
          <w:color w:val="000000" w:themeColor="text1"/>
          <w:sz w:val="22"/>
          <w:szCs w:val="22"/>
        </w:rPr>
      </w:pPr>
      <w:r w:rsidRPr="00CD697A">
        <w:rPr>
          <w:rFonts w:ascii="Arial" w:hAnsi="Arial" w:cs="Arial"/>
          <w:color w:val="000000" w:themeColor="text1"/>
          <w:sz w:val="22"/>
          <w:szCs w:val="22"/>
        </w:rPr>
        <w:t>Rule 1: Integrity</w:t>
      </w:r>
    </w:p>
    <w:p w14:paraId="6A163409" w14:textId="77777777" w:rsidR="00CD697A" w:rsidRPr="00CD697A" w:rsidRDefault="00CD697A" w:rsidP="00CD697A">
      <w:pPr>
        <w:rPr>
          <w:rFonts w:ascii="Arial" w:hAnsi="Arial" w:cs="Arial"/>
          <w:color w:val="000000" w:themeColor="text1"/>
          <w:sz w:val="22"/>
          <w:szCs w:val="22"/>
        </w:rPr>
      </w:pPr>
      <w:r w:rsidRPr="00CD697A">
        <w:rPr>
          <w:rFonts w:ascii="Arial" w:hAnsi="Arial" w:cs="Arial"/>
          <w:color w:val="000000" w:themeColor="text1"/>
          <w:sz w:val="22"/>
          <w:szCs w:val="22"/>
        </w:rPr>
        <w:t xml:space="preserve">As solicitors, we must </w:t>
      </w:r>
      <w:proofErr w:type="gramStart"/>
      <w:r w:rsidRPr="00CD697A">
        <w:rPr>
          <w:rFonts w:ascii="Arial" w:hAnsi="Arial" w:cs="Arial"/>
          <w:color w:val="000000" w:themeColor="text1"/>
          <w:sz w:val="22"/>
          <w:szCs w:val="22"/>
        </w:rPr>
        <w:t>act with integrity at all times</w:t>
      </w:r>
      <w:proofErr w:type="gramEnd"/>
      <w:r w:rsidRPr="00CD697A">
        <w:rPr>
          <w:rFonts w:ascii="Arial" w:hAnsi="Arial" w:cs="Arial"/>
          <w:color w:val="000000" w:themeColor="text1"/>
          <w:sz w:val="22"/>
          <w:szCs w:val="22"/>
        </w:rPr>
        <w:t>. This means being honest and straightforward in our dealings with clients, colleagues, and the court. We should not mislead or deceive others, and we should always act in the best interests of our clients.</w:t>
      </w:r>
    </w:p>
    <w:p w14:paraId="70D73321" w14:textId="77777777" w:rsidR="00CD697A" w:rsidRPr="00CD697A" w:rsidRDefault="00CD697A" w:rsidP="00CD697A">
      <w:pPr>
        <w:rPr>
          <w:rFonts w:ascii="Arial" w:hAnsi="Arial" w:cs="Arial"/>
          <w:color w:val="000000" w:themeColor="text1"/>
          <w:sz w:val="22"/>
          <w:szCs w:val="22"/>
        </w:rPr>
      </w:pPr>
    </w:p>
    <w:p w14:paraId="0AD16E7B" w14:textId="77777777" w:rsidR="00CD697A" w:rsidRPr="00CD697A" w:rsidRDefault="00CD697A" w:rsidP="00CD697A">
      <w:pPr>
        <w:rPr>
          <w:rFonts w:ascii="Arial" w:hAnsi="Arial" w:cs="Arial"/>
          <w:color w:val="000000" w:themeColor="text1"/>
          <w:sz w:val="22"/>
          <w:szCs w:val="22"/>
        </w:rPr>
      </w:pPr>
      <w:r w:rsidRPr="00CD697A">
        <w:rPr>
          <w:rFonts w:ascii="Arial" w:hAnsi="Arial" w:cs="Arial"/>
          <w:color w:val="000000" w:themeColor="text1"/>
          <w:sz w:val="22"/>
          <w:szCs w:val="22"/>
        </w:rPr>
        <w:t>Rule 2: Confidentiality</w:t>
      </w:r>
    </w:p>
    <w:p w14:paraId="1F8810F8" w14:textId="77777777" w:rsidR="00CD697A" w:rsidRPr="00CD697A" w:rsidRDefault="00CD697A" w:rsidP="00CD697A">
      <w:pPr>
        <w:rPr>
          <w:rFonts w:ascii="Arial" w:hAnsi="Arial" w:cs="Arial"/>
          <w:color w:val="000000" w:themeColor="text1"/>
          <w:sz w:val="22"/>
          <w:szCs w:val="22"/>
        </w:rPr>
      </w:pPr>
      <w:r w:rsidRPr="00CD697A">
        <w:rPr>
          <w:rFonts w:ascii="Arial" w:hAnsi="Arial" w:cs="Arial"/>
          <w:color w:val="000000" w:themeColor="text1"/>
          <w:sz w:val="22"/>
          <w:szCs w:val="22"/>
        </w:rPr>
        <w:t>We have a duty to keep our clients' information confidential. This means that we should not disclose any confidential information unless we have the client's consent or there is a legal obligation to do so. We must also take appropriate steps to ensure that our clients' information is kept secure.</w:t>
      </w:r>
    </w:p>
    <w:p w14:paraId="41FFBAFB" w14:textId="77777777" w:rsidR="00CD697A" w:rsidRPr="00CD697A" w:rsidRDefault="00CD697A" w:rsidP="00CD697A">
      <w:pPr>
        <w:rPr>
          <w:rFonts w:ascii="Arial" w:hAnsi="Arial" w:cs="Arial"/>
          <w:color w:val="000000" w:themeColor="text1"/>
          <w:sz w:val="22"/>
          <w:szCs w:val="22"/>
        </w:rPr>
      </w:pPr>
    </w:p>
    <w:p w14:paraId="0AB51491" w14:textId="77777777" w:rsidR="00CD697A" w:rsidRPr="00CD697A" w:rsidRDefault="00CD697A" w:rsidP="00CD697A">
      <w:pPr>
        <w:rPr>
          <w:rFonts w:ascii="Arial" w:hAnsi="Arial" w:cs="Arial"/>
          <w:color w:val="000000" w:themeColor="text1"/>
          <w:sz w:val="22"/>
          <w:szCs w:val="22"/>
        </w:rPr>
      </w:pPr>
      <w:r w:rsidRPr="00CD697A">
        <w:rPr>
          <w:rFonts w:ascii="Arial" w:hAnsi="Arial" w:cs="Arial"/>
          <w:color w:val="000000" w:themeColor="text1"/>
          <w:sz w:val="22"/>
          <w:szCs w:val="22"/>
        </w:rPr>
        <w:t>Rule 3: Independence</w:t>
      </w:r>
    </w:p>
    <w:p w14:paraId="5FE2A8EF" w14:textId="77777777" w:rsidR="00CD697A" w:rsidRPr="00CD697A" w:rsidRDefault="00CD697A" w:rsidP="00CD697A">
      <w:pPr>
        <w:rPr>
          <w:rFonts w:ascii="Arial" w:hAnsi="Arial" w:cs="Arial"/>
          <w:color w:val="000000" w:themeColor="text1"/>
          <w:sz w:val="22"/>
          <w:szCs w:val="22"/>
        </w:rPr>
      </w:pPr>
      <w:r w:rsidRPr="00CD697A">
        <w:rPr>
          <w:rFonts w:ascii="Arial" w:hAnsi="Arial" w:cs="Arial"/>
          <w:color w:val="000000" w:themeColor="text1"/>
          <w:sz w:val="22"/>
          <w:szCs w:val="22"/>
        </w:rPr>
        <w:t>We must act independently and not allow our own interests or the interests of third parties to affect our professional judgment. We should not act for clients if there is a conflict of interest, and we should always disclose any potential conflicts to our clients.</w:t>
      </w:r>
    </w:p>
    <w:p w14:paraId="1577C3C0" w14:textId="77777777" w:rsidR="00CD697A" w:rsidRPr="00CD697A" w:rsidRDefault="00CD697A" w:rsidP="00CD697A">
      <w:pPr>
        <w:rPr>
          <w:rFonts w:ascii="Arial" w:hAnsi="Arial" w:cs="Arial"/>
          <w:color w:val="000000" w:themeColor="text1"/>
          <w:sz w:val="22"/>
          <w:szCs w:val="22"/>
        </w:rPr>
      </w:pPr>
    </w:p>
    <w:p w14:paraId="2E9D57F2" w14:textId="77777777" w:rsidR="00CD697A" w:rsidRPr="00CD697A" w:rsidRDefault="00CD697A" w:rsidP="00CD697A">
      <w:pPr>
        <w:rPr>
          <w:rFonts w:ascii="Arial" w:hAnsi="Arial" w:cs="Arial"/>
          <w:color w:val="000000" w:themeColor="text1"/>
          <w:sz w:val="22"/>
          <w:szCs w:val="22"/>
        </w:rPr>
      </w:pPr>
      <w:r w:rsidRPr="00CD697A">
        <w:rPr>
          <w:rFonts w:ascii="Arial" w:hAnsi="Arial" w:cs="Arial"/>
          <w:color w:val="000000" w:themeColor="text1"/>
          <w:sz w:val="22"/>
          <w:szCs w:val="22"/>
        </w:rPr>
        <w:t>Rule 4: Legal Services</w:t>
      </w:r>
    </w:p>
    <w:p w14:paraId="6543A56B" w14:textId="77777777" w:rsidR="00CD697A" w:rsidRPr="00CD697A" w:rsidRDefault="00CD697A" w:rsidP="00CD697A">
      <w:pPr>
        <w:rPr>
          <w:rFonts w:ascii="Arial" w:hAnsi="Arial" w:cs="Arial"/>
          <w:color w:val="000000" w:themeColor="text1"/>
          <w:sz w:val="22"/>
          <w:szCs w:val="22"/>
        </w:rPr>
      </w:pPr>
      <w:r w:rsidRPr="00CD697A">
        <w:rPr>
          <w:rFonts w:ascii="Arial" w:hAnsi="Arial" w:cs="Arial"/>
          <w:color w:val="000000" w:themeColor="text1"/>
          <w:sz w:val="22"/>
          <w:szCs w:val="22"/>
        </w:rPr>
        <w:t>We must provide a proper standard of service to our clients. This means being competent, delivering services in a timely manner, and keeping our clients informed about the progress of their matter. We should also provide clients with clear information about the services we will provide, and the costs involved.</w:t>
      </w:r>
    </w:p>
    <w:p w14:paraId="6F2DF726" w14:textId="77777777" w:rsidR="00CD697A" w:rsidRPr="00CD697A" w:rsidRDefault="00CD697A" w:rsidP="00CD697A">
      <w:pPr>
        <w:rPr>
          <w:rFonts w:ascii="Arial" w:hAnsi="Arial" w:cs="Arial"/>
          <w:color w:val="000000" w:themeColor="text1"/>
          <w:sz w:val="22"/>
          <w:szCs w:val="22"/>
        </w:rPr>
      </w:pPr>
    </w:p>
    <w:p w14:paraId="516F619E" w14:textId="77777777" w:rsidR="00CD697A" w:rsidRPr="00CD697A" w:rsidRDefault="00CD697A" w:rsidP="00CD697A">
      <w:pPr>
        <w:rPr>
          <w:rFonts w:ascii="Arial" w:hAnsi="Arial" w:cs="Arial"/>
          <w:color w:val="000000" w:themeColor="text1"/>
          <w:sz w:val="22"/>
          <w:szCs w:val="22"/>
        </w:rPr>
      </w:pPr>
    </w:p>
    <w:p w14:paraId="3900CB22" w14:textId="77777777" w:rsidR="00CD697A" w:rsidRPr="00CD697A" w:rsidRDefault="00CD697A" w:rsidP="00CD697A">
      <w:pPr>
        <w:rPr>
          <w:rFonts w:ascii="Arial" w:hAnsi="Arial" w:cs="Arial"/>
          <w:color w:val="000000" w:themeColor="text1"/>
          <w:sz w:val="22"/>
          <w:szCs w:val="22"/>
        </w:rPr>
      </w:pPr>
    </w:p>
    <w:p w14:paraId="6E7D9DEE" w14:textId="77777777" w:rsidR="00CD697A" w:rsidRPr="00CD697A" w:rsidRDefault="00CD697A" w:rsidP="00CD697A">
      <w:pPr>
        <w:rPr>
          <w:rFonts w:ascii="Arial" w:hAnsi="Arial" w:cs="Arial"/>
          <w:color w:val="000000" w:themeColor="text1"/>
          <w:sz w:val="22"/>
          <w:szCs w:val="22"/>
        </w:rPr>
      </w:pPr>
      <w:r w:rsidRPr="00CD697A">
        <w:rPr>
          <w:rFonts w:ascii="Arial" w:hAnsi="Arial" w:cs="Arial"/>
          <w:color w:val="000000" w:themeColor="text1"/>
          <w:sz w:val="22"/>
          <w:szCs w:val="22"/>
        </w:rPr>
        <w:t>Rules 6.1 to 6.5: Conflicts of Interest</w:t>
      </w:r>
    </w:p>
    <w:p w14:paraId="6420B7B5" w14:textId="77777777" w:rsidR="00CD697A" w:rsidRPr="00CD697A" w:rsidRDefault="00CD697A" w:rsidP="00CD697A">
      <w:pPr>
        <w:rPr>
          <w:rFonts w:ascii="Arial" w:hAnsi="Arial" w:cs="Arial"/>
          <w:color w:val="000000" w:themeColor="text1"/>
          <w:sz w:val="22"/>
          <w:szCs w:val="22"/>
        </w:rPr>
      </w:pPr>
      <w:r w:rsidRPr="00CD697A">
        <w:rPr>
          <w:rFonts w:ascii="Arial" w:hAnsi="Arial" w:cs="Arial"/>
          <w:color w:val="000000" w:themeColor="text1"/>
          <w:sz w:val="22"/>
          <w:szCs w:val="22"/>
        </w:rPr>
        <w:t>Conflicts of interest can arise in various situations, such as when we act for two clients who have competing interests. In such cases, we must take appropriate steps to manage the conflict, such as obtaining the clients' consent or ceasing to act for one of the clients. It is important to identify potential conflicts of interest at an early stage and take appropriate action to manage them.</w:t>
      </w:r>
    </w:p>
    <w:p w14:paraId="56348B85" w14:textId="77777777" w:rsidR="00CD697A" w:rsidRPr="00CD697A" w:rsidRDefault="00CD697A" w:rsidP="00CD697A">
      <w:pPr>
        <w:rPr>
          <w:rFonts w:ascii="Arial" w:hAnsi="Arial" w:cs="Arial"/>
          <w:color w:val="000000" w:themeColor="text1"/>
          <w:sz w:val="22"/>
          <w:szCs w:val="22"/>
        </w:rPr>
      </w:pPr>
    </w:p>
    <w:p w14:paraId="38D95551" w14:textId="77777777" w:rsidR="00CD697A" w:rsidRPr="00CD697A" w:rsidRDefault="00CD697A" w:rsidP="00CD697A">
      <w:pPr>
        <w:rPr>
          <w:rFonts w:ascii="Arial" w:hAnsi="Arial" w:cs="Arial"/>
          <w:color w:val="000000" w:themeColor="text1"/>
          <w:sz w:val="22"/>
          <w:szCs w:val="22"/>
        </w:rPr>
      </w:pPr>
      <w:r w:rsidRPr="00CD697A">
        <w:rPr>
          <w:rFonts w:ascii="Arial" w:hAnsi="Arial" w:cs="Arial"/>
          <w:color w:val="000000" w:themeColor="text1"/>
          <w:sz w:val="22"/>
          <w:szCs w:val="22"/>
          <w:shd w:val="clear" w:color="auto" w:fill="FFFFFF"/>
        </w:rPr>
        <w:lastRenderedPageBreak/>
        <w:t>Practical Example: Conflict of Interest</w:t>
      </w:r>
    </w:p>
    <w:p w14:paraId="04AAE2C4" w14:textId="77777777" w:rsidR="00CD697A" w:rsidRPr="00CD697A" w:rsidRDefault="00CD697A" w:rsidP="00CD697A">
      <w:pPr>
        <w:rPr>
          <w:rFonts w:ascii="Arial" w:hAnsi="Arial" w:cs="Arial"/>
          <w:color w:val="000000" w:themeColor="text1"/>
          <w:sz w:val="22"/>
          <w:szCs w:val="22"/>
          <w:shd w:val="clear" w:color="auto" w:fill="FFFFFF"/>
        </w:rPr>
      </w:pPr>
      <w:r w:rsidRPr="00CD697A">
        <w:rPr>
          <w:rFonts w:ascii="Arial" w:hAnsi="Arial" w:cs="Arial"/>
          <w:color w:val="000000" w:themeColor="text1"/>
          <w:sz w:val="22"/>
          <w:szCs w:val="22"/>
          <w:shd w:val="clear" w:color="auto" w:fill="FFFFFF"/>
        </w:rPr>
        <w:t>In the scenario where an attorney is acting for two clients in a dispute, with one client, Company A, suing the other, Client B, for breach of contract, the attorney discovers that they have previously acted for Client B in a different matter. This creates a conflict of interest, as the attorney may have confidential information about Client B that could be relevant to the current dispute. As a result, the attorney would need to carefully consider their ethical obligations under the Solicitors Regulation Authority (SRA) Code of Conduct, particularly in relation to conflicts of interest. The attorney would need to assess whether they can continue to act for both clients, or whether they should withdraw from representing one or both clients in the dispute. The attorney would also need to consider the potential consequences of any decision they make, including the impact on their clients' interests and the potential for reputational damage.</w:t>
      </w:r>
    </w:p>
    <w:p w14:paraId="2ACA209E" w14:textId="77777777" w:rsidR="00CD697A" w:rsidRPr="00CD697A" w:rsidRDefault="00CD697A" w:rsidP="00CD697A">
      <w:pPr>
        <w:rPr>
          <w:rFonts w:ascii="Arial" w:hAnsi="Arial" w:cs="Arial"/>
          <w:color w:val="000000" w:themeColor="text1"/>
          <w:sz w:val="22"/>
          <w:szCs w:val="22"/>
          <w:shd w:val="clear" w:color="auto" w:fill="FFFFFF"/>
        </w:rPr>
      </w:pPr>
    </w:p>
    <w:p w14:paraId="275215B5" w14:textId="77777777" w:rsidR="00CD697A" w:rsidRPr="00CD697A" w:rsidRDefault="00CD697A" w:rsidP="00CD697A">
      <w:pPr>
        <w:rPr>
          <w:rFonts w:ascii="Arial" w:hAnsi="Arial" w:cs="Arial"/>
          <w:color w:val="000000" w:themeColor="text1"/>
          <w:sz w:val="22"/>
          <w:szCs w:val="22"/>
        </w:rPr>
      </w:pPr>
      <w:r w:rsidRPr="00CD697A">
        <w:rPr>
          <w:rFonts w:ascii="Arial" w:hAnsi="Arial" w:cs="Arial"/>
          <w:color w:val="000000" w:themeColor="text1"/>
          <w:sz w:val="22"/>
          <w:szCs w:val="22"/>
        </w:rPr>
        <w:t>Thank you again for your attention to this matter. If you have any further questions or concerns, please do not hesitate to contact me. I look forward to hearing from you soon.</w:t>
      </w:r>
    </w:p>
    <w:p w14:paraId="13177F19" w14:textId="77777777" w:rsidR="00CD697A" w:rsidRPr="00CD697A" w:rsidRDefault="00CD697A" w:rsidP="00CD697A">
      <w:pPr>
        <w:rPr>
          <w:rFonts w:ascii="Arial" w:hAnsi="Arial" w:cs="Arial"/>
          <w:color w:val="000000" w:themeColor="text1"/>
          <w:sz w:val="22"/>
          <w:szCs w:val="22"/>
        </w:rPr>
      </w:pPr>
    </w:p>
    <w:p w14:paraId="07739A5B" w14:textId="77777777" w:rsidR="00CD697A" w:rsidRPr="00CD697A" w:rsidRDefault="00CD697A" w:rsidP="00CD697A">
      <w:pPr>
        <w:rPr>
          <w:rFonts w:ascii="Arial" w:hAnsi="Arial" w:cs="Arial"/>
          <w:color w:val="000000" w:themeColor="text1"/>
          <w:sz w:val="22"/>
          <w:szCs w:val="22"/>
        </w:rPr>
      </w:pPr>
      <w:r w:rsidRPr="00CD697A">
        <w:rPr>
          <w:rFonts w:ascii="Arial" w:hAnsi="Arial" w:cs="Arial"/>
          <w:color w:val="000000" w:themeColor="text1"/>
          <w:sz w:val="22"/>
          <w:szCs w:val="22"/>
        </w:rPr>
        <w:t xml:space="preserve">Kind regards, </w:t>
      </w:r>
      <w:proofErr w:type="spellStart"/>
      <w:r w:rsidRPr="00CD697A">
        <w:rPr>
          <w:rFonts w:ascii="Arial" w:hAnsi="Arial" w:cs="Arial"/>
          <w:color w:val="000000" w:themeColor="text1"/>
          <w:sz w:val="22"/>
          <w:szCs w:val="22"/>
        </w:rPr>
        <w:t>Nikol</w:t>
      </w:r>
      <w:proofErr w:type="spellEnd"/>
      <w:r w:rsidRPr="00CD697A">
        <w:rPr>
          <w:rFonts w:ascii="Arial" w:hAnsi="Arial" w:cs="Arial"/>
          <w:color w:val="000000" w:themeColor="text1"/>
          <w:sz w:val="22"/>
          <w:szCs w:val="22"/>
        </w:rPr>
        <w:t xml:space="preserve"> Ivanova</w:t>
      </w:r>
    </w:p>
    <w:p w14:paraId="78F55857" w14:textId="77777777" w:rsidR="00CD697A" w:rsidRPr="00CD697A" w:rsidRDefault="00CD697A" w:rsidP="00CD697A">
      <w:pPr>
        <w:rPr>
          <w:rFonts w:ascii="Arial" w:hAnsi="Arial" w:cs="Arial"/>
          <w:color w:val="000000" w:themeColor="text1"/>
          <w:sz w:val="22"/>
          <w:szCs w:val="22"/>
        </w:rPr>
      </w:pPr>
    </w:p>
    <w:p w14:paraId="774B0627" w14:textId="77777777" w:rsidR="00CD697A" w:rsidRPr="00CD697A" w:rsidRDefault="00CD697A" w:rsidP="00CD697A">
      <w:pPr>
        <w:rPr>
          <w:rFonts w:ascii="Arial" w:hAnsi="Arial" w:cs="Arial"/>
          <w:color w:val="000000" w:themeColor="text1"/>
          <w:sz w:val="22"/>
          <w:szCs w:val="22"/>
        </w:rPr>
      </w:pPr>
    </w:p>
    <w:p w14:paraId="1437EC73" w14:textId="77777777" w:rsidR="00CD697A" w:rsidRPr="00CD697A" w:rsidRDefault="00CD697A" w:rsidP="00CD697A">
      <w:pPr>
        <w:rPr>
          <w:rFonts w:ascii="Arial" w:hAnsi="Arial" w:cs="Arial"/>
          <w:color w:val="000000" w:themeColor="text1"/>
          <w:sz w:val="22"/>
          <w:szCs w:val="22"/>
        </w:rPr>
      </w:pPr>
    </w:p>
    <w:p w14:paraId="4076A901" w14:textId="77777777" w:rsidR="00CD697A" w:rsidRPr="00CD697A" w:rsidRDefault="00CD697A" w:rsidP="00CD697A">
      <w:pPr>
        <w:rPr>
          <w:rFonts w:ascii="Arial" w:hAnsi="Arial" w:cs="Arial"/>
          <w:b/>
          <w:bCs/>
          <w:color w:val="000000" w:themeColor="text1"/>
          <w:sz w:val="22"/>
          <w:szCs w:val="22"/>
          <w:u w:val="single"/>
        </w:rPr>
      </w:pPr>
      <w:r w:rsidRPr="00CD697A">
        <w:rPr>
          <w:rFonts w:ascii="Arial" w:hAnsi="Arial" w:cs="Arial"/>
          <w:b/>
          <w:bCs/>
          <w:color w:val="000000" w:themeColor="text1"/>
          <w:sz w:val="22"/>
          <w:szCs w:val="22"/>
          <w:u w:val="single"/>
        </w:rPr>
        <w:t>Element 3-</w:t>
      </w:r>
    </w:p>
    <w:p w14:paraId="233E722B" w14:textId="77777777" w:rsidR="00CD697A" w:rsidRPr="00CD697A" w:rsidRDefault="00CD697A" w:rsidP="00CD697A">
      <w:pPr>
        <w:rPr>
          <w:rFonts w:ascii="Arial" w:hAnsi="Arial" w:cs="Arial"/>
          <w:b/>
          <w:bCs/>
          <w:color w:val="000000" w:themeColor="text1"/>
          <w:sz w:val="22"/>
          <w:szCs w:val="22"/>
          <w:u w:val="single"/>
        </w:rPr>
      </w:pPr>
      <w:r w:rsidRPr="00CD697A">
        <w:rPr>
          <w:rFonts w:ascii="Arial" w:hAnsi="Arial" w:cs="Arial"/>
          <w:b/>
          <w:bCs/>
          <w:color w:val="000000" w:themeColor="text1"/>
          <w:sz w:val="22"/>
          <w:szCs w:val="22"/>
          <w:u w:val="single"/>
        </w:rPr>
        <w:t>A poster task regarding funding</w:t>
      </w:r>
    </w:p>
    <w:p w14:paraId="2DAE9731" w14:textId="77777777" w:rsidR="00CD697A" w:rsidRPr="00CD697A" w:rsidRDefault="00CD697A" w:rsidP="00CD697A">
      <w:pPr>
        <w:rPr>
          <w:rFonts w:ascii="Arial" w:hAnsi="Arial" w:cs="Arial"/>
          <w:b/>
          <w:bCs/>
          <w:color w:val="000000" w:themeColor="text1"/>
          <w:sz w:val="22"/>
          <w:szCs w:val="22"/>
          <w:u w:val="single"/>
        </w:rPr>
      </w:pPr>
    </w:p>
    <w:p w14:paraId="1DEAF5CA" w14:textId="77777777" w:rsidR="00CD697A" w:rsidRPr="00CD697A" w:rsidRDefault="00CD697A" w:rsidP="00CD697A">
      <w:pPr>
        <w:rPr>
          <w:rFonts w:ascii="Arial" w:hAnsi="Arial" w:cs="Arial"/>
          <w:color w:val="000000" w:themeColor="text1"/>
          <w:sz w:val="22"/>
          <w:szCs w:val="22"/>
        </w:rPr>
      </w:pPr>
    </w:p>
    <w:p w14:paraId="59E408B1" w14:textId="77777777" w:rsidR="00CD697A" w:rsidRPr="00CD697A" w:rsidRDefault="00CD697A" w:rsidP="00CD697A">
      <w:pPr>
        <w:rPr>
          <w:rFonts w:ascii="Arial" w:hAnsi="Arial" w:cs="Arial"/>
          <w:color w:val="000000" w:themeColor="text1"/>
          <w:sz w:val="22"/>
          <w:szCs w:val="22"/>
          <w:shd w:val="clear" w:color="auto" w:fill="FFFFFF"/>
        </w:rPr>
      </w:pPr>
      <w:r w:rsidRPr="00CD697A">
        <w:rPr>
          <w:rFonts w:ascii="Arial" w:hAnsi="Arial" w:cs="Arial"/>
          <w:color w:val="000000" w:themeColor="text1"/>
          <w:sz w:val="22"/>
          <w:szCs w:val="22"/>
        </w:rPr>
        <w:t xml:space="preserve">Poster Title: </w:t>
      </w:r>
      <w:r w:rsidRPr="00CD697A">
        <w:rPr>
          <w:rFonts w:ascii="Arial" w:hAnsi="Arial" w:cs="Arial"/>
          <w:color w:val="000000" w:themeColor="text1"/>
          <w:sz w:val="22"/>
          <w:szCs w:val="22"/>
          <w:shd w:val="clear" w:color="auto" w:fill="FFFFFF"/>
        </w:rPr>
        <w:t xml:space="preserve">"Protecting Our Children: </w:t>
      </w:r>
    </w:p>
    <w:p w14:paraId="1C2E64FD" w14:textId="77777777" w:rsidR="00CD697A" w:rsidRPr="00CD697A" w:rsidRDefault="00CD697A" w:rsidP="00CD697A">
      <w:pPr>
        <w:rPr>
          <w:rFonts w:ascii="Arial" w:hAnsi="Arial" w:cs="Arial"/>
          <w:color w:val="000000" w:themeColor="text1"/>
          <w:sz w:val="22"/>
          <w:szCs w:val="22"/>
          <w:shd w:val="clear" w:color="auto" w:fill="FFFFFF"/>
        </w:rPr>
      </w:pPr>
      <w:r w:rsidRPr="00CD697A">
        <w:rPr>
          <w:rFonts w:ascii="Arial" w:hAnsi="Arial" w:cs="Arial"/>
          <w:color w:val="000000" w:themeColor="text1"/>
          <w:sz w:val="22"/>
          <w:szCs w:val="22"/>
          <w:shd w:val="clear" w:color="auto" w:fill="FFFFFF"/>
        </w:rPr>
        <w:t>A Case for Public Children Law. This name reflects the subject matter of the case and highlights the importance of protecting children's rights and welfare through the legal system.</w:t>
      </w:r>
    </w:p>
    <w:p w14:paraId="3AE50CF6" w14:textId="77777777" w:rsidR="00CD697A" w:rsidRPr="00CD697A" w:rsidRDefault="00CD697A" w:rsidP="00CD697A">
      <w:pPr>
        <w:rPr>
          <w:rFonts w:ascii="Arial" w:hAnsi="Arial" w:cs="Arial"/>
          <w:color w:val="000000" w:themeColor="text1"/>
          <w:sz w:val="22"/>
          <w:szCs w:val="22"/>
        </w:rPr>
      </w:pPr>
    </w:p>
    <w:p w14:paraId="002F050D" w14:textId="77777777" w:rsidR="00CD697A" w:rsidRPr="00CD697A" w:rsidRDefault="00CD697A" w:rsidP="00CD697A">
      <w:pPr>
        <w:rPr>
          <w:rFonts w:ascii="Arial" w:hAnsi="Arial" w:cs="Arial"/>
          <w:color w:val="000000" w:themeColor="text1"/>
          <w:sz w:val="22"/>
          <w:szCs w:val="22"/>
        </w:rPr>
      </w:pPr>
      <w:r w:rsidRPr="00CD697A">
        <w:rPr>
          <w:rFonts w:ascii="Arial" w:hAnsi="Arial" w:cs="Arial"/>
          <w:color w:val="000000" w:themeColor="text1"/>
          <w:sz w:val="22"/>
          <w:szCs w:val="22"/>
        </w:rPr>
        <w:t>[Heading 1: Introduction]</w:t>
      </w:r>
    </w:p>
    <w:p w14:paraId="26E1625F" w14:textId="77777777" w:rsidR="00CD697A" w:rsidRPr="00CD697A" w:rsidRDefault="00CD697A" w:rsidP="00CD697A">
      <w:pPr>
        <w:rPr>
          <w:rFonts w:ascii="Arial" w:hAnsi="Arial" w:cs="Arial"/>
          <w:color w:val="000000" w:themeColor="text1"/>
          <w:sz w:val="22"/>
          <w:szCs w:val="22"/>
        </w:rPr>
      </w:pPr>
      <w:r w:rsidRPr="00CD697A">
        <w:rPr>
          <w:rFonts w:ascii="Arial" w:hAnsi="Arial" w:cs="Arial"/>
          <w:color w:val="000000" w:themeColor="text1"/>
          <w:sz w:val="22"/>
          <w:szCs w:val="22"/>
        </w:rPr>
        <w:t xml:space="preserve">When it comes to funding your case, there are several options available to you. Each has its own advantages and disadvantages, and the best option for you will depend on your specific circumstances. In this poster, we will outline the different ways in which you can fund your </w:t>
      </w:r>
      <w:proofErr w:type="gramStart"/>
      <w:r w:rsidRPr="00CD697A">
        <w:rPr>
          <w:rFonts w:ascii="Arial" w:hAnsi="Arial" w:cs="Arial"/>
          <w:color w:val="000000" w:themeColor="text1"/>
          <w:sz w:val="22"/>
          <w:szCs w:val="22"/>
        </w:rPr>
        <w:t>case, and</w:t>
      </w:r>
      <w:proofErr w:type="gramEnd"/>
      <w:r w:rsidRPr="00CD697A">
        <w:rPr>
          <w:rFonts w:ascii="Arial" w:hAnsi="Arial" w:cs="Arial"/>
          <w:color w:val="000000" w:themeColor="text1"/>
          <w:sz w:val="22"/>
          <w:szCs w:val="22"/>
        </w:rPr>
        <w:t xml:space="preserve"> give examples of which funding options are best suited to different areas of law.</w:t>
      </w:r>
    </w:p>
    <w:p w14:paraId="2F879528" w14:textId="77777777" w:rsidR="00CD697A" w:rsidRPr="00CD697A" w:rsidRDefault="00CD697A" w:rsidP="00CD697A">
      <w:pPr>
        <w:rPr>
          <w:rFonts w:ascii="Arial" w:hAnsi="Arial" w:cs="Arial"/>
          <w:color w:val="000000" w:themeColor="text1"/>
          <w:sz w:val="22"/>
          <w:szCs w:val="22"/>
        </w:rPr>
      </w:pPr>
    </w:p>
    <w:p w14:paraId="7F71DBB2" w14:textId="77777777" w:rsidR="00CD697A" w:rsidRPr="00CD697A" w:rsidRDefault="00CD697A" w:rsidP="00CD697A">
      <w:pPr>
        <w:rPr>
          <w:rFonts w:ascii="Arial" w:hAnsi="Arial" w:cs="Arial"/>
          <w:color w:val="000000" w:themeColor="text1"/>
          <w:sz w:val="22"/>
          <w:szCs w:val="22"/>
        </w:rPr>
      </w:pPr>
      <w:r w:rsidRPr="00CD697A">
        <w:rPr>
          <w:rFonts w:ascii="Arial" w:hAnsi="Arial" w:cs="Arial"/>
          <w:color w:val="000000" w:themeColor="text1"/>
          <w:sz w:val="22"/>
          <w:szCs w:val="22"/>
        </w:rPr>
        <w:t>Public children law is an area of law that deals with the protection and welfare of children. It encompasses a range of legal issues related to child welfare, including child protection, adoption, foster care, and parental responsibility. Public children law cases are typically brought by local authorities or other public bodies, such as the police or the National Health Service, to protect children who are at risk of harm or neglect. The primary goal of public children law is to ensure that children are safe, healthy, and able to thrive in a supportive environment.</w:t>
      </w:r>
    </w:p>
    <w:p w14:paraId="4E063665" w14:textId="77777777" w:rsidR="00CD697A" w:rsidRPr="00CD697A" w:rsidRDefault="00CD697A" w:rsidP="00CD697A">
      <w:pPr>
        <w:rPr>
          <w:rFonts w:ascii="Arial" w:hAnsi="Arial" w:cs="Arial"/>
          <w:color w:val="000000" w:themeColor="text1"/>
          <w:sz w:val="22"/>
          <w:szCs w:val="22"/>
        </w:rPr>
      </w:pPr>
    </w:p>
    <w:p w14:paraId="5F61AEE9" w14:textId="77777777" w:rsidR="00CD697A" w:rsidRPr="00CD697A" w:rsidRDefault="00CD697A" w:rsidP="00CD697A">
      <w:pPr>
        <w:rPr>
          <w:rFonts w:ascii="Arial" w:hAnsi="Arial" w:cs="Arial"/>
          <w:color w:val="000000" w:themeColor="text1"/>
          <w:sz w:val="22"/>
          <w:szCs w:val="22"/>
        </w:rPr>
      </w:pPr>
    </w:p>
    <w:p w14:paraId="418001E7" w14:textId="77777777" w:rsidR="00CD697A" w:rsidRPr="00CD697A" w:rsidRDefault="00CD697A" w:rsidP="00CD697A">
      <w:pPr>
        <w:rPr>
          <w:rFonts w:ascii="Arial" w:hAnsi="Arial" w:cs="Arial"/>
          <w:color w:val="000000" w:themeColor="text1"/>
          <w:sz w:val="22"/>
          <w:szCs w:val="22"/>
        </w:rPr>
      </w:pPr>
      <w:r w:rsidRPr="00CD697A">
        <w:rPr>
          <w:rFonts w:ascii="Arial" w:hAnsi="Arial" w:cs="Arial"/>
          <w:color w:val="000000" w:themeColor="text1"/>
          <w:sz w:val="22"/>
          <w:szCs w:val="22"/>
        </w:rPr>
        <w:t>[Heading 2: Funding Options]</w:t>
      </w:r>
    </w:p>
    <w:p w14:paraId="66D5CBEA" w14:textId="77777777" w:rsidR="00CD697A" w:rsidRPr="00CD697A" w:rsidRDefault="00CD697A" w:rsidP="00CD697A">
      <w:pPr>
        <w:pStyle w:val="ListParagraph"/>
        <w:numPr>
          <w:ilvl w:val="0"/>
          <w:numId w:val="1"/>
        </w:numPr>
        <w:rPr>
          <w:rFonts w:ascii="Arial" w:hAnsi="Arial" w:cs="Arial"/>
          <w:color w:val="000000" w:themeColor="text1"/>
          <w:sz w:val="22"/>
          <w:szCs w:val="22"/>
        </w:rPr>
      </w:pPr>
      <w:r w:rsidRPr="00CD697A">
        <w:rPr>
          <w:rFonts w:ascii="Arial" w:hAnsi="Arial" w:cs="Arial"/>
          <w:color w:val="000000" w:themeColor="text1"/>
          <w:sz w:val="22"/>
          <w:szCs w:val="22"/>
        </w:rPr>
        <w:t>Legal Aid</w:t>
      </w:r>
    </w:p>
    <w:p w14:paraId="32FCB769" w14:textId="77777777" w:rsidR="00CD697A" w:rsidRPr="00CD697A" w:rsidRDefault="00CD697A" w:rsidP="00CD697A">
      <w:pPr>
        <w:spacing w:before="120"/>
        <w:ind w:left="360"/>
        <w:rPr>
          <w:rFonts w:ascii="Arial" w:hAnsi="Arial" w:cs="Arial"/>
          <w:color w:val="000000" w:themeColor="text1"/>
          <w:sz w:val="22"/>
          <w:szCs w:val="22"/>
        </w:rPr>
      </w:pPr>
      <w:r w:rsidRPr="00CD697A">
        <w:rPr>
          <w:rFonts w:ascii="Arial" w:hAnsi="Arial" w:cs="Arial"/>
          <w:color w:val="000000" w:themeColor="text1"/>
          <w:sz w:val="22"/>
          <w:szCs w:val="22"/>
        </w:rPr>
        <w:t xml:space="preserve">Legal aid is available for public children's law cases in the United Kingdom. If you are involved in a public children's law case and cannot afford to pay for legal representation, you may be eligible for legal aid. Legal aid can cover the costs of a solicitor, barrister, and other legal professionals who can provide advice and representation in court. To be eligible for legal aid, you must meet certain financial and other criteria. These criteria are designed to ensure that legal aid is provided to those who need it most. It's important to note that legal aid is not always available for all types of public children's law cases, and some cases may require you to pay a contribution towards the costs of your legal </w:t>
      </w:r>
      <w:r w:rsidRPr="00CD697A">
        <w:rPr>
          <w:rFonts w:ascii="Arial" w:hAnsi="Arial" w:cs="Arial"/>
          <w:color w:val="000000" w:themeColor="text1"/>
          <w:sz w:val="22"/>
          <w:szCs w:val="22"/>
        </w:rPr>
        <w:lastRenderedPageBreak/>
        <w:t>representation. If you think you may be eligible for legal aid, it's best to seek advice from a qualified legal professional who can guide you through the application process.</w:t>
      </w:r>
    </w:p>
    <w:p w14:paraId="24150419" w14:textId="77777777" w:rsidR="00CD697A" w:rsidRPr="00CD697A" w:rsidRDefault="00CD697A" w:rsidP="00CD697A">
      <w:pPr>
        <w:rPr>
          <w:rFonts w:ascii="Arial" w:hAnsi="Arial" w:cs="Arial"/>
          <w:color w:val="000000" w:themeColor="text1"/>
          <w:sz w:val="22"/>
          <w:szCs w:val="22"/>
        </w:rPr>
      </w:pPr>
    </w:p>
    <w:p w14:paraId="554AFB76" w14:textId="77777777" w:rsidR="00CD697A" w:rsidRPr="00CD697A" w:rsidRDefault="00CD697A" w:rsidP="00CD697A">
      <w:pPr>
        <w:rPr>
          <w:rFonts w:ascii="Arial" w:hAnsi="Arial" w:cs="Arial"/>
          <w:color w:val="000000" w:themeColor="text1"/>
          <w:sz w:val="22"/>
          <w:szCs w:val="22"/>
        </w:rPr>
      </w:pPr>
      <w:r w:rsidRPr="00CD697A">
        <w:rPr>
          <w:rFonts w:ascii="Arial" w:hAnsi="Arial" w:cs="Arial"/>
          <w:color w:val="000000" w:themeColor="text1"/>
          <w:sz w:val="22"/>
          <w:szCs w:val="22"/>
        </w:rPr>
        <w:t>- Advantages: Free to eligible clients, covers all legal costs</w:t>
      </w:r>
    </w:p>
    <w:p w14:paraId="389DC98A" w14:textId="77777777" w:rsidR="00CD697A" w:rsidRPr="00CD697A" w:rsidRDefault="00CD697A" w:rsidP="00CD697A">
      <w:pPr>
        <w:rPr>
          <w:rFonts w:ascii="Arial" w:hAnsi="Arial" w:cs="Arial"/>
          <w:color w:val="000000" w:themeColor="text1"/>
          <w:sz w:val="22"/>
          <w:szCs w:val="22"/>
        </w:rPr>
      </w:pPr>
      <w:r w:rsidRPr="00CD697A">
        <w:rPr>
          <w:rFonts w:ascii="Arial" w:hAnsi="Arial" w:cs="Arial"/>
          <w:color w:val="000000" w:themeColor="text1"/>
          <w:sz w:val="22"/>
          <w:szCs w:val="22"/>
        </w:rPr>
        <w:t>- Disadvantages: Only available for certain types of cases, strict eligibility criteria</w:t>
      </w:r>
    </w:p>
    <w:p w14:paraId="18498DA6" w14:textId="77777777" w:rsidR="00CD697A" w:rsidRPr="00CD697A" w:rsidRDefault="00CD697A" w:rsidP="00CD697A">
      <w:pPr>
        <w:rPr>
          <w:rFonts w:ascii="Arial" w:hAnsi="Arial" w:cs="Arial"/>
          <w:color w:val="000000" w:themeColor="text1"/>
          <w:sz w:val="22"/>
          <w:szCs w:val="22"/>
        </w:rPr>
      </w:pPr>
      <w:r w:rsidRPr="00CD697A">
        <w:rPr>
          <w:rFonts w:ascii="Arial" w:hAnsi="Arial" w:cs="Arial"/>
          <w:color w:val="000000" w:themeColor="text1"/>
          <w:sz w:val="22"/>
          <w:szCs w:val="22"/>
        </w:rPr>
        <w:t>- Example: Public Children Law/Care Law advice</w:t>
      </w:r>
    </w:p>
    <w:p w14:paraId="58CBDCF7" w14:textId="77777777" w:rsidR="00CD697A" w:rsidRPr="00CD697A" w:rsidRDefault="00CD697A" w:rsidP="00CD697A">
      <w:pPr>
        <w:rPr>
          <w:rFonts w:ascii="Arial" w:hAnsi="Arial" w:cs="Arial"/>
          <w:color w:val="000000" w:themeColor="text1"/>
          <w:sz w:val="22"/>
          <w:szCs w:val="22"/>
        </w:rPr>
      </w:pPr>
    </w:p>
    <w:p w14:paraId="1FE8CA65" w14:textId="77777777" w:rsidR="00CD697A" w:rsidRPr="00CD697A" w:rsidRDefault="00CD697A" w:rsidP="00CD697A">
      <w:pPr>
        <w:rPr>
          <w:rFonts w:ascii="Arial" w:hAnsi="Arial" w:cs="Arial"/>
          <w:color w:val="000000" w:themeColor="text1"/>
          <w:sz w:val="22"/>
          <w:szCs w:val="22"/>
        </w:rPr>
      </w:pPr>
    </w:p>
    <w:p w14:paraId="40A9564A" w14:textId="77777777" w:rsidR="00CD697A" w:rsidRPr="00CD697A" w:rsidRDefault="00CD697A" w:rsidP="00CD697A">
      <w:pPr>
        <w:rPr>
          <w:rFonts w:ascii="Arial" w:hAnsi="Arial" w:cs="Arial"/>
          <w:color w:val="000000" w:themeColor="text1"/>
          <w:sz w:val="22"/>
          <w:szCs w:val="22"/>
        </w:rPr>
      </w:pPr>
      <w:r w:rsidRPr="00CD697A">
        <w:rPr>
          <w:rFonts w:ascii="Arial" w:hAnsi="Arial" w:cs="Arial"/>
          <w:color w:val="000000" w:themeColor="text1"/>
          <w:sz w:val="22"/>
          <w:szCs w:val="22"/>
        </w:rPr>
        <w:t>Public children's law has both advantages and disadvantages. Here are some of the key ones:</w:t>
      </w:r>
    </w:p>
    <w:p w14:paraId="3B60274E" w14:textId="77777777" w:rsidR="00CD697A" w:rsidRPr="00CD697A" w:rsidRDefault="00CD697A" w:rsidP="00CD697A">
      <w:pPr>
        <w:rPr>
          <w:rFonts w:ascii="Arial" w:hAnsi="Arial" w:cs="Arial"/>
          <w:color w:val="000000" w:themeColor="text1"/>
          <w:sz w:val="22"/>
          <w:szCs w:val="22"/>
        </w:rPr>
      </w:pPr>
    </w:p>
    <w:p w14:paraId="72D0ADAE" w14:textId="77777777" w:rsidR="00CD697A" w:rsidRPr="00CD697A" w:rsidRDefault="00CD697A" w:rsidP="00CD697A">
      <w:pPr>
        <w:rPr>
          <w:rFonts w:ascii="Arial" w:hAnsi="Arial" w:cs="Arial"/>
          <w:color w:val="000000" w:themeColor="text1"/>
          <w:sz w:val="22"/>
          <w:szCs w:val="22"/>
        </w:rPr>
      </w:pPr>
      <w:r w:rsidRPr="00CD697A">
        <w:rPr>
          <w:rFonts w:ascii="Arial" w:hAnsi="Arial" w:cs="Arial"/>
          <w:color w:val="000000" w:themeColor="text1"/>
          <w:sz w:val="22"/>
          <w:szCs w:val="22"/>
        </w:rPr>
        <w:t>Advantages:</w:t>
      </w:r>
    </w:p>
    <w:p w14:paraId="4AA3DDF4" w14:textId="77777777" w:rsidR="00CD697A" w:rsidRPr="00CD697A" w:rsidRDefault="00CD697A" w:rsidP="00CD697A">
      <w:pPr>
        <w:rPr>
          <w:rFonts w:ascii="Arial" w:hAnsi="Arial" w:cs="Arial"/>
          <w:color w:val="000000" w:themeColor="text1"/>
          <w:sz w:val="22"/>
          <w:szCs w:val="22"/>
        </w:rPr>
      </w:pPr>
      <w:r w:rsidRPr="00CD697A">
        <w:rPr>
          <w:rFonts w:ascii="Arial" w:hAnsi="Arial" w:cs="Arial"/>
          <w:color w:val="000000" w:themeColor="text1"/>
          <w:sz w:val="22"/>
          <w:szCs w:val="22"/>
        </w:rPr>
        <w:t>- Provides legal protection for children who are at risk of harm or neglect</w:t>
      </w:r>
    </w:p>
    <w:p w14:paraId="0B86A94B" w14:textId="77777777" w:rsidR="00CD697A" w:rsidRPr="00CD697A" w:rsidRDefault="00CD697A" w:rsidP="00CD697A">
      <w:pPr>
        <w:rPr>
          <w:rFonts w:ascii="Arial" w:hAnsi="Arial" w:cs="Arial"/>
          <w:color w:val="000000" w:themeColor="text1"/>
          <w:sz w:val="22"/>
          <w:szCs w:val="22"/>
        </w:rPr>
      </w:pPr>
      <w:r w:rsidRPr="00CD697A">
        <w:rPr>
          <w:rFonts w:ascii="Arial" w:hAnsi="Arial" w:cs="Arial"/>
          <w:color w:val="000000" w:themeColor="text1"/>
          <w:sz w:val="22"/>
          <w:szCs w:val="22"/>
        </w:rPr>
        <w:t>- Ensures that children's welfare is the top priority in cases involving family breakdown or disputes</w:t>
      </w:r>
    </w:p>
    <w:p w14:paraId="481958F2" w14:textId="77777777" w:rsidR="00CD697A" w:rsidRPr="00CD697A" w:rsidRDefault="00CD697A" w:rsidP="00CD697A">
      <w:pPr>
        <w:rPr>
          <w:rFonts w:ascii="Arial" w:hAnsi="Arial" w:cs="Arial"/>
          <w:color w:val="000000" w:themeColor="text1"/>
          <w:sz w:val="22"/>
          <w:szCs w:val="22"/>
        </w:rPr>
      </w:pPr>
      <w:r w:rsidRPr="00CD697A">
        <w:rPr>
          <w:rFonts w:ascii="Arial" w:hAnsi="Arial" w:cs="Arial"/>
          <w:color w:val="000000" w:themeColor="text1"/>
          <w:sz w:val="22"/>
          <w:szCs w:val="22"/>
        </w:rPr>
        <w:t xml:space="preserve">- Provides a framework for local authorities and other public bodies to intervene and </w:t>
      </w:r>
      <w:proofErr w:type="gramStart"/>
      <w:r w:rsidRPr="00CD697A">
        <w:rPr>
          <w:rFonts w:ascii="Arial" w:hAnsi="Arial" w:cs="Arial"/>
          <w:color w:val="000000" w:themeColor="text1"/>
          <w:sz w:val="22"/>
          <w:szCs w:val="22"/>
        </w:rPr>
        <w:t>take action</w:t>
      </w:r>
      <w:proofErr w:type="gramEnd"/>
      <w:r w:rsidRPr="00CD697A">
        <w:rPr>
          <w:rFonts w:ascii="Arial" w:hAnsi="Arial" w:cs="Arial"/>
          <w:color w:val="000000" w:themeColor="text1"/>
          <w:sz w:val="22"/>
          <w:szCs w:val="22"/>
        </w:rPr>
        <w:t xml:space="preserve"> when necessary to protect children</w:t>
      </w:r>
    </w:p>
    <w:p w14:paraId="0F760652" w14:textId="77777777" w:rsidR="00CD697A" w:rsidRPr="00CD697A" w:rsidRDefault="00CD697A" w:rsidP="00CD697A">
      <w:pPr>
        <w:rPr>
          <w:rFonts w:ascii="Arial" w:hAnsi="Arial" w:cs="Arial"/>
          <w:color w:val="000000" w:themeColor="text1"/>
          <w:sz w:val="22"/>
          <w:szCs w:val="22"/>
        </w:rPr>
      </w:pPr>
      <w:r w:rsidRPr="00CD697A">
        <w:rPr>
          <w:rFonts w:ascii="Arial" w:hAnsi="Arial" w:cs="Arial"/>
          <w:color w:val="000000" w:themeColor="text1"/>
          <w:sz w:val="22"/>
          <w:szCs w:val="22"/>
        </w:rPr>
        <w:t>- Can lead to positive outcomes for children, such as being placed in a safe and loving home through adoption or foster care</w:t>
      </w:r>
    </w:p>
    <w:p w14:paraId="3DDD396D" w14:textId="77777777" w:rsidR="00CD697A" w:rsidRPr="00CD697A" w:rsidRDefault="00CD697A" w:rsidP="00CD697A">
      <w:pPr>
        <w:rPr>
          <w:rFonts w:ascii="Arial" w:hAnsi="Arial" w:cs="Arial"/>
          <w:color w:val="000000" w:themeColor="text1"/>
          <w:sz w:val="22"/>
          <w:szCs w:val="22"/>
        </w:rPr>
      </w:pPr>
    </w:p>
    <w:p w14:paraId="6AF0E8EE" w14:textId="77777777" w:rsidR="00CD697A" w:rsidRPr="00CD697A" w:rsidRDefault="00CD697A" w:rsidP="00CD697A">
      <w:pPr>
        <w:rPr>
          <w:rFonts w:ascii="Arial" w:hAnsi="Arial" w:cs="Arial"/>
          <w:color w:val="000000" w:themeColor="text1"/>
          <w:sz w:val="22"/>
          <w:szCs w:val="22"/>
        </w:rPr>
      </w:pPr>
      <w:r w:rsidRPr="00CD697A">
        <w:rPr>
          <w:rFonts w:ascii="Arial" w:hAnsi="Arial" w:cs="Arial"/>
          <w:color w:val="000000" w:themeColor="text1"/>
          <w:sz w:val="22"/>
          <w:szCs w:val="22"/>
        </w:rPr>
        <w:t>Disadvantages:</w:t>
      </w:r>
    </w:p>
    <w:p w14:paraId="3724E69A" w14:textId="77777777" w:rsidR="00CD697A" w:rsidRPr="00CD697A" w:rsidRDefault="00CD697A" w:rsidP="00CD697A">
      <w:pPr>
        <w:rPr>
          <w:rFonts w:ascii="Arial" w:hAnsi="Arial" w:cs="Arial"/>
          <w:color w:val="000000" w:themeColor="text1"/>
          <w:sz w:val="22"/>
          <w:szCs w:val="22"/>
        </w:rPr>
      </w:pPr>
      <w:r w:rsidRPr="00CD697A">
        <w:rPr>
          <w:rFonts w:ascii="Arial" w:hAnsi="Arial" w:cs="Arial"/>
          <w:color w:val="000000" w:themeColor="text1"/>
          <w:sz w:val="22"/>
          <w:szCs w:val="22"/>
        </w:rPr>
        <w:t>- Can be a lengthy and emotionally challenging process for all parties involved, including the children</w:t>
      </w:r>
    </w:p>
    <w:p w14:paraId="1DAF6A67" w14:textId="77777777" w:rsidR="00CD697A" w:rsidRPr="00CD697A" w:rsidRDefault="00CD697A" w:rsidP="00CD697A">
      <w:pPr>
        <w:rPr>
          <w:rFonts w:ascii="Arial" w:hAnsi="Arial" w:cs="Arial"/>
          <w:color w:val="000000" w:themeColor="text1"/>
          <w:sz w:val="22"/>
          <w:szCs w:val="22"/>
        </w:rPr>
      </w:pPr>
      <w:r w:rsidRPr="00CD697A">
        <w:rPr>
          <w:rFonts w:ascii="Arial" w:hAnsi="Arial" w:cs="Arial"/>
          <w:color w:val="000000" w:themeColor="text1"/>
          <w:sz w:val="22"/>
          <w:szCs w:val="22"/>
        </w:rPr>
        <w:t>- Can be expensive, particularly if legal aid is not available or if you need to pay for expert witnesses or other professionals to provide evidence in court</w:t>
      </w:r>
    </w:p>
    <w:p w14:paraId="6D91BDB1" w14:textId="77777777" w:rsidR="00CD697A" w:rsidRPr="00CD697A" w:rsidRDefault="00CD697A" w:rsidP="00CD697A">
      <w:pPr>
        <w:rPr>
          <w:rFonts w:ascii="Arial" w:hAnsi="Arial" w:cs="Arial"/>
          <w:color w:val="000000" w:themeColor="text1"/>
          <w:sz w:val="22"/>
          <w:szCs w:val="22"/>
        </w:rPr>
      </w:pPr>
      <w:r w:rsidRPr="00CD697A">
        <w:rPr>
          <w:rFonts w:ascii="Arial" w:hAnsi="Arial" w:cs="Arial"/>
          <w:color w:val="000000" w:themeColor="text1"/>
          <w:sz w:val="22"/>
          <w:szCs w:val="22"/>
        </w:rPr>
        <w:t>- Can result in children being removed from their families and placed in care, which can be traumatic for the children and their families</w:t>
      </w:r>
    </w:p>
    <w:p w14:paraId="0B272C0F" w14:textId="77777777" w:rsidR="00CD697A" w:rsidRPr="00CD697A" w:rsidRDefault="00CD697A" w:rsidP="00CD697A">
      <w:pPr>
        <w:rPr>
          <w:rFonts w:ascii="Arial" w:hAnsi="Arial" w:cs="Arial"/>
          <w:color w:val="000000" w:themeColor="text1"/>
          <w:sz w:val="22"/>
          <w:szCs w:val="22"/>
        </w:rPr>
      </w:pPr>
      <w:r w:rsidRPr="00CD697A">
        <w:rPr>
          <w:rFonts w:ascii="Arial" w:hAnsi="Arial" w:cs="Arial"/>
          <w:color w:val="000000" w:themeColor="text1"/>
          <w:sz w:val="22"/>
          <w:szCs w:val="22"/>
        </w:rPr>
        <w:t>- Can be perceived as intrusive and heavy-handed by some families, particularly if they feel that their rights and privacy are being violated</w:t>
      </w:r>
    </w:p>
    <w:p w14:paraId="78D1FF8E" w14:textId="77777777" w:rsidR="00CD697A" w:rsidRPr="00CD697A" w:rsidRDefault="00CD697A" w:rsidP="00CD697A">
      <w:pPr>
        <w:rPr>
          <w:rFonts w:ascii="Arial" w:hAnsi="Arial" w:cs="Arial"/>
          <w:color w:val="000000" w:themeColor="text1"/>
          <w:sz w:val="22"/>
          <w:szCs w:val="22"/>
        </w:rPr>
      </w:pPr>
    </w:p>
    <w:p w14:paraId="2B45EF10" w14:textId="77777777" w:rsidR="00CD697A" w:rsidRPr="00CD697A" w:rsidRDefault="00CD697A" w:rsidP="00CD697A">
      <w:pPr>
        <w:rPr>
          <w:rFonts w:ascii="Arial" w:hAnsi="Arial" w:cs="Arial"/>
          <w:color w:val="000000" w:themeColor="text1"/>
          <w:sz w:val="22"/>
          <w:szCs w:val="22"/>
        </w:rPr>
      </w:pPr>
      <w:r w:rsidRPr="00CD697A">
        <w:rPr>
          <w:rFonts w:ascii="Arial" w:hAnsi="Arial" w:cs="Arial"/>
          <w:color w:val="000000" w:themeColor="text1"/>
          <w:sz w:val="22"/>
          <w:szCs w:val="22"/>
        </w:rPr>
        <w:t>Overall, while public children law has its challenges, it plays an important role in protecting the welfare of children and ensuring that they are safe and well-cared for.</w:t>
      </w:r>
    </w:p>
    <w:p w14:paraId="34F0F1AF" w14:textId="77777777" w:rsidR="00CD697A" w:rsidRPr="00CD697A" w:rsidRDefault="00CD697A" w:rsidP="00CD697A">
      <w:pPr>
        <w:rPr>
          <w:rFonts w:ascii="Arial" w:hAnsi="Arial" w:cs="Arial"/>
          <w:color w:val="000000" w:themeColor="text1"/>
          <w:sz w:val="22"/>
          <w:szCs w:val="22"/>
        </w:rPr>
      </w:pPr>
    </w:p>
    <w:p w14:paraId="1A749B3F" w14:textId="77777777" w:rsidR="00CD697A" w:rsidRPr="00CD697A" w:rsidRDefault="00CD697A" w:rsidP="00CD697A">
      <w:pPr>
        <w:rPr>
          <w:rFonts w:ascii="Arial" w:hAnsi="Arial" w:cs="Arial"/>
          <w:color w:val="000000" w:themeColor="text1"/>
          <w:sz w:val="22"/>
          <w:szCs w:val="22"/>
        </w:rPr>
      </w:pPr>
    </w:p>
    <w:p w14:paraId="06747D1B" w14:textId="77777777" w:rsidR="00CD697A" w:rsidRPr="00CD697A" w:rsidRDefault="00CD697A" w:rsidP="00CD697A">
      <w:pPr>
        <w:rPr>
          <w:rFonts w:ascii="Arial" w:hAnsi="Arial" w:cs="Arial"/>
          <w:color w:val="000000" w:themeColor="text1"/>
          <w:sz w:val="22"/>
          <w:szCs w:val="22"/>
        </w:rPr>
      </w:pPr>
      <w:r w:rsidRPr="00CD697A">
        <w:rPr>
          <w:rFonts w:ascii="Arial" w:hAnsi="Arial" w:cs="Arial"/>
          <w:color w:val="000000" w:themeColor="text1"/>
          <w:sz w:val="22"/>
          <w:szCs w:val="22"/>
        </w:rPr>
        <w:t>2. Conditional Fee Agreements (CFAs)</w:t>
      </w:r>
    </w:p>
    <w:p w14:paraId="3DF037A5" w14:textId="77777777" w:rsidR="00CD697A" w:rsidRPr="00CD697A" w:rsidRDefault="00CD697A" w:rsidP="00CD697A">
      <w:pPr>
        <w:rPr>
          <w:rFonts w:ascii="Arial" w:hAnsi="Arial" w:cs="Arial"/>
          <w:color w:val="000000" w:themeColor="text1"/>
          <w:sz w:val="22"/>
          <w:szCs w:val="22"/>
        </w:rPr>
      </w:pPr>
      <w:r w:rsidRPr="00CD697A">
        <w:rPr>
          <w:rFonts w:ascii="Arial" w:hAnsi="Arial" w:cs="Arial"/>
          <w:color w:val="000000" w:themeColor="text1"/>
          <w:sz w:val="22"/>
          <w:szCs w:val="22"/>
        </w:rPr>
        <w:t>- Advantages: No upfront costs, no fees if the case is lost</w:t>
      </w:r>
    </w:p>
    <w:p w14:paraId="43938FAE" w14:textId="77777777" w:rsidR="00CD697A" w:rsidRPr="00CD697A" w:rsidRDefault="00CD697A" w:rsidP="00CD697A">
      <w:pPr>
        <w:rPr>
          <w:rFonts w:ascii="Arial" w:hAnsi="Arial" w:cs="Arial"/>
          <w:color w:val="000000" w:themeColor="text1"/>
          <w:sz w:val="22"/>
          <w:szCs w:val="22"/>
        </w:rPr>
      </w:pPr>
      <w:r w:rsidRPr="00CD697A">
        <w:rPr>
          <w:rFonts w:ascii="Arial" w:hAnsi="Arial" w:cs="Arial"/>
          <w:color w:val="000000" w:themeColor="text1"/>
          <w:sz w:val="22"/>
          <w:szCs w:val="22"/>
        </w:rPr>
        <w:t>- Disadvantages: Success fee may be charged if the case is won, limited availability</w:t>
      </w:r>
    </w:p>
    <w:p w14:paraId="0EFBDEC8" w14:textId="77777777" w:rsidR="00CD697A" w:rsidRPr="00CD697A" w:rsidRDefault="00CD697A" w:rsidP="00CD697A">
      <w:pPr>
        <w:rPr>
          <w:rFonts w:ascii="Arial" w:hAnsi="Arial" w:cs="Arial"/>
          <w:color w:val="000000" w:themeColor="text1"/>
          <w:sz w:val="22"/>
          <w:szCs w:val="22"/>
        </w:rPr>
      </w:pPr>
      <w:r w:rsidRPr="00CD697A">
        <w:rPr>
          <w:rFonts w:ascii="Arial" w:hAnsi="Arial" w:cs="Arial"/>
          <w:color w:val="000000" w:themeColor="text1"/>
          <w:sz w:val="22"/>
          <w:szCs w:val="22"/>
        </w:rPr>
        <w:t>- Example: Business Law</w:t>
      </w:r>
    </w:p>
    <w:p w14:paraId="6F9E4697" w14:textId="77777777" w:rsidR="00CD697A" w:rsidRPr="00CD697A" w:rsidRDefault="00CD697A" w:rsidP="00CD697A">
      <w:pPr>
        <w:rPr>
          <w:rFonts w:ascii="Arial" w:hAnsi="Arial" w:cs="Arial"/>
          <w:color w:val="000000" w:themeColor="text1"/>
          <w:sz w:val="22"/>
          <w:szCs w:val="22"/>
        </w:rPr>
      </w:pPr>
    </w:p>
    <w:p w14:paraId="260707F1" w14:textId="77777777" w:rsidR="00CD697A" w:rsidRPr="00CD697A" w:rsidRDefault="00CD697A" w:rsidP="00CD697A">
      <w:pPr>
        <w:rPr>
          <w:rFonts w:ascii="Arial" w:hAnsi="Arial" w:cs="Arial"/>
          <w:color w:val="000000" w:themeColor="text1"/>
          <w:sz w:val="22"/>
          <w:szCs w:val="22"/>
        </w:rPr>
      </w:pPr>
      <w:r w:rsidRPr="00CD697A">
        <w:rPr>
          <w:rFonts w:ascii="Arial" w:hAnsi="Arial" w:cs="Arial"/>
          <w:color w:val="000000" w:themeColor="text1"/>
          <w:sz w:val="22"/>
          <w:szCs w:val="22"/>
        </w:rPr>
        <w:t>3. Private Funding</w:t>
      </w:r>
    </w:p>
    <w:p w14:paraId="76C87067" w14:textId="77777777" w:rsidR="00CD697A" w:rsidRPr="00CD697A" w:rsidRDefault="00CD697A" w:rsidP="00CD697A">
      <w:pPr>
        <w:rPr>
          <w:rFonts w:ascii="Arial" w:hAnsi="Arial" w:cs="Arial"/>
          <w:color w:val="000000" w:themeColor="text1"/>
          <w:sz w:val="22"/>
          <w:szCs w:val="22"/>
        </w:rPr>
      </w:pPr>
      <w:r w:rsidRPr="00CD697A">
        <w:rPr>
          <w:rFonts w:ascii="Arial" w:hAnsi="Arial" w:cs="Arial"/>
          <w:color w:val="000000" w:themeColor="text1"/>
          <w:sz w:val="22"/>
          <w:szCs w:val="22"/>
        </w:rPr>
        <w:t>- Advantages: More control over the case, wider range of legal services available</w:t>
      </w:r>
    </w:p>
    <w:p w14:paraId="028D270B" w14:textId="77777777" w:rsidR="00CD697A" w:rsidRPr="00CD697A" w:rsidRDefault="00CD697A" w:rsidP="00CD697A">
      <w:pPr>
        <w:rPr>
          <w:rFonts w:ascii="Arial" w:hAnsi="Arial" w:cs="Arial"/>
          <w:color w:val="000000" w:themeColor="text1"/>
          <w:sz w:val="22"/>
          <w:szCs w:val="22"/>
        </w:rPr>
      </w:pPr>
      <w:r w:rsidRPr="00CD697A">
        <w:rPr>
          <w:rFonts w:ascii="Arial" w:hAnsi="Arial" w:cs="Arial"/>
          <w:color w:val="000000" w:themeColor="text1"/>
          <w:sz w:val="22"/>
          <w:szCs w:val="22"/>
        </w:rPr>
        <w:t>- Disadvantages: Can be expensive, no guarantee of success</w:t>
      </w:r>
    </w:p>
    <w:p w14:paraId="7C1F7BC7" w14:textId="77777777" w:rsidR="00CD697A" w:rsidRPr="00CD697A" w:rsidRDefault="00CD697A" w:rsidP="00CD697A">
      <w:pPr>
        <w:rPr>
          <w:rFonts w:ascii="Arial" w:hAnsi="Arial" w:cs="Arial"/>
          <w:color w:val="000000" w:themeColor="text1"/>
          <w:sz w:val="22"/>
          <w:szCs w:val="22"/>
        </w:rPr>
      </w:pPr>
      <w:r w:rsidRPr="00CD697A">
        <w:rPr>
          <w:rFonts w:ascii="Arial" w:hAnsi="Arial" w:cs="Arial"/>
          <w:color w:val="000000" w:themeColor="text1"/>
          <w:sz w:val="22"/>
          <w:szCs w:val="22"/>
        </w:rPr>
        <w:t>- Example: Residential Conveyancing</w:t>
      </w:r>
    </w:p>
    <w:p w14:paraId="5EDC76A2" w14:textId="77777777" w:rsidR="00CD697A" w:rsidRPr="00CD697A" w:rsidRDefault="00CD697A" w:rsidP="00CD697A">
      <w:pPr>
        <w:rPr>
          <w:rFonts w:ascii="Arial" w:hAnsi="Arial" w:cs="Arial"/>
          <w:color w:val="000000" w:themeColor="text1"/>
          <w:sz w:val="22"/>
          <w:szCs w:val="22"/>
        </w:rPr>
      </w:pPr>
    </w:p>
    <w:p w14:paraId="4AC000A3" w14:textId="77777777" w:rsidR="00CD697A" w:rsidRPr="00CD697A" w:rsidRDefault="00CD697A" w:rsidP="00CD697A">
      <w:pPr>
        <w:rPr>
          <w:rFonts w:ascii="Arial" w:hAnsi="Arial" w:cs="Arial"/>
          <w:color w:val="000000" w:themeColor="text1"/>
          <w:sz w:val="22"/>
          <w:szCs w:val="22"/>
        </w:rPr>
      </w:pPr>
      <w:r w:rsidRPr="00CD697A">
        <w:rPr>
          <w:rFonts w:ascii="Arial" w:hAnsi="Arial" w:cs="Arial"/>
          <w:color w:val="000000" w:themeColor="text1"/>
          <w:sz w:val="22"/>
          <w:szCs w:val="22"/>
        </w:rPr>
        <w:t>[Heading 3: Conclusion]</w:t>
      </w:r>
    </w:p>
    <w:p w14:paraId="42E55A9C" w14:textId="77777777" w:rsidR="00CD697A" w:rsidRPr="00CD697A" w:rsidRDefault="00CD697A" w:rsidP="00CD697A">
      <w:pPr>
        <w:rPr>
          <w:rFonts w:ascii="Arial" w:hAnsi="Arial" w:cs="Arial"/>
          <w:color w:val="000000" w:themeColor="text1"/>
          <w:sz w:val="22"/>
          <w:szCs w:val="22"/>
        </w:rPr>
      </w:pPr>
      <w:r w:rsidRPr="00CD697A">
        <w:rPr>
          <w:rFonts w:ascii="Arial" w:hAnsi="Arial" w:cs="Arial"/>
          <w:color w:val="000000" w:themeColor="text1"/>
          <w:sz w:val="22"/>
          <w:szCs w:val="22"/>
        </w:rPr>
        <w:t>Choosing the right funding option for your case is crucial to its success. We hope this poster has helped you to understand the different options available to you, and which ones may be best suited to your specific area of law. If you have any questions, please don't hesitate to contact us for further advice.</w:t>
      </w:r>
    </w:p>
    <w:p w14:paraId="73D1F400" w14:textId="77777777" w:rsidR="00CD697A" w:rsidRPr="00CD697A" w:rsidRDefault="00CD697A" w:rsidP="00CD697A">
      <w:pPr>
        <w:rPr>
          <w:rFonts w:ascii="Arial" w:hAnsi="Arial" w:cs="Arial"/>
          <w:color w:val="000000" w:themeColor="text1"/>
          <w:sz w:val="22"/>
          <w:szCs w:val="22"/>
        </w:rPr>
      </w:pPr>
    </w:p>
    <w:p w14:paraId="588AA254" w14:textId="77777777" w:rsidR="00CD697A" w:rsidRPr="00CD697A" w:rsidRDefault="00CD697A" w:rsidP="00CD697A">
      <w:pPr>
        <w:rPr>
          <w:rFonts w:ascii="Arial" w:hAnsi="Arial" w:cs="Arial"/>
          <w:color w:val="000000" w:themeColor="text1"/>
          <w:sz w:val="22"/>
          <w:szCs w:val="22"/>
        </w:rPr>
      </w:pPr>
      <w:r w:rsidRPr="00CD697A">
        <w:rPr>
          <w:rFonts w:ascii="Arial" w:hAnsi="Arial" w:cs="Arial"/>
          <w:color w:val="000000" w:themeColor="text1"/>
          <w:sz w:val="22"/>
          <w:szCs w:val="22"/>
        </w:rPr>
        <w:t>Firm Name:  Children’s Right Law Group</w:t>
      </w:r>
    </w:p>
    <w:p w14:paraId="3014A74F" w14:textId="79760A46" w:rsidR="00E07CD5" w:rsidRDefault="00E07CD5">
      <w:pPr>
        <w:rPr>
          <w:rFonts w:ascii="Arial" w:hAnsi="Arial" w:cs="Arial"/>
          <w:color w:val="000000" w:themeColor="text1"/>
          <w:sz w:val="22"/>
          <w:szCs w:val="22"/>
        </w:rPr>
      </w:pPr>
    </w:p>
    <w:p w14:paraId="40751E5C" w14:textId="681A7DDF" w:rsidR="00CD697A" w:rsidRDefault="00CD697A">
      <w:pPr>
        <w:rPr>
          <w:rFonts w:ascii="Arial" w:hAnsi="Arial" w:cs="Arial"/>
          <w:color w:val="000000" w:themeColor="text1"/>
          <w:sz w:val="22"/>
          <w:szCs w:val="22"/>
        </w:rPr>
      </w:pPr>
    </w:p>
    <w:p w14:paraId="5B5BB4AB" w14:textId="682EEA19" w:rsidR="00CD697A" w:rsidRDefault="00CD697A">
      <w:pPr>
        <w:rPr>
          <w:rFonts w:ascii="Arial" w:hAnsi="Arial" w:cs="Arial"/>
          <w:color w:val="000000" w:themeColor="text1"/>
          <w:sz w:val="22"/>
          <w:szCs w:val="22"/>
        </w:rPr>
      </w:pPr>
    </w:p>
    <w:p w14:paraId="6AD7A316" w14:textId="6D98734F" w:rsidR="00CD697A" w:rsidRDefault="00CD697A">
      <w:pPr>
        <w:rPr>
          <w:rFonts w:ascii="Arial" w:hAnsi="Arial" w:cs="Arial"/>
          <w:color w:val="000000" w:themeColor="text1"/>
          <w:sz w:val="22"/>
          <w:szCs w:val="22"/>
        </w:rPr>
      </w:pPr>
    </w:p>
    <w:p w14:paraId="2D2271A9" w14:textId="77777777" w:rsidR="00CD697A" w:rsidRDefault="00CD697A" w:rsidP="00CD697A">
      <w:pPr>
        <w:ind w:left="720"/>
        <w:rPr>
          <w:rFonts w:ascii="Arial" w:hAnsi="Arial" w:cs="Arial"/>
        </w:rPr>
      </w:pPr>
      <w:r>
        <w:rPr>
          <w:rFonts w:ascii="Arial" w:hAnsi="Arial" w:cs="Arial"/>
        </w:rPr>
        <w:lastRenderedPageBreak/>
        <w:t>REFERENCES-</w:t>
      </w:r>
    </w:p>
    <w:p w14:paraId="1D6F2DDF" w14:textId="77777777" w:rsidR="00CD697A" w:rsidRDefault="00CD697A" w:rsidP="00CD697A">
      <w:pPr>
        <w:ind w:left="720"/>
        <w:rPr>
          <w:rFonts w:ascii="Arial" w:hAnsi="Arial" w:cs="Arial"/>
        </w:rPr>
      </w:pPr>
    </w:p>
    <w:p w14:paraId="4D3F96CF" w14:textId="77777777" w:rsidR="00CD697A" w:rsidRDefault="00CD697A" w:rsidP="00CD697A">
      <w:pPr>
        <w:pStyle w:val="ListParagraph"/>
        <w:numPr>
          <w:ilvl w:val="0"/>
          <w:numId w:val="2"/>
        </w:numPr>
        <w:rPr>
          <w:rFonts w:ascii="Arial" w:hAnsi="Arial" w:cs="Arial"/>
          <w:color w:val="222222"/>
        </w:rPr>
      </w:pPr>
      <w:r w:rsidRPr="009B0902">
        <w:rPr>
          <w:rFonts w:ascii="Arial" w:hAnsi="Arial" w:cs="Arial"/>
          <w:color w:val="222222"/>
        </w:rPr>
        <w:t>SRA (2019) 'SRA Code of Conduct', Solicitors Regulation Authority. Available at: </w:t>
      </w:r>
      <w:hyperlink r:id="rId5" w:tgtFrame="_blank" w:history="1">
        <w:r w:rsidRPr="009B0902">
          <w:rPr>
            <w:rFonts w:ascii="Arial" w:hAnsi="Arial" w:cs="Arial"/>
            <w:color w:val="1155CC"/>
            <w:u w:val="single"/>
          </w:rPr>
          <w:t>https://www.sra.org.uk/solicitors/standards-regulations/code-conduct-solicitors/</w:t>
        </w:r>
      </w:hyperlink>
      <w:r w:rsidRPr="009B0902">
        <w:rPr>
          <w:rFonts w:ascii="Arial" w:hAnsi="Arial" w:cs="Arial"/>
          <w:color w:val="222222"/>
        </w:rPr>
        <w:t> (Accessed: 10 March 2023).</w:t>
      </w:r>
    </w:p>
    <w:p w14:paraId="1B895207" w14:textId="77777777" w:rsidR="00CD697A" w:rsidRDefault="00CD697A" w:rsidP="00CD697A">
      <w:pPr>
        <w:pStyle w:val="ListParagraph"/>
        <w:numPr>
          <w:ilvl w:val="0"/>
          <w:numId w:val="2"/>
        </w:numPr>
        <w:rPr>
          <w:rFonts w:ascii="Arial" w:hAnsi="Arial" w:cs="Arial"/>
          <w:color w:val="222222"/>
        </w:rPr>
      </w:pPr>
      <w:r w:rsidRPr="009B0902">
        <w:rPr>
          <w:rFonts w:ascii="Arial" w:hAnsi="Arial" w:cs="Arial"/>
          <w:color w:val="222222"/>
        </w:rPr>
        <w:t>Law Society of England and Wales (2019) 'Conflicts of Interest', Practice Note. Available at: </w:t>
      </w:r>
      <w:hyperlink r:id="rId6" w:tgtFrame="_blank" w:history="1">
        <w:r w:rsidRPr="009B0902">
          <w:rPr>
            <w:rFonts w:ascii="Arial" w:hAnsi="Arial" w:cs="Arial"/>
            <w:color w:val="1155CC"/>
            <w:u w:val="single"/>
          </w:rPr>
          <w:t>https://www.lawsociety.org.uk/support-services/advice/practice-notes/conflicts-of-interest/</w:t>
        </w:r>
      </w:hyperlink>
      <w:r w:rsidRPr="009B0902">
        <w:rPr>
          <w:rFonts w:ascii="Arial" w:hAnsi="Arial" w:cs="Arial"/>
          <w:color w:val="222222"/>
        </w:rPr>
        <w:t>(Accessed: 10 March 2023).</w:t>
      </w:r>
    </w:p>
    <w:p w14:paraId="28662DCD" w14:textId="0021799F" w:rsidR="00CD697A" w:rsidRDefault="00CD697A" w:rsidP="00CD697A">
      <w:pPr>
        <w:pStyle w:val="ListParagraph"/>
        <w:numPr>
          <w:ilvl w:val="0"/>
          <w:numId w:val="2"/>
        </w:numPr>
        <w:rPr>
          <w:rFonts w:ascii="Arial" w:hAnsi="Arial" w:cs="Arial"/>
          <w:color w:val="222222"/>
        </w:rPr>
      </w:pPr>
      <w:r w:rsidRPr="009B0902">
        <w:rPr>
          <w:rFonts w:ascii="Arial" w:hAnsi="Arial" w:cs="Arial"/>
          <w:color w:val="222222"/>
        </w:rPr>
        <w:t>Legal Services Board (2017) 'Professional Standards Authority for Health and Social Care: Review of the Solicitors Regulation Authority's Approach to Conflicts of Interest', Legal Services Board. Available at: </w:t>
      </w:r>
      <w:hyperlink r:id="rId7" w:tgtFrame="_blank" w:history="1">
        <w:r w:rsidRPr="009B0902">
          <w:rPr>
            <w:rFonts w:ascii="Arial" w:hAnsi="Arial" w:cs="Arial"/>
            <w:color w:val="1155CC"/>
            <w:u w:val="single"/>
          </w:rPr>
          <w:t>https://www.legalservicesboard.org.uk/our-work/research-and-analysis/professional-standards-authority-for-health-and-social-care-review-of-the-solicitors-regulation-authority-s-approach-to-conflicts-of-interest/</w:t>
        </w:r>
      </w:hyperlink>
      <w:r w:rsidRPr="009B0902">
        <w:rPr>
          <w:rFonts w:ascii="Arial" w:hAnsi="Arial" w:cs="Arial"/>
          <w:color w:val="222222"/>
        </w:rPr>
        <w:t> (Accessed: 10 March 2023).</w:t>
      </w:r>
    </w:p>
    <w:p w14:paraId="33EFD7E9" w14:textId="77777777" w:rsidR="00CD697A" w:rsidRPr="00CD697A" w:rsidRDefault="00CD697A" w:rsidP="00CD697A">
      <w:pPr>
        <w:pStyle w:val="ListParagraph"/>
        <w:numPr>
          <w:ilvl w:val="0"/>
          <w:numId w:val="2"/>
        </w:numPr>
        <w:rPr>
          <w:rFonts w:ascii="Arial" w:hAnsi="Arial" w:cs="Arial"/>
          <w:color w:val="222222"/>
        </w:rPr>
      </w:pPr>
      <w:r w:rsidRPr="00CD697A">
        <w:rPr>
          <w:rStyle w:val="apple-converted-space"/>
          <w:rFonts w:ascii="Arial" w:hAnsi="Arial" w:cs="Arial"/>
          <w:color w:val="222222"/>
        </w:rPr>
        <w:t> </w:t>
      </w:r>
      <w:r w:rsidRPr="00CD697A">
        <w:rPr>
          <w:rFonts w:ascii="Arial" w:hAnsi="Arial" w:cs="Arial"/>
          <w:color w:val="222222"/>
        </w:rPr>
        <w:t>For the introduction to public children law: "Public children law,"</w:t>
      </w:r>
      <w:r w:rsidRPr="00CD697A">
        <w:rPr>
          <w:rStyle w:val="apple-converted-space"/>
          <w:rFonts w:ascii="Arial" w:hAnsi="Arial" w:cs="Arial"/>
          <w:color w:val="222222"/>
        </w:rPr>
        <w:t> </w:t>
      </w:r>
      <w:hyperlink r:id="rId8" w:tgtFrame="_blank" w:history="1">
        <w:r w:rsidRPr="00CD697A">
          <w:rPr>
            <w:rStyle w:val="Hyperlink"/>
            <w:rFonts w:ascii="Arial" w:hAnsi="Arial" w:cs="Arial"/>
            <w:color w:val="1155CC"/>
          </w:rPr>
          <w:t>GOV.UK</w:t>
        </w:r>
      </w:hyperlink>
      <w:r w:rsidRPr="00CD697A">
        <w:rPr>
          <w:rFonts w:ascii="Arial" w:hAnsi="Arial" w:cs="Arial"/>
          <w:color w:val="222222"/>
        </w:rPr>
        <w:t>, last modified March 1, 2018,</w:t>
      </w:r>
      <w:r w:rsidRPr="00CD697A">
        <w:rPr>
          <w:rStyle w:val="apple-converted-space"/>
          <w:rFonts w:ascii="Arial" w:hAnsi="Arial" w:cs="Arial"/>
          <w:color w:val="222222"/>
        </w:rPr>
        <w:t> </w:t>
      </w:r>
      <w:hyperlink r:id="rId9" w:tgtFrame="_blank" w:history="1">
        <w:r w:rsidRPr="00CD697A">
          <w:rPr>
            <w:rStyle w:val="Hyperlink"/>
            <w:rFonts w:ascii="Arial" w:hAnsi="Arial" w:cs="Arial"/>
            <w:color w:val="1155CC"/>
          </w:rPr>
          <w:t>https://www.gov.uk/guidance/public-children-law</w:t>
        </w:r>
      </w:hyperlink>
      <w:r w:rsidRPr="00CD697A">
        <w:rPr>
          <w:rFonts w:ascii="Arial" w:hAnsi="Arial" w:cs="Arial"/>
          <w:color w:val="222222"/>
        </w:rPr>
        <w:t>.</w:t>
      </w:r>
    </w:p>
    <w:p w14:paraId="534938FA" w14:textId="652A5B27" w:rsidR="00CD697A" w:rsidRPr="00CD697A" w:rsidRDefault="00CD697A" w:rsidP="00CD697A">
      <w:pPr>
        <w:pStyle w:val="ListParagraph"/>
        <w:numPr>
          <w:ilvl w:val="0"/>
          <w:numId w:val="2"/>
        </w:numPr>
        <w:rPr>
          <w:rFonts w:ascii="Arial" w:hAnsi="Arial" w:cs="Arial"/>
          <w:color w:val="222222"/>
        </w:rPr>
      </w:pPr>
      <w:r w:rsidRPr="00CD697A">
        <w:rPr>
          <w:rFonts w:ascii="Arial" w:hAnsi="Arial" w:cs="Arial"/>
          <w:color w:val="222222"/>
        </w:rPr>
        <w:t xml:space="preserve"> For the information on legal aid for public children law cases: "Legal aid for parents and children in public law cases,"</w:t>
      </w:r>
      <w:r w:rsidRPr="00CD697A">
        <w:rPr>
          <w:rStyle w:val="apple-converted-space"/>
          <w:rFonts w:ascii="Arial" w:hAnsi="Arial" w:cs="Arial"/>
          <w:color w:val="222222"/>
        </w:rPr>
        <w:t> </w:t>
      </w:r>
      <w:hyperlink r:id="rId10" w:tgtFrame="_blank" w:history="1">
        <w:r w:rsidRPr="00CD697A">
          <w:rPr>
            <w:rStyle w:val="Hyperlink"/>
            <w:rFonts w:ascii="Arial" w:hAnsi="Arial" w:cs="Arial"/>
            <w:color w:val="1155CC"/>
          </w:rPr>
          <w:t>GOV.UK</w:t>
        </w:r>
      </w:hyperlink>
      <w:r w:rsidRPr="00CD697A">
        <w:rPr>
          <w:rFonts w:ascii="Arial" w:hAnsi="Arial" w:cs="Arial"/>
          <w:color w:val="222222"/>
        </w:rPr>
        <w:t>, last modified March 1, 2018,</w:t>
      </w:r>
      <w:r w:rsidRPr="00CD697A">
        <w:rPr>
          <w:rStyle w:val="apple-converted-space"/>
          <w:rFonts w:ascii="Arial" w:hAnsi="Arial" w:cs="Arial"/>
          <w:color w:val="222222"/>
        </w:rPr>
        <w:t> </w:t>
      </w:r>
      <w:hyperlink r:id="rId11" w:tgtFrame="_blank" w:history="1">
        <w:r w:rsidRPr="00CD697A">
          <w:rPr>
            <w:rStyle w:val="Hyperlink"/>
            <w:rFonts w:ascii="Arial" w:hAnsi="Arial" w:cs="Arial"/>
            <w:color w:val="1155CC"/>
          </w:rPr>
          <w:t>https://www.gov.uk/legal-aid-for-parents-and-children-in-public-law-cases</w:t>
        </w:r>
      </w:hyperlink>
      <w:r w:rsidRPr="00CD697A">
        <w:rPr>
          <w:rFonts w:ascii="Arial" w:hAnsi="Arial" w:cs="Arial"/>
          <w:color w:val="222222"/>
        </w:rPr>
        <w:t>.</w:t>
      </w:r>
    </w:p>
    <w:p w14:paraId="1F43824F" w14:textId="236EE668" w:rsidR="00CD697A" w:rsidRPr="00CD697A" w:rsidRDefault="00CD697A" w:rsidP="00CD697A">
      <w:pPr>
        <w:pStyle w:val="ListParagraph"/>
        <w:numPr>
          <w:ilvl w:val="0"/>
          <w:numId w:val="2"/>
        </w:numPr>
        <w:rPr>
          <w:rFonts w:ascii="Arial" w:hAnsi="Arial" w:cs="Arial"/>
          <w:color w:val="222222"/>
        </w:rPr>
      </w:pPr>
      <w:r w:rsidRPr="00CD697A">
        <w:rPr>
          <w:rFonts w:ascii="Arial" w:hAnsi="Arial" w:cs="Arial"/>
          <w:color w:val="222222"/>
        </w:rPr>
        <w:t>For the advantages and disadvantages of public children law: "Public children law: advantages and disadvantages," Family Law, last modified February 1, 2019,</w:t>
      </w:r>
      <w:r w:rsidRPr="00CD697A">
        <w:rPr>
          <w:rStyle w:val="apple-converted-space"/>
          <w:rFonts w:ascii="Arial" w:hAnsi="Arial" w:cs="Arial"/>
          <w:color w:val="222222"/>
        </w:rPr>
        <w:t> </w:t>
      </w:r>
      <w:hyperlink r:id="rId12" w:tgtFrame="_blank" w:history="1">
        <w:r w:rsidRPr="00CD697A">
          <w:rPr>
            <w:rStyle w:val="Hyperlink"/>
            <w:rFonts w:ascii="Arial" w:hAnsi="Arial" w:cs="Arial"/>
            <w:color w:val="1155CC"/>
          </w:rPr>
          <w:t>https://www.familylaw.co.uk/news_and_comment/public-children-law-advantages-and-disadvantages</w:t>
        </w:r>
      </w:hyperlink>
      <w:r w:rsidRPr="00CD697A">
        <w:rPr>
          <w:rFonts w:ascii="Arial" w:hAnsi="Arial" w:cs="Arial"/>
          <w:color w:val="222222"/>
        </w:rPr>
        <w:t>.</w:t>
      </w:r>
    </w:p>
    <w:p w14:paraId="72F7CF23" w14:textId="77777777" w:rsidR="00CD697A" w:rsidRDefault="00CD697A" w:rsidP="00CD697A">
      <w:pPr>
        <w:ind w:left="720"/>
        <w:rPr>
          <w:rFonts w:ascii="Arial" w:hAnsi="Arial" w:cs="Arial"/>
        </w:rPr>
      </w:pPr>
    </w:p>
    <w:p w14:paraId="27D25E5D" w14:textId="77777777" w:rsidR="00CD697A" w:rsidRDefault="00CD697A" w:rsidP="00CD697A">
      <w:pPr>
        <w:ind w:left="720"/>
        <w:rPr>
          <w:rFonts w:ascii="Arial" w:hAnsi="Arial" w:cs="Arial"/>
        </w:rPr>
      </w:pPr>
    </w:p>
    <w:p w14:paraId="4C7AD7F2" w14:textId="77777777" w:rsidR="00CD697A" w:rsidRDefault="00CD697A" w:rsidP="00CD697A">
      <w:pPr>
        <w:ind w:left="720"/>
        <w:rPr>
          <w:rFonts w:ascii="Arial" w:hAnsi="Arial" w:cs="Arial"/>
        </w:rPr>
      </w:pPr>
    </w:p>
    <w:p w14:paraId="1FBB47AB" w14:textId="77777777" w:rsidR="00CD697A" w:rsidRDefault="00CD697A" w:rsidP="00CD697A">
      <w:pPr>
        <w:ind w:left="720"/>
        <w:rPr>
          <w:rFonts w:ascii="Arial" w:hAnsi="Arial" w:cs="Arial"/>
        </w:rPr>
      </w:pPr>
    </w:p>
    <w:p w14:paraId="6EB91C0C" w14:textId="77777777" w:rsidR="00CD697A" w:rsidRDefault="00CD697A" w:rsidP="00CD697A">
      <w:pPr>
        <w:ind w:left="720"/>
        <w:rPr>
          <w:rFonts w:ascii="Arial" w:hAnsi="Arial" w:cs="Arial"/>
        </w:rPr>
      </w:pPr>
    </w:p>
    <w:p w14:paraId="4E75E9A7" w14:textId="77777777" w:rsidR="00CD697A" w:rsidRDefault="00CD697A" w:rsidP="00CD697A">
      <w:pPr>
        <w:ind w:left="720"/>
        <w:rPr>
          <w:rFonts w:ascii="Arial" w:hAnsi="Arial" w:cs="Arial"/>
        </w:rPr>
      </w:pPr>
    </w:p>
    <w:p w14:paraId="1C9177B9" w14:textId="77777777" w:rsidR="00CD697A" w:rsidRDefault="00CD697A" w:rsidP="00CD697A">
      <w:pPr>
        <w:ind w:left="720"/>
        <w:rPr>
          <w:rFonts w:ascii="Arial" w:hAnsi="Arial" w:cs="Arial"/>
        </w:rPr>
      </w:pPr>
    </w:p>
    <w:p w14:paraId="0C8C8255" w14:textId="0570A843" w:rsidR="00CD697A" w:rsidRDefault="00CD697A">
      <w:pPr>
        <w:rPr>
          <w:rFonts w:ascii="Arial" w:hAnsi="Arial" w:cs="Arial"/>
          <w:color w:val="000000" w:themeColor="text1"/>
          <w:sz w:val="22"/>
          <w:szCs w:val="22"/>
        </w:rPr>
      </w:pPr>
    </w:p>
    <w:p w14:paraId="4DF3BA5A" w14:textId="1A40E863" w:rsidR="00CD697A" w:rsidRDefault="00CD697A">
      <w:pPr>
        <w:rPr>
          <w:rFonts w:ascii="Arial" w:hAnsi="Arial" w:cs="Arial"/>
          <w:color w:val="000000" w:themeColor="text1"/>
          <w:sz w:val="22"/>
          <w:szCs w:val="22"/>
        </w:rPr>
      </w:pPr>
    </w:p>
    <w:p w14:paraId="471FE1B3" w14:textId="77777777" w:rsidR="00CD697A" w:rsidRPr="00CD697A" w:rsidRDefault="00CD697A">
      <w:pPr>
        <w:rPr>
          <w:rFonts w:ascii="Arial" w:hAnsi="Arial" w:cs="Arial"/>
          <w:color w:val="000000" w:themeColor="text1"/>
          <w:sz w:val="22"/>
          <w:szCs w:val="22"/>
        </w:rPr>
      </w:pPr>
    </w:p>
    <w:sectPr w:rsidR="00CD697A" w:rsidRPr="00CD69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0C782C"/>
    <w:multiLevelType w:val="hybridMultilevel"/>
    <w:tmpl w:val="9398D6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27953B9"/>
    <w:multiLevelType w:val="hybridMultilevel"/>
    <w:tmpl w:val="5100DF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01657050">
    <w:abstractNumId w:val="0"/>
  </w:num>
  <w:num w:numId="2" w16cid:durableId="31118037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697A"/>
    <w:rsid w:val="00CD697A"/>
    <w:rsid w:val="00E07C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2C4B0F3"/>
  <w15:chartTrackingRefBased/>
  <w15:docId w15:val="{B7BEA6AD-D1B9-DF4A-887F-499D9C6474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697A"/>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CD697A"/>
    <w:pPr>
      <w:ind w:left="720"/>
      <w:contextualSpacing/>
    </w:pPr>
    <w:rPr>
      <w:sz w:val="20"/>
      <w:szCs w:val="20"/>
    </w:rPr>
  </w:style>
  <w:style w:type="character" w:customStyle="1" w:styleId="ListParagraphChar">
    <w:name w:val="List Paragraph Char"/>
    <w:link w:val="ListParagraph"/>
    <w:uiPriority w:val="34"/>
    <w:locked/>
    <w:rsid w:val="00CD697A"/>
    <w:rPr>
      <w:rFonts w:ascii="Times New Roman" w:eastAsia="Times New Roman" w:hAnsi="Times New Roman" w:cs="Times New Roman"/>
      <w:sz w:val="20"/>
      <w:szCs w:val="20"/>
      <w:lang w:eastAsia="en-GB"/>
    </w:rPr>
  </w:style>
  <w:style w:type="character" w:customStyle="1" w:styleId="apple-converted-space">
    <w:name w:val="apple-converted-space"/>
    <w:basedOn w:val="DefaultParagraphFont"/>
    <w:rsid w:val="00CD697A"/>
  </w:style>
  <w:style w:type="character" w:styleId="Hyperlink">
    <w:name w:val="Hyperlink"/>
    <w:basedOn w:val="DefaultParagraphFont"/>
    <w:uiPriority w:val="99"/>
    <w:semiHidden/>
    <w:unhideWhenUsed/>
    <w:rsid w:val="00CD697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5671857">
      <w:bodyDiv w:val="1"/>
      <w:marLeft w:val="0"/>
      <w:marRight w:val="0"/>
      <w:marTop w:val="0"/>
      <w:marBottom w:val="0"/>
      <w:divBdr>
        <w:top w:val="none" w:sz="0" w:space="0" w:color="auto"/>
        <w:left w:val="none" w:sz="0" w:space="0" w:color="auto"/>
        <w:bottom w:val="none" w:sz="0" w:space="0" w:color="auto"/>
        <w:right w:val="none" w:sz="0" w:space="0" w:color="auto"/>
      </w:divBdr>
      <w:divsChild>
        <w:div w:id="2065791298">
          <w:marLeft w:val="0"/>
          <w:marRight w:val="0"/>
          <w:marTop w:val="0"/>
          <w:marBottom w:val="0"/>
          <w:divBdr>
            <w:top w:val="none" w:sz="0" w:space="0" w:color="auto"/>
            <w:left w:val="none" w:sz="0" w:space="0" w:color="auto"/>
            <w:bottom w:val="none" w:sz="0" w:space="0" w:color="auto"/>
            <w:right w:val="none" w:sz="0" w:space="0" w:color="auto"/>
          </w:divBdr>
        </w:div>
        <w:div w:id="179246369">
          <w:marLeft w:val="0"/>
          <w:marRight w:val="0"/>
          <w:marTop w:val="0"/>
          <w:marBottom w:val="0"/>
          <w:divBdr>
            <w:top w:val="none" w:sz="0" w:space="0" w:color="auto"/>
            <w:left w:val="none" w:sz="0" w:space="0" w:color="auto"/>
            <w:bottom w:val="none" w:sz="0" w:space="0" w:color="auto"/>
            <w:right w:val="none" w:sz="0" w:space="0" w:color="auto"/>
          </w:divBdr>
        </w:div>
        <w:div w:id="751774329">
          <w:marLeft w:val="0"/>
          <w:marRight w:val="0"/>
          <w:marTop w:val="0"/>
          <w:marBottom w:val="0"/>
          <w:divBdr>
            <w:top w:val="none" w:sz="0" w:space="0" w:color="auto"/>
            <w:left w:val="none" w:sz="0" w:space="0" w:color="auto"/>
            <w:bottom w:val="none" w:sz="0" w:space="0" w:color="auto"/>
            <w:right w:val="none" w:sz="0" w:space="0" w:color="auto"/>
          </w:divBdr>
        </w:div>
        <w:div w:id="167717534">
          <w:marLeft w:val="0"/>
          <w:marRight w:val="0"/>
          <w:marTop w:val="0"/>
          <w:marBottom w:val="0"/>
          <w:divBdr>
            <w:top w:val="none" w:sz="0" w:space="0" w:color="auto"/>
            <w:left w:val="none" w:sz="0" w:space="0" w:color="auto"/>
            <w:bottom w:val="none" w:sz="0" w:space="0" w:color="auto"/>
            <w:right w:val="none" w:sz="0" w:space="0" w:color="auto"/>
          </w:divBdr>
        </w:div>
        <w:div w:id="893522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GOV.UK"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legalservicesboard.org.uk/our-work/research-and-analysis/professional-standards-authority-for-health-and-social-care-review-of-the-solicitors-regulation-authority-s-approach-to-conflicts-of-interest/" TargetMode="External"/><Relationship Id="rId12" Type="http://schemas.openxmlformats.org/officeDocument/2006/relationships/hyperlink" Target="https://www.familylaw.co.uk/news_and_comment/public-children-law-advantages-and-disadvantag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lawsociety.org.uk/support-services/advice/practice-notes/conflicts-of-interest/" TargetMode="External"/><Relationship Id="rId11" Type="http://schemas.openxmlformats.org/officeDocument/2006/relationships/hyperlink" Target="https://www.gov.uk/legal-aid-for-parents-and-children-in-public-law-cases" TargetMode="External"/><Relationship Id="rId5" Type="http://schemas.openxmlformats.org/officeDocument/2006/relationships/hyperlink" Target="https://www.sra.org.uk/solicitors/standards-regulations/code-conduct-solicitors/" TargetMode="External"/><Relationship Id="rId10" Type="http://schemas.openxmlformats.org/officeDocument/2006/relationships/hyperlink" Target="http://GOV.UK" TargetMode="External"/><Relationship Id="rId4" Type="http://schemas.openxmlformats.org/officeDocument/2006/relationships/webSettings" Target="webSettings.xml"/><Relationship Id="rId9" Type="http://schemas.openxmlformats.org/officeDocument/2006/relationships/hyperlink" Target="https://www.gov.uk/guidance/public-children-law"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5</Pages>
  <Words>1852</Words>
  <Characters>10560</Characters>
  <Application>Microsoft Office Word</Application>
  <DocSecurity>0</DocSecurity>
  <Lines>88</Lines>
  <Paragraphs>24</Paragraphs>
  <ScaleCrop>false</ScaleCrop>
  <Company/>
  <LinksUpToDate>false</LinksUpToDate>
  <CharactersWithSpaces>12388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Nikol Ivanova (2219702)</dc:creator>
  <cp:keywords/>
  <dc:description/>
  <cp:lastModifiedBy>Nikol Ivanova (2219702)</cp:lastModifiedBy>
  <cp:revision>1</cp:revision>
  <dcterms:created xsi:type="dcterms:W3CDTF">2023-03-10T23:51:00Z</dcterms:created>
  <dcterms:modified xsi:type="dcterms:W3CDTF">2023-03-10T23:55:00Z</dcterms:modified>
</cp:coreProperties>
</file>