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C8540" w14:textId="3BFFDEDA" w:rsidR="00643021" w:rsidRDefault="00643021" w:rsidP="005A108E">
      <w:pPr>
        <w:jc w:val="center"/>
        <w:rPr>
          <w:b/>
          <w:bCs/>
          <w:sz w:val="44"/>
          <w:szCs w:val="44"/>
          <w:shd w:val="clear" w:color="auto" w:fill="FFFFFF"/>
        </w:rPr>
      </w:pPr>
      <w:r>
        <w:rPr>
          <w:rFonts w:cs="Times New Roman"/>
          <w:noProof/>
          <w:szCs w:val="24"/>
        </w:rPr>
        <w:drawing>
          <wp:inline distT="0" distB="0" distL="0" distR="0" wp14:anchorId="621526B0" wp14:editId="607A1171">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7296C13C" w14:textId="77777777" w:rsidR="00643021" w:rsidRDefault="00643021" w:rsidP="00643021">
      <w:pPr>
        <w:rPr>
          <w:b/>
          <w:bCs/>
          <w:sz w:val="44"/>
          <w:szCs w:val="44"/>
          <w:shd w:val="clear" w:color="auto" w:fill="FFFFFF"/>
        </w:rPr>
      </w:pPr>
    </w:p>
    <w:p w14:paraId="3D142BEC" w14:textId="5ACCFD7A" w:rsidR="00BF7DBE" w:rsidRPr="00643021" w:rsidRDefault="00BF7DBE" w:rsidP="005A108E">
      <w:pPr>
        <w:jc w:val="center"/>
        <w:rPr>
          <w:rFonts w:ascii="Arial" w:hAnsi="Arial" w:cs="Arial"/>
          <w:b/>
          <w:bCs/>
          <w:sz w:val="40"/>
          <w:szCs w:val="40"/>
          <w:shd w:val="clear" w:color="auto" w:fill="FFFFFF"/>
        </w:rPr>
      </w:pPr>
      <w:r w:rsidRPr="00643021">
        <w:rPr>
          <w:rFonts w:ascii="Arial" w:hAnsi="Arial" w:cs="Arial"/>
          <w:b/>
          <w:bCs/>
          <w:sz w:val="40"/>
          <w:szCs w:val="40"/>
          <w:shd w:val="clear" w:color="auto" w:fill="FFFFFF"/>
        </w:rPr>
        <w:t xml:space="preserve">International Financial Management </w:t>
      </w:r>
    </w:p>
    <w:p w14:paraId="4C3D1F68" w14:textId="77777777" w:rsidR="00BF7DBE" w:rsidRDefault="00BF7DBE" w:rsidP="00BF7DBE">
      <w:pPr>
        <w:rPr>
          <w:b/>
          <w:bCs/>
          <w:sz w:val="44"/>
          <w:szCs w:val="44"/>
          <w:shd w:val="clear" w:color="auto" w:fill="FFFFFF"/>
        </w:rPr>
      </w:pPr>
    </w:p>
    <w:p w14:paraId="48ED8325" w14:textId="77777777" w:rsidR="00643021" w:rsidRDefault="00643021" w:rsidP="00BF7DBE">
      <w:pPr>
        <w:rPr>
          <w:b/>
          <w:bCs/>
          <w:sz w:val="44"/>
          <w:szCs w:val="44"/>
          <w:shd w:val="clear" w:color="auto" w:fill="FFFFFF"/>
        </w:rPr>
      </w:pPr>
    </w:p>
    <w:p w14:paraId="4AFE41FC" w14:textId="1B4237FE" w:rsidR="00BF7DBE" w:rsidRPr="00643021" w:rsidRDefault="00643021" w:rsidP="00643021">
      <w:pPr>
        <w:rPr>
          <w:rFonts w:ascii="Arial" w:hAnsi="Arial" w:cs="Arial"/>
          <w:sz w:val="36"/>
          <w:szCs w:val="36"/>
          <w:shd w:val="clear" w:color="auto" w:fill="FFFFFF"/>
        </w:rPr>
      </w:pPr>
      <w:r>
        <w:rPr>
          <w:rFonts w:ascii="Arial" w:hAnsi="Arial" w:cs="Arial"/>
          <w:b/>
          <w:bCs/>
          <w:sz w:val="36"/>
          <w:szCs w:val="36"/>
          <w:shd w:val="clear" w:color="auto" w:fill="FFFFFF"/>
        </w:rPr>
        <w:t xml:space="preserve">                        </w:t>
      </w:r>
      <w:r w:rsidRPr="00643021">
        <w:rPr>
          <w:rFonts w:ascii="Arial" w:hAnsi="Arial" w:cs="Arial"/>
          <w:b/>
          <w:bCs/>
          <w:sz w:val="36"/>
          <w:szCs w:val="36"/>
          <w:shd w:val="clear" w:color="auto" w:fill="FFFFFF"/>
        </w:rPr>
        <w:t>Lecturer:</w:t>
      </w:r>
      <w:r>
        <w:rPr>
          <w:rFonts w:ascii="Arial" w:hAnsi="Arial" w:cs="Arial"/>
          <w:b/>
          <w:bCs/>
          <w:sz w:val="36"/>
          <w:szCs w:val="36"/>
          <w:shd w:val="clear" w:color="auto" w:fill="FFFFFF"/>
        </w:rPr>
        <w:t xml:space="preserve"> </w:t>
      </w:r>
      <w:r w:rsidRPr="00643021">
        <w:rPr>
          <w:rFonts w:ascii="Arial" w:hAnsi="Arial" w:cs="Arial"/>
          <w:sz w:val="36"/>
          <w:szCs w:val="36"/>
          <w:shd w:val="clear" w:color="auto" w:fill="FFFFFF"/>
        </w:rPr>
        <w:t>Amandeep Sahota</w:t>
      </w:r>
    </w:p>
    <w:p w14:paraId="155C85CC" w14:textId="69C26FCE" w:rsidR="00BF7DBE" w:rsidRPr="00643021" w:rsidRDefault="00643021" w:rsidP="00643021">
      <w:pPr>
        <w:rPr>
          <w:rFonts w:ascii="Arial" w:hAnsi="Arial" w:cs="Arial"/>
          <w:b/>
          <w:bCs/>
          <w:sz w:val="36"/>
          <w:szCs w:val="36"/>
          <w:shd w:val="clear" w:color="auto" w:fill="FFFFFF"/>
        </w:rPr>
      </w:pPr>
      <w:r>
        <w:rPr>
          <w:rFonts w:ascii="Arial" w:hAnsi="Arial" w:cs="Arial"/>
          <w:b/>
          <w:bCs/>
          <w:sz w:val="36"/>
          <w:szCs w:val="36"/>
          <w:shd w:val="clear" w:color="auto" w:fill="FFFFFF"/>
        </w:rPr>
        <w:t xml:space="preserve">                        Code: </w:t>
      </w:r>
      <w:r w:rsidRPr="00643021">
        <w:rPr>
          <w:rFonts w:ascii="Arial" w:hAnsi="Arial" w:cs="Arial"/>
          <w:sz w:val="36"/>
          <w:szCs w:val="36"/>
          <w:shd w:val="clear" w:color="auto" w:fill="FFFFFF"/>
        </w:rPr>
        <w:t>LCBB6002</w:t>
      </w:r>
    </w:p>
    <w:p w14:paraId="6860684A" w14:textId="27DEB0E6" w:rsidR="00BF7DBE" w:rsidRPr="00643021" w:rsidRDefault="00643021" w:rsidP="00643021">
      <w:pPr>
        <w:rPr>
          <w:rFonts w:ascii="Arial" w:hAnsi="Arial" w:cs="Arial"/>
          <w:sz w:val="36"/>
          <w:szCs w:val="36"/>
          <w:shd w:val="clear" w:color="auto" w:fill="FFFFFF"/>
        </w:rPr>
      </w:pPr>
      <w:r>
        <w:rPr>
          <w:rFonts w:ascii="Arial" w:hAnsi="Arial" w:cs="Arial"/>
          <w:b/>
          <w:bCs/>
          <w:sz w:val="36"/>
          <w:szCs w:val="36"/>
          <w:shd w:val="clear" w:color="auto" w:fill="FFFFFF"/>
        </w:rPr>
        <w:t xml:space="preserve">                        </w:t>
      </w:r>
      <w:r w:rsidR="00BF7DBE" w:rsidRPr="00643021">
        <w:rPr>
          <w:rFonts w:ascii="Arial" w:hAnsi="Arial" w:cs="Arial"/>
          <w:b/>
          <w:bCs/>
          <w:sz w:val="36"/>
          <w:szCs w:val="36"/>
          <w:shd w:val="clear" w:color="auto" w:fill="FFFFFF"/>
        </w:rPr>
        <w:t xml:space="preserve">Student Name: </w:t>
      </w:r>
      <w:r>
        <w:rPr>
          <w:rFonts w:ascii="Arial" w:hAnsi="Arial" w:cs="Arial"/>
          <w:sz w:val="36"/>
          <w:szCs w:val="36"/>
          <w:shd w:val="clear" w:color="auto" w:fill="FFFFFF"/>
        </w:rPr>
        <w:t>Stefan Genchev</w:t>
      </w:r>
    </w:p>
    <w:p w14:paraId="3A67BEEB" w14:textId="3DE0F44D" w:rsidR="00BF7DBE" w:rsidRPr="00643021" w:rsidRDefault="00643021" w:rsidP="00643021">
      <w:pPr>
        <w:rPr>
          <w:rFonts w:ascii="Arial" w:hAnsi="Arial" w:cs="Arial"/>
          <w:sz w:val="36"/>
          <w:szCs w:val="36"/>
          <w:shd w:val="clear" w:color="auto" w:fill="FFFFFF"/>
        </w:rPr>
      </w:pPr>
      <w:r>
        <w:rPr>
          <w:rFonts w:ascii="Arial" w:hAnsi="Arial" w:cs="Arial"/>
          <w:b/>
          <w:bCs/>
          <w:sz w:val="36"/>
          <w:szCs w:val="36"/>
          <w:shd w:val="clear" w:color="auto" w:fill="FFFFFF"/>
        </w:rPr>
        <w:t xml:space="preserve">                        </w:t>
      </w:r>
      <w:r w:rsidR="00BF7DBE" w:rsidRPr="00643021">
        <w:rPr>
          <w:rFonts w:ascii="Arial" w:hAnsi="Arial" w:cs="Arial"/>
          <w:b/>
          <w:bCs/>
          <w:sz w:val="36"/>
          <w:szCs w:val="36"/>
          <w:shd w:val="clear" w:color="auto" w:fill="FFFFFF"/>
        </w:rPr>
        <w:t>Student ID:</w:t>
      </w:r>
      <w:r>
        <w:rPr>
          <w:rFonts w:ascii="Arial" w:hAnsi="Arial" w:cs="Arial"/>
          <w:b/>
          <w:bCs/>
          <w:sz w:val="36"/>
          <w:szCs w:val="36"/>
          <w:shd w:val="clear" w:color="auto" w:fill="FFFFFF"/>
        </w:rPr>
        <w:t xml:space="preserve"> </w:t>
      </w:r>
      <w:r>
        <w:rPr>
          <w:rFonts w:ascii="Arial" w:hAnsi="Arial" w:cs="Arial"/>
          <w:sz w:val="36"/>
          <w:szCs w:val="36"/>
          <w:shd w:val="clear" w:color="auto" w:fill="FFFFFF"/>
        </w:rPr>
        <w:t>2131735</w:t>
      </w:r>
    </w:p>
    <w:p w14:paraId="0E9CB726" w14:textId="665CFE32" w:rsidR="005103E9" w:rsidRPr="00BF7DBE" w:rsidRDefault="00BF7DBE" w:rsidP="00643021">
      <w:pPr>
        <w:spacing w:line="259" w:lineRule="auto"/>
        <w:rPr>
          <w:shd w:val="clear" w:color="auto" w:fill="FFFFFF"/>
        </w:rPr>
      </w:pPr>
      <w:r>
        <w:rPr>
          <w:shd w:val="clear" w:color="auto" w:fill="FFFFFF"/>
        </w:rPr>
        <w:br w:type="page"/>
      </w:r>
    </w:p>
    <w:sdt>
      <w:sdtPr>
        <w:rPr>
          <w:rFonts w:ascii="Times New Roman" w:eastAsiaTheme="minorHAnsi" w:hAnsi="Times New Roman" w:cstheme="minorBidi"/>
          <w:color w:val="auto"/>
          <w:sz w:val="24"/>
          <w:szCs w:val="22"/>
        </w:rPr>
        <w:id w:val="-746641690"/>
        <w:docPartObj>
          <w:docPartGallery w:val="Table of Contents"/>
          <w:docPartUnique/>
        </w:docPartObj>
      </w:sdtPr>
      <w:sdtEndPr>
        <w:rPr>
          <w:b w:val="0"/>
          <w:bCs/>
          <w:noProof/>
        </w:rPr>
      </w:sdtEndPr>
      <w:sdtContent>
        <w:p w14:paraId="33AD74D3" w14:textId="3A00D2B9" w:rsidR="00BF7DBE" w:rsidRPr="00643021" w:rsidRDefault="00BF7DBE" w:rsidP="00643021">
          <w:pPr>
            <w:pStyle w:val="TOCHeading"/>
          </w:pPr>
          <w:r w:rsidRPr="00643021">
            <w:t>Table of Contents</w:t>
          </w:r>
        </w:p>
        <w:p w14:paraId="1EF64FF1" w14:textId="77777777" w:rsidR="005A108E" w:rsidRPr="005A108E" w:rsidRDefault="005A108E" w:rsidP="005A108E"/>
        <w:p w14:paraId="11541E62" w14:textId="3E73F3CC" w:rsidR="00CE4718" w:rsidRPr="00643021" w:rsidRDefault="00BF7DBE">
          <w:pPr>
            <w:pStyle w:val="TOC1"/>
            <w:tabs>
              <w:tab w:val="right" w:leader="dot" w:pos="9016"/>
            </w:tabs>
            <w:rPr>
              <w:rFonts w:ascii="Arial" w:eastAsiaTheme="minorEastAsia" w:hAnsi="Arial" w:cs="Arial"/>
              <w:noProof/>
              <w:kern w:val="2"/>
              <w:sz w:val="22"/>
              <w14:ligatures w14:val="standardContextual"/>
            </w:rPr>
          </w:pPr>
          <w:r>
            <w:fldChar w:fldCharType="begin"/>
          </w:r>
          <w:r>
            <w:instrText xml:space="preserve"> TOC \o "1-3" \h \z \u </w:instrText>
          </w:r>
          <w:r>
            <w:fldChar w:fldCharType="separate"/>
          </w:r>
          <w:hyperlink w:anchor="_Toc171637108" w:history="1">
            <w:r w:rsidR="00CE4718" w:rsidRPr="00643021">
              <w:rPr>
                <w:rStyle w:val="Hyperlink"/>
                <w:rFonts w:ascii="Arial" w:hAnsi="Arial" w:cs="Arial"/>
                <w:noProof/>
              </w:rPr>
              <w:t>Introduction</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_Toc171637108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3</w:t>
            </w:r>
            <w:r w:rsidR="00CE4718" w:rsidRPr="00643021">
              <w:rPr>
                <w:rFonts w:ascii="Arial" w:hAnsi="Arial" w:cs="Arial"/>
                <w:noProof/>
                <w:webHidden/>
              </w:rPr>
              <w:fldChar w:fldCharType="end"/>
            </w:r>
          </w:hyperlink>
        </w:p>
        <w:p w14:paraId="631E4328" w14:textId="339AD53F" w:rsidR="00CE4718" w:rsidRPr="00643021" w:rsidRDefault="00000000">
          <w:pPr>
            <w:pStyle w:val="TOC1"/>
            <w:tabs>
              <w:tab w:val="right" w:leader="dot" w:pos="9016"/>
            </w:tabs>
            <w:rPr>
              <w:rFonts w:ascii="Arial" w:eastAsiaTheme="minorEastAsia" w:hAnsi="Arial" w:cs="Arial"/>
              <w:noProof/>
              <w:kern w:val="2"/>
              <w:sz w:val="22"/>
              <w14:ligatures w14:val="standardContextual"/>
            </w:rPr>
          </w:pPr>
          <w:hyperlink w:anchor="_Toc171637109" w:history="1">
            <w:r w:rsidR="00CE4718" w:rsidRPr="00643021">
              <w:rPr>
                <w:rStyle w:val="Hyperlink"/>
                <w:rFonts w:ascii="Arial" w:hAnsi="Arial" w:cs="Arial"/>
                <w:noProof/>
              </w:rPr>
              <w:t>Understanding Foreign Exchange Risks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_Toc171637109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3</w:t>
            </w:r>
            <w:r w:rsidR="00CE4718" w:rsidRPr="00643021">
              <w:rPr>
                <w:rFonts w:ascii="Arial" w:hAnsi="Arial" w:cs="Arial"/>
                <w:noProof/>
                <w:webHidden/>
              </w:rPr>
              <w:fldChar w:fldCharType="end"/>
            </w:r>
          </w:hyperlink>
        </w:p>
        <w:p w14:paraId="1B034028" w14:textId="1D08C307" w:rsidR="00CE4718" w:rsidRPr="00643021" w:rsidRDefault="00000000">
          <w:pPr>
            <w:pStyle w:val="TOC2"/>
            <w:tabs>
              <w:tab w:val="right" w:leader="dot" w:pos="9016"/>
            </w:tabs>
            <w:rPr>
              <w:rFonts w:ascii="Arial" w:eastAsiaTheme="minorEastAsia" w:hAnsi="Arial" w:cs="Arial"/>
              <w:noProof/>
              <w:kern w:val="2"/>
              <w:sz w:val="22"/>
              <w14:ligatures w14:val="standardContextual"/>
            </w:rPr>
          </w:pPr>
          <w:hyperlink w:anchor="_Toc171637110" w:history="1">
            <w:r w:rsidR="00CE4718" w:rsidRPr="00643021">
              <w:rPr>
                <w:rStyle w:val="Hyperlink"/>
                <w:rFonts w:ascii="Arial" w:hAnsi="Arial" w:cs="Arial"/>
                <w:noProof/>
              </w:rPr>
              <w:t>Types of Foreign Exchange Risks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_Toc171637110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3</w:t>
            </w:r>
            <w:r w:rsidR="00CE4718" w:rsidRPr="00643021">
              <w:rPr>
                <w:rFonts w:ascii="Arial" w:hAnsi="Arial" w:cs="Arial"/>
                <w:noProof/>
                <w:webHidden/>
              </w:rPr>
              <w:fldChar w:fldCharType="end"/>
            </w:r>
          </w:hyperlink>
        </w:p>
        <w:p w14:paraId="66C10436" w14:textId="275E3B7E" w:rsidR="00CE4718" w:rsidRPr="00643021" w:rsidRDefault="00000000">
          <w:pPr>
            <w:pStyle w:val="TOC2"/>
            <w:tabs>
              <w:tab w:val="right" w:leader="dot" w:pos="9016"/>
            </w:tabs>
            <w:rPr>
              <w:rFonts w:ascii="Arial" w:eastAsiaTheme="minorEastAsia" w:hAnsi="Arial" w:cs="Arial"/>
              <w:noProof/>
              <w:kern w:val="2"/>
              <w:sz w:val="22"/>
              <w14:ligatures w14:val="standardContextual"/>
            </w:rPr>
          </w:pPr>
          <w:hyperlink w:anchor="_Toc171637111" w:history="1">
            <w:r w:rsidR="00CE4718" w:rsidRPr="00643021">
              <w:rPr>
                <w:rStyle w:val="Hyperlink"/>
                <w:rFonts w:ascii="Arial" w:hAnsi="Arial" w:cs="Arial"/>
                <w:noProof/>
              </w:rPr>
              <w:t>Factors Influencing Foreign Exchange Risks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_Toc171637111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3</w:t>
            </w:r>
            <w:r w:rsidR="00CE4718" w:rsidRPr="00643021">
              <w:rPr>
                <w:rFonts w:ascii="Arial" w:hAnsi="Arial" w:cs="Arial"/>
                <w:noProof/>
                <w:webHidden/>
              </w:rPr>
              <w:fldChar w:fldCharType="end"/>
            </w:r>
          </w:hyperlink>
        </w:p>
        <w:p w14:paraId="15CB88FA" w14:textId="08CC8CE9" w:rsidR="00CE4718" w:rsidRPr="00643021" w:rsidRDefault="00000000">
          <w:pPr>
            <w:pStyle w:val="TOC1"/>
            <w:tabs>
              <w:tab w:val="right" w:leader="dot" w:pos="9016"/>
            </w:tabs>
            <w:rPr>
              <w:rFonts w:ascii="Arial" w:eastAsiaTheme="minorEastAsia" w:hAnsi="Arial" w:cs="Arial"/>
              <w:noProof/>
              <w:kern w:val="2"/>
              <w:sz w:val="22"/>
              <w14:ligatures w14:val="standardContextual"/>
            </w:rPr>
          </w:pPr>
          <w:hyperlink w:anchor="_Toc171637112" w:history="1">
            <w:r w:rsidR="00CE4718" w:rsidRPr="00643021">
              <w:rPr>
                <w:rStyle w:val="Hyperlink"/>
                <w:rFonts w:ascii="Arial" w:hAnsi="Arial" w:cs="Arial"/>
                <w:noProof/>
              </w:rPr>
              <w:t>Strategies for Managing Foreign Exchange Risks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_Toc171637112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4</w:t>
            </w:r>
            <w:r w:rsidR="00CE4718" w:rsidRPr="00643021">
              <w:rPr>
                <w:rFonts w:ascii="Arial" w:hAnsi="Arial" w:cs="Arial"/>
                <w:noProof/>
                <w:webHidden/>
              </w:rPr>
              <w:fldChar w:fldCharType="end"/>
            </w:r>
          </w:hyperlink>
        </w:p>
        <w:p w14:paraId="3C528DE0" w14:textId="240125FF" w:rsidR="00CE4718" w:rsidRPr="00643021" w:rsidRDefault="00000000">
          <w:pPr>
            <w:pStyle w:val="TOC2"/>
            <w:tabs>
              <w:tab w:val="right" w:leader="dot" w:pos="9016"/>
            </w:tabs>
            <w:rPr>
              <w:rFonts w:ascii="Arial" w:eastAsiaTheme="minorEastAsia" w:hAnsi="Arial" w:cs="Arial"/>
              <w:noProof/>
              <w:kern w:val="2"/>
              <w:sz w:val="22"/>
              <w14:ligatures w14:val="standardContextual"/>
            </w:rPr>
          </w:pPr>
          <w:hyperlink w:anchor="_Toc171637113" w:history="1">
            <w:r w:rsidR="00CE4718" w:rsidRPr="00643021">
              <w:rPr>
                <w:rStyle w:val="Hyperlink"/>
                <w:rFonts w:ascii="Arial" w:hAnsi="Arial" w:cs="Arial"/>
                <w:noProof/>
              </w:rPr>
              <w:t>Internal Hedging Strategies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_Toc171637113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4</w:t>
            </w:r>
            <w:r w:rsidR="00CE4718" w:rsidRPr="00643021">
              <w:rPr>
                <w:rFonts w:ascii="Arial" w:hAnsi="Arial" w:cs="Arial"/>
                <w:noProof/>
                <w:webHidden/>
              </w:rPr>
              <w:fldChar w:fldCharType="end"/>
            </w:r>
          </w:hyperlink>
        </w:p>
        <w:p w14:paraId="4619A6E9" w14:textId="216EB769" w:rsidR="00CE4718" w:rsidRPr="00643021" w:rsidRDefault="00000000">
          <w:pPr>
            <w:pStyle w:val="TOC3"/>
            <w:tabs>
              <w:tab w:val="right" w:leader="dot" w:pos="9016"/>
            </w:tabs>
            <w:rPr>
              <w:rFonts w:ascii="Arial" w:eastAsiaTheme="minorEastAsia" w:hAnsi="Arial" w:cs="Arial"/>
              <w:noProof/>
              <w:kern w:val="2"/>
              <w:sz w:val="22"/>
              <w14:ligatures w14:val="standardContextual"/>
            </w:rPr>
          </w:pPr>
          <w:hyperlink w:anchor="_Toc171637114" w:history="1">
            <w:r w:rsidR="00CE4718" w:rsidRPr="00643021">
              <w:rPr>
                <w:rStyle w:val="Hyperlink"/>
                <w:rFonts w:ascii="Arial" w:hAnsi="Arial" w:cs="Arial"/>
                <w:noProof/>
              </w:rPr>
              <w:t>Leading and Lagging</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_Toc171637114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4</w:t>
            </w:r>
            <w:r w:rsidR="00CE4718" w:rsidRPr="00643021">
              <w:rPr>
                <w:rFonts w:ascii="Arial" w:hAnsi="Arial" w:cs="Arial"/>
                <w:noProof/>
                <w:webHidden/>
              </w:rPr>
              <w:fldChar w:fldCharType="end"/>
            </w:r>
          </w:hyperlink>
        </w:p>
        <w:p w14:paraId="61251EFF" w14:textId="2A4EC86D" w:rsidR="00CE4718" w:rsidRPr="00643021" w:rsidRDefault="00000000">
          <w:pPr>
            <w:pStyle w:val="TOC3"/>
            <w:tabs>
              <w:tab w:val="right" w:leader="dot" w:pos="9016"/>
            </w:tabs>
            <w:rPr>
              <w:rFonts w:ascii="Arial" w:eastAsiaTheme="minorEastAsia" w:hAnsi="Arial" w:cs="Arial"/>
              <w:noProof/>
              <w:kern w:val="2"/>
              <w:sz w:val="22"/>
              <w14:ligatures w14:val="standardContextual"/>
            </w:rPr>
          </w:pPr>
          <w:hyperlink w:anchor="_Toc171637115" w:history="1">
            <w:r w:rsidR="00CE4718" w:rsidRPr="00643021">
              <w:rPr>
                <w:rStyle w:val="Hyperlink"/>
                <w:rFonts w:ascii="Arial" w:hAnsi="Arial" w:cs="Arial"/>
                <w:noProof/>
              </w:rPr>
              <w:t>Currency Netting</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_Toc171637115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4</w:t>
            </w:r>
            <w:r w:rsidR="00CE4718" w:rsidRPr="00643021">
              <w:rPr>
                <w:rFonts w:ascii="Arial" w:hAnsi="Arial" w:cs="Arial"/>
                <w:noProof/>
                <w:webHidden/>
              </w:rPr>
              <w:fldChar w:fldCharType="end"/>
            </w:r>
          </w:hyperlink>
        </w:p>
        <w:p w14:paraId="6822FB1F" w14:textId="04BEDF44" w:rsidR="00CE4718" w:rsidRPr="00643021" w:rsidRDefault="00000000">
          <w:pPr>
            <w:pStyle w:val="TOC3"/>
            <w:tabs>
              <w:tab w:val="right" w:leader="dot" w:pos="9016"/>
            </w:tabs>
            <w:rPr>
              <w:rFonts w:ascii="Arial" w:eastAsiaTheme="minorEastAsia" w:hAnsi="Arial" w:cs="Arial"/>
              <w:noProof/>
              <w:kern w:val="2"/>
              <w:sz w:val="22"/>
              <w14:ligatures w14:val="standardContextual"/>
            </w:rPr>
          </w:pPr>
          <w:hyperlink w:anchor="_Toc171637116" w:history="1">
            <w:r w:rsidR="00CE4718" w:rsidRPr="00643021">
              <w:rPr>
                <w:rStyle w:val="Hyperlink"/>
                <w:rFonts w:ascii="Arial" w:hAnsi="Arial" w:cs="Arial"/>
                <w:noProof/>
              </w:rPr>
              <w:t>Invoicing in Home Currency</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_Toc171637116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4</w:t>
            </w:r>
            <w:r w:rsidR="00CE4718" w:rsidRPr="00643021">
              <w:rPr>
                <w:rFonts w:ascii="Arial" w:hAnsi="Arial" w:cs="Arial"/>
                <w:noProof/>
                <w:webHidden/>
              </w:rPr>
              <w:fldChar w:fldCharType="end"/>
            </w:r>
          </w:hyperlink>
        </w:p>
        <w:p w14:paraId="2108AFFA" w14:textId="632B3A4C" w:rsidR="00CE4718" w:rsidRPr="00643021" w:rsidRDefault="00000000">
          <w:pPr>
            <w:pStyle w:val="TOC2"/>
            <w:tabs>
              <w:tab w:val="right" w:leader="dot" w:pos="9016"/>
            </w:tabs>
            <w:rPr>
              <w:rFonts w:ascii="Arial" w:eastAsiaTheme="minorEastAsia" w:hAnsi="Arial" w:cs="Arial"/>
              <w:noProof/>
              <w:kern w:val="2"/>
              <w:sz w:val="22"/>
              <w14:ligatures w14:val="standardContextual"/>
            </w:rPr>
          </w:pPr>
          <w:hyperlink w:anchor="_Toc171637117" w:history="1">
            <w:r w:rsidR="00CE4718" w:rsidRPr="00643021">
              <w:rPr>
                <w:rStyle w:val="Hyperlink"/>
                <w:rFonts w:ascii="Arial" w:hAnsi="Arial" w:cs="Arial"/>
                <w:noProof/>
              </w:rPr>
              <w:t>External Hedging Strategies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_Toc171637117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5</w:t>
            </w:r>
            <w:r w:rsidR="00CE4718" w:rsidRPr="00643021">
              <w:rPr>
                <w:rFonts w:ascii="Arial" w:hAnsi="Arial" w:cs="Arial"/>
                <w:noProof/>
                <w:webHidden/>
              </w:rPr>
              <w:fldChar w:fldCharType="end"/>
            </w:r>
          </w:hyperlink>
        </w:p>
        <w:p w14:paraId="6553C9E2" w14:textId="63162D9A" w:rsidR="00CE4718" w:rsidRPr="00643021" w:rsidRDefault="00000000">
          <w:pPr>
            <w:pStyle w:val="TOC3"/>
            <w:tabs>
              <w:tab w:val="right" w:leader="dot" w:pos="9016"/>
            </w:tabs>
            <w:rPr>
              <w:rFonts w:ascii="Arial" w:eastAsiaTheme="minorEastAsia" w:hAnsi="Arial" w:cs="Arial"/>
              <w:noProof/>
              <w:kern w:val="2"/>
              <w:sz w:val="22"/>
              <w14:ligatures w14:val="standardContextual"/>
            </w:rPr>
          </w:pPr>
          <w:hyperlink w:anchor="_Toc171637118" w:history="1">
            <w:r w:rsidR="00CE4718" w:rsidRPr="00643021">
              <w:rPr>
                <w:rStyle w:val="Hyperlink"/>
                <w:rFonts w:ascii="Arial" w:hAnsi="Arial" w:cs="Arial"/>
                <w:noProof/>
              </w:rPr>
              <w:t>Forward Contracts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_Toc171637118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5</w:t>
            </w:r>
            <w:r w:rsidR="00CE4718" w:rsidRPr="00643021">
              <w:rPr>
                <w:rFonts w:ascii="Arial" w:hAnsi="Arial" w:cs="Arial"/>
                <w:noProof/>
                <w:webHidden/>
              </w:rPr>
              <w:fldChar w:fldCharType="end"/>
            </w:r>
          </w:hyperlink>
        </w:p>
        <w:p w14:paraId="5A74C88E" w14:textId="05D6EAD9" w:rsidR="00CE4718" w:rsidRPr="00643021" w:rsidRDefault="00000000">
          <w:pPr>
            <w:pStyle w:val="TOC3"/>
            <w:tabs>
              <w:tab w:val="right" w:leader="dot" w:pos="9016"/>
            </w:tabs>
            <w:rPr>
              <w:rFonts w:ascii="Arial" w:eastAsiaTheme="minorEastAsia" w:hAnsi="Arial" w:cs="Arial"/>
              <w:noProof/>
              <w:kern w:val="2"/>
              <w:sz w:val="22"/>
              <w14:ligatures w14:val="standardContextual"/>
            </w:rPr>
          </w:pPr>
          <w:hyperlink w:anchor="_Toc171637119" w:history="1">
            <w:r w:rsidR="00CE4718" w:rsidRPr="00643021">
              <w:rPr>
                <w:rStyle w:val="Hyperlink"/>
                <w:rFonts w:ascii="Arial" w:hAnsi="Arial" w:cs="Arial"/>
                <w:noProof/>
              </w:rPr>
              <w:t>Futures Contracts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_Toc171637119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5</w:t>
            </w:r>
            <w:r w:rsidR="00CE4718" w:rsidRPr="00643021">
              <w:rPr>
                <w:rFonts w:ascii="Arial" w:hAnsi="Arial" w:cs="Arial"/>
                <w:noProof/>
                <w:webHidden/>
              </w:rPr>
              <w:fldChar w:fldCharType="end"/>
            </w:r>
          </w:hyperlink>
        </w:p>
        <w:p w14:paraId="4D3EC72D" w14:textId="69352C8E" w:rsidR="00CE4718" w:rsidRPr="00643021" w:rsidRDefault="00000000">
          <w:pPr>
            <w:pStyle w:val="TOC3"/>
            <w:tabs>
              <w:tab w:val="right" w:leader="dot" w:pos="9016"/>
            </w:tabs>
            <w:rPr>
              <w:rFonts w:ascii="Arial" w:eastAsiaTheme="minorEastAsia" w:hAnsi="Arial" w:cs="Arial"/>
              <w:noProof/>
              <w:kern w:val="2"/>
              <w:sz w:val="22"/>
              <w14:ligatures w14:val="standardContextual"/>
            </w:rPr>
          </w:pPr>
          <w:hyperlink w:anchor="_Toc171637120" w:history="1">
            <w:r w:rsidR="00CE4718" w:rsidRPr="00643021">
              <w:rPr>
                <w:rStyle w:val="Hyperlink"/>
                <w:rFonts w:ascii="Arial" w:hAnsi="Arial" w:cs="Arial"/>
                <w:noProof/>
              </w:rPr>
              <w:t>Options Contracts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_Toc171637120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5</w:t>
            </w:r>
            <w:r w:rsidR="00CE4718" w:rsidRPr="00643021">
              <w:rPr>
                <w:rFonts w:ascii="Arial" w:hAnsi="Arial" w:cs="Arial"/>
                <w:noProof/>
                <w:webHidden/>
              </w:rPr>
              <w:fldChar w:fldCharType="end"/>
            </w:r>
          </w:hyperlink>
        </w:p>
        <w:p w14:paraId="7C6BF025" w14:textId="1FFC62B4" w:rsidR="00CE4718" w:rsidRPr="00643021" w:rsidRDefault="00000000">
          <w:pPr>
            <w:pStyle w:val="TOC3"/>
            <w:tabs>
              <w:tab w:val="right" w:leader="dot" w:pos="9016"/>
            </w:tabs>
            <w:rPr>
              <w:rFonts w:ascii="Arial" w:eastAsiaTheme="minorEastAsia" w:hAnsi="Arial" w:cs="Arial"/>
              <w:noProof/>
              <w:kern w:val="2"/>
              <w:sz w:val="22"/>
              <w14:ligatures w14:val="standardContextual"/>
            </w:rPr>
          </w:pPr>
          <w:hyperlink w:anchor="_Toc171637121" w:history="1">
            <w:r w:rsidR="00CE4718" w:rsidRPr="00643021">
              <w:rPr>
                <w:rStyle w:val="Hyperlink"/>
                <w:rFonts w:ascii="Arial" w:hAnsi="Arial" w:cs="Arial"/>
                <w:noProof/>
              </w:rPr>
              <w:t>Currency Swaps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_Toc171637121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5</w:t>
            </w:r>
            <w:r w:rsidR="00CE4718" w:rsidRPr="00643021">
              <w:rPr>
                <w:rFonts w:ascii="Arial" w:hAnsi="Arial" w:cs="Arial"/>
                <w:noProof/>
                <w:webHidden/>
              </w:rPr>
              <w:fldChar w:fldCharType="end"/>
            </w:r>
          </w:hyperlink>
        </w:p>
        <w:p w14:paraId="53E8C3BC" w14:textId="4227B552" w:rsidR="00CE4718" w:rsidRPr="00643021" w:rsidRDefault="00000000">
          <w:pPr>
            <w:pStyle w:val="TOC1"/>
            <w:tabs>
              <w:tab w:val="right" w:leader="dot" w:pos="9016"/>
            </w:tabs>
            <w:rPr>
              <w:rFonts w:ascii="Arial" w:eastAsiaTheme="minorEastAsia" w:hAnsi="Arial" w:cs="Arial"/>
              <w:noProof/>
              <w:kern w:val="2"/>
              <w:sz w:val="22"/>
              <w14:ligatures w14:val="standardContextual"/>
            </w:rPr>
          </w:pPr>
          <w:hyperlink w:anchor="_Toc171637122" w:history="1">
            <w:r w:rsidR="00CE4718" w:rsidRPr="00643021">
              <w:rPr>
                <w:rStyle w:val="Hyperlink"/>
                <w:rFonts w:ascii="Arial" w:hAnsi="Arial" w:cs="Arial"/>
                <w:noProof/>
              </w:rPr>
              <w:t>Evaluation of Hedging Strategies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_Toc171637122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6</w:t>
            </w:r>
            <w:r w:rsidR="00CE4718" w:rsidRPr="00643021">
              <w:rPr>
                <w:rFonts w:ascii="Arial" w:hAnsi="Arial" w:cs="Arial"/>
                <w:noProof/>
                <w:webHidden/>
              </w:rPr>
              <w:fldChar w:fldCharType="end"/>
            </w:r>
          </w:hyperlink>
        </w:p>
        <w:p w14:paraId="23A9ECB9" w14:textId="7EA12FC1" w:rsidR="00CE4718" w:rsidRPr="00643021" w:rsidRDefault="00000000">
          <w:pPr>
            <w:pStyle w:val="TOC2"/>
            <w:tabs>
              <w:tab w:val="right" w:leader="dot" w:pos="9016"/>
            </w:tabs>
            <w:rPr>
              <w:rFonts w:ascii="Arial" w:eastAsiaTheme="minorEastAsia" w:hAnsi="Arial" w:cs="Arial"/>
              <w:noProof/>
              <w:kern w:val="2"/>
              <w:sz w:val="22"/>
              <w14:ligatures w14:val="standardContextual"/>
            </w:rPr>
          </w:pPr>
          <w:hyperlink w:anchor="_Toc171637123" w:history="1">
            <w:r w:rsidR="00CE4718" w:rsidRPr="00643021">
              <w:rPr>
                <w:rStyle w:val="Hyperlink"/>
                <w:rFonts w:ascii="Arial" w:hAnsi="Arial" w:cs="Arial"/>
                <w:noProof/>
              </w:rPr>
              <w:t>Criteria for Evaluation</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_Toc171637123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6</w:t>
            </w:r>
            <w:r w:rsidR="00CE4718" w:rsidRPr="00643021">
              <w:rPr>
                <w:rFonts w:ascii="Arial" w:hAnsi="Arial" w:cs="Arial"/>
                <w:noProof/>
                <w:webHidden/>
              </w:rPr>
              <w:fldChar w:fldCharType="end"/>
            </w:r>
          </w:hyperlink>
        </w:p>
        <w:p w14:paraId="48EB3E7D" w14:textId="419C8685" w:rsidR="00CE4718" w:rsidRPr="00643021" w:rsidRDefault="00000000">
          <w:pPr>
            <w:pStyle w:val="TOC2"/>
            <w:tabs>
              <w:tab w:val="right" w:leader="dot" w:pos="9016"/>
            </w:tabs>
            <w:rPr>
              <w:rFonts w:ascii="Arial" w:eastAsiaTheme="minorEastAsia" w:hAnsi="Arial" w:cs="Arial"/>
              <w:noProof/>
              <w:kern w:val="2"/>
              <w:sz w:val="22"/>
              <w14:ligatures w14:val="standardContextual"/>
            </w:rPr>
          </w:pPr>
          <w:hyperlink w:anchor="_Toc171637124" w:history="1">
            <w:r w:rsidR="00CE4718" w:rsidRPr="00643021">
              <w:rPr>
                <w:rStyle w:val="Hyperlink"/>
                <w:rFonts w:ascii="Arial" w:hAnsi="Arial" w:cs="Arial"/>
                <w:noProof/>
              </w:rPr>
              <w:t>Comparative Analysis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_Toc171637124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6</w:t>
            </w:r>
            <w:r w:rsidR="00CE4718" w:rsidRPr="00643021">
              <w:rPr>
                <w:rFonts w:ascii="Arial" w:hAnsi="Arial" w:cs="Arial"/>
                <w:noProof/>
                <w:webHidden/>
              </w:rPr>
              <w:fldChar w:fldCharType="end"/>
            </w:r>
          </w:hyperlink>
        </w:p>
        <w:p w14:paraId="03C90D9E" w14:textId="3413842F" w:rsidR="00CE4718" w:rsidRPr="00643021" w:rsidRDefault="00000000">
          <w:pPr>
            <w:pStyle w:val="TOC2"/>
            <w:tabs>
              <w:tab w:val="right" w:leader="dot" w:pos="9016"/>
            </w:tabs>
            <w:rPr>
              <w:rFonts w:ascii="Arial" w:eastAsiaTheme="minorEastAsia" w:hAnsi="Arial" w:cs="Arial"/>
              <w:noProof/>
              <w:kern w:val="2"/>
              <w:sz w:val="22"/>
              <w14:ligatures w14:val="standardContextual"/>
            </w:rPr>
          </w:pPr>
          <w:hyperlink w:anchor="_Toc171637125" w:history="1">
            <w:r w:rsidR="00CE4718" w:rsidRPr="00643021">
              <w:rPr>
                <w:rStyle w:val="Hyperlink"/>
                <w:rFonts w:ascii="Arial" w:hAnsi="Arial" w:cs="Arial"/>
                <w:noProof/>
              </w:rPr>
              <w:t>Empirical Evidence and Case Studies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_Toc171637125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6</w:t>
            </w:r>
            <w:r w:rsidR="00CE4718" w:rsidRPr="00643021">
              <w:rPr>
                <w:rFonts w:ascii="Arial" w:hAnsi="Arial" w:cs="Arial"/>
                <w:noProof/>
                <w:webHidden/>
              </w:rPr>
              <w:fldChar w:fldCharType="end"/>
            </w:r>
          </w:hyperlink>
        </w:p>
        <w:p w14:paraId="531C0F75" w14:textId="2E799B2A" w:rsidR="00CE4718" w:rsidRPr="00643021" w:rsidRDefault="00000000">
          <w:pPr>
            <w:pStyle w:val="TOC1"/>
            <w:tabs>
              <w:tab w:val="right" w:leader="dot" w:pos="9016"/>
            </w:tabs>
            <w:rPr>
              <w:rFonts w:ascii="Arial" w:eastAsiaTheme="minorEastAsia" w:hAnsi="Arial" w:cs="Arial"/>
              <w:noProof/>
              <w:kern w:val="2"/>
              <w:sz w:val="22"/>
              <w14:ligatures w14:val="standardContextual"/>
            </w:rPr>
          </w:pPr>
          <w:hyperlink w:anchor="_Toc171637126" w:history="1">
            <w:r w:rsidR="00CE4718" w:rsidRPr="00643021">
              <w:rPr>
                <w:rStyle w:val="Hyperlink"/>
                <w:rFonts w:ascii="Arial" w:hAnsi="Arial" w:cs="Arial"/>
                <w:noProof/>
              </w:rPr>
              <w:t>Challenges in Managing Foreign Exchange Risks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_Toc171637126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6</w:t>
            </w:r>
            <w:r w:rsidR="00CE4718" w:rsidRPr="00643021">
              <w:rPr>
                <w:rFonts w:ascii="Arial" w:hAnsi="Arial" w:cs="Arial"/>
                <w:noProof/>
                <w:webHidden/>
              </w:rPr>
              <w:fldChar w:fldCharType="end"/>
            </w:r>
          </w:hyperlink>
        </w:p>
        <w:p w14:paraId="7689EA05" w14:textId="2F23AAB4" w:rsidR="00CE4718" w:rsidRPr="00643021" w:rsidRDefault="00000000">
          <w:pPr>
            <w:pStyle w:val="TOC2"/>
            <w:tabs>
              <w:tab w:val="right" w:leader="dot" w:pos="9016"/>
            </w:tabs>
            <w:rPr>
              <w:rFonts w:ascii="Arial" w:eastAsiaTheme="minorEastAsia" w:hAnsi="Arial" w:cs="Arial"/>
              <w:noProof/>
              <w:kern w:val="2"/>
              <w:sz w:val="22"/>
              <w14:ligatures w14:val="standardContextual"/>
            </w:rPr>
          </w:pPr>
          <w:hyperlink w:anchor="_Toc171637127" w:history="1">
            <w:r w:rsidR="00CE4718" w:rsidRPr="00643021">
              <w:rPr>
                <w:rStyle w:val="Hyperlink"/>
                <w:rFonts w:ascii="Arial" w:hAnsi="Arial" w:cs="Arial"/>
                <w:noProof/>
              </w:rPr>
              <w:t>Predicting Currency Movements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_Toc171637127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6</w:t>
            </w:r>
            <w:r w:rsidR="00CE4718" w:rsidRPr="00643021">
              <w:rPr>
                <w:rFonts w:ascii="Arial" w:hAnsi="Arial" w:cs="Arial"/>
                <w:noProof/>
                <w:webHidden/>
              </w:rPr>
              <w:fldChar w:fldCharType="end"/>
            </w:r>
          </w:hyperlink>
        </w:p>
        <w:p w14:paraId="23E3BEF3" w14:textId="1C9B7828" w:rsidR="00CE4718" w:rsidRPr="00643021" w:rsidRDefault="00000000">
          <w:pPr>
            <w:pStyle w:val="TOC2"/>
            <w:tabs>
              <w:tab w:val="right" w:leader="dot" w:pos="9016"/>
            </w:tabs>
            <w:rPr>
              <w:rFonts w:ascii="Arial" w:eastAsiaTheme="minorEastAsia" w:hAnsi="Arial" w:cs="Arial"/>
              <w:noProof/>
              <w:kern w:val="2"/>
              <w:sz w:val="22"/>
              <w14:ligatures w14:val="standardContextual"/>
            </w:rPr>
          </w:pPr>
          <w:hyperlink w:anchor="_Toc171637128" w:history="1">
            <w:r w:rsidR="00CE4718" w:rsidRPr="00643021">
              <w:rPr>
                <w:rStyle w:val="Hyperlink"/>
                <w:rFonts w:ascii="Arial" w:hAnsi="Arial" w:cs="Arial"/>
                <w:noProof/>
              </w:rPr>
              <w:t>Regulatory and Compliance Issues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_Toc171637128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7</w:t>
            </w:r>
            <w:r w:rsidR="00CE4718" w:rsidRPr="00643021">
              <w:rPr>
                <w:rFonts w:ascii="Arial" w:hAnsi="Arial" w:cs="Arial"/>
                <w:noProof/>
                <w:webHidden/>
              </w:rPr>
              <w:fldChar w:fldCharType="end"/>
            </w:r>
          </w:hyperlink>
        </w:p>
        <w:p w14:paraId="732130F0" w14:textId="1D0B1A40" w:rsidR="00CE4718" w:rsidRPr="00643021" w:rsidRDefault="00000000">
          <w:pPr>
            <w:pStyle w:val="TOC2"/>
            <w:tabs>
              <w:tab w:val="right" w:leader="dot" w:pos="9016"/>
            </w:tabs>
            <w:rPr>
              <w:rFonts w:ascii="Arial" w:eastAsiaTheme="minorEastAsia" w:hAnsi="Arial" w:cs="Arial"/>
              <w:noProof/>
              <w:kern w:val="2"/>
              <w:sz w:val="22"/>
              <w14:ligatures w14:val="standardContextual"/>
            </w:rPr>
          </w:pPr>
          <w:hyperlink w:anchor="_Toc171637129" w:history="1">
            <w:r w:rsidR="00CE4718" w:rsidRPr="00643021">
              <w:rPr>
                <w:rStyle w:val="Hyperlink"/>
                <w:rFonts w:ascii="Arial" w:hAnsi="Arial" w:cs="Arial"/>
                <w:noProof/>
              </w:rPr>
              <w:t>Cost-Benefit Analysis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_Toc171637129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7</w:t>
            </w:r>
            <w:r w:rsidR="00CE4718" w:rsidRPr="00643021">
              <w:rPr>
                <w:rFonts w:ascii="Arial" w:hAnsi="Arial" w:cs="Arial"/>
                <w:noProof/>
                <w:webHidden/>
              </w:rPr>
              <w:fldChar w:fldCharType="end"/>
            </w:r>
          </w:hyperlink>
        </w:p>
        <w:p w14:paraId="5B5F5E06" w14:textId="0585FEDE" w:rsidR="00CE4718" w:rsidRPr="00643021" w:rsidRDefault="00000000">
          <w:pPr>
            <w:pStyle w:val="TOC1"/>
            <w:tabs>
              <w:tab w:val="right" w:leader="dot" w:pos="9016"/>
            </w:tabs>
            <w:rPr>
              <w:rFonts w:ascii="Arial" w:eastAsiaTheme="minorEastAsia" w:hAnsi="Arial" w:cs="Arial"/>
              <w:noProof/>
              <w:kern w:val="2"/>
              <w:sz w:val="22"/>
              <w14:ligatures w14:val="standardContextual"/>
            </w:rPr>
          </w:pPr>
          <w:hyperlink w:anchor="_Toc171637130" w:history="1">
            <w:r w:rsidR="00CE4718" w:rsidRPr="00643021">
              <w:rPr>
                <w:rStyle w:val="Hyperlink"/>
                <w:rFonts w:ascii="Arial" w:hAnsi="Arial" w:cs="Arial"/>
                <w:noProof/>
              </w:rPr>
              <w:t>Conclusion</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_Toc171637130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7</w:t>
            </w:r>
            <w:r w:rsidR="00CE4718" w:rsidRPr="00643021">
              <w:rPr>
                <w:rFonts w:ascii="Arial" w:hAnsi="Arial" w:cs="Arial"/>
                <w:noProof/>
                <w:webHidden/>
              </w:rPr>
              <w:fldChar w:fldCharType="end"/>
            </w:r>
          </w:hyperlink>
        </w:p>
        <w:p w14:paraId="74A6E950" w14:textId="1C8438A5" w:rsidR="00CE4718" w:rsidRPr="00643021" w:rsidRDefault="00000000">
          <w:pPr>
            <w:pStyle w:val="TOC1"/>
            <w:tabs>
              <w:tab w:val="right" w:leader="dot" w:pos="9016"/>
            </w:tabs>
            <w:rPr>
              <w:rFonts w:ascii="Arial" w:eastAsiaTheme="minorEastAsia" w:hAnsi="Arial" w:cs="Arial"/>
              <w:noProof/>
              <w:kern w:val="2"/>
              <w:sz w:val="22"/>
              <w14:ligatures w14:val="standardContextual"/>
            </w:rPr>
          </w:pPr>
          <w:hyperlink w:anchor="_Toc171637131" w:history="1">
            <w:r w:rsidR="00CE4718" w:rsidRPr="00643021">
              <w:rPr>
                <w:rStyle w:val="Hyperlink"/>
                <w:rFonts w:ascii="Arial" w:hAnsi="Arial" w:cs="Arial"/>
                <w:noProof/>
              </w:rPr>
              <w:t>References</w:t>
            </w:r>
            <w:r w:rsidR="00CE4718" w:rsidRPr="00643021">
              <w:rPr>
                <w:rFonts w:ascii="Arial" w:hAnsi="Arial" w:cs="Arial"/>
                <w:noProof/>
                <w:webHidden/>
              </w:rPr>
              <w:tab/>
            </w:r>
            <w:r w:rsidR="00CE4718" w:rsidRPr="00643021">
              <w:rPr>
                <w:rFonts w:ascii="Arial" w:hAnsi="Arial" w:cs="Arial"/>
                <w:noProof/>
                <w:webHidden/>
              </w:rPr>
              <w:fldChar w:fldCharType="begin"/>
            </w:r>
            <w:r w:rsidR="00CE4718" w:rsidRPr="00643021">
              <w:rPr>
                <w:rFonts w:ascii="Arial" w:hAnsi="Arial" w:cs="Arial"/>
                <w:noProof/>
                <w:webHidden/>
              </w:rPr>
              <w:instrText xml:space="preserve"> PAGEREF _Toc171637131 \h </w:instrText>
            </w:r>
            <w:r w:rsidR="00CE4718" w:rsidRPr="00643021">
              <w:rPr>
                <w:rFonts w:ascii="Arial" w:hAnsi="Arial" w:cs="Arial"/>
                <w:noProof/>
                <w:webHidden/>
              </w:rPr>
            </w:r>
            <w:r w:rsidR="00CE4718" w:rsidRPr="00643021">
              <w:rPr>
                <w:rFonts w:ascii="Arial" w:hAnsi="Arial" w:cs="Arial"/>
                <w:noProof/>
                <w:webHidden/>
              </w:rPr>
              <w:fldChar w:fldCharType="separate"/>
            </w:r>
            <w:r w:rsidR="00CE4718" w:rsidRPr="00643021">
              <w:rPr>
                <w:rFonts w:ascii="Arial" w:hAnsi="Arial" w:cs="Arial"/>
                <w:noProof/>
                <w:webHidden/>
              </w:rPr>
              <w:t>8</w:t>
            </w:r>
            <w:r w:rsidR="00CE4718" w:rsidRPr="00643021">
              <w:rPr>
                <w:rFonts w:ascii="Arial" w:hAnsi="Arial" w:cs="Arial"/>
                <w:noProof/>
                <w:webHidden/>
              </w:rPr>
              <w:fldChar w:fldCharType="end"/>
            </w:r>
          </w:hyperlink>
        </w:p>
        <w:p w14:paraId="74529F88" w14:textId="425199CC" w:rsidR="00BF7DBE" w:rsidRDefault="00BF7DBE" w:rsidP="00BF7DBE">
          <w:pPr>
            <w:rPr>
              <w:b/>
              <w:bCs/>
              <w:noProof/>
            </w:rPr>
          </w:pPr>
          <w:r>
            <w:rPr>
              <w:b/>
              <w:bCs/>
              <w:noProof/>
            </w:rPr>
            <w:fldChar w:fldCharType="end"/>
          </w:r>
        </w:p>
      </w:sdtContent>
    </w:sdt>
    <w:p w14:paraId="64660883" w14:textId="6161F01F" w:rsidR="00A91AB6" w:rsidRPr="00643021" w:rsidRDefault="00A91AB6" w:rsidP="00643021">
      <w:pPr>
        <w:pStyle w:val="Heading1"/>
      </w:pPr>
      <w:bookmarkStart w:id="0" w:name="_Toc171637108"/>
      <w:r w:rsidRPr="00643021">
        <w:lastRenderedPageBreak/>
        <w:t>Introduction</w:t>
      </w:r>
      <w:bookmarkEnd w:id="0"/>
    </w:p>
    <w:p w14:paraId="32FE82D7" w14:textId="6692C155" w:rsidR="00757F01" w:rsidRDefault="00A91AB6" w:rsidP="00A91AB6">
      <w:r w:rsidRPr="00643021">
        <w:rPr>
          <w:rFonts w:ascii="Arial" w:hAnsi="Arial" w:cs="Arial"/>
        </w:rPr>
        <w:t xml:space="preserve">Multinational corporations </w:t>
      </w:r>
      <w:proofErr w:type="gramStart"/>
      <w:r w:rsidRPr="00643021">
        <w:rPr>
          <w:rFonts w:ascii="Arial" w:hAnsi="Arial" w:cs="Arial"/>
        </w:rPr>
        <w:t>have to</w:t>
      </w:r>
      <w:proofErr w:type="gramEnd"/>
      <w:r w:rsidRPr="00643021">
        <w:rPr>
          <w:rFonts w:ascii="Arial" w:hAnsi="Arial" w:cs="Arial"/>
        </w:rPr>
        <w:t xml:space="preserve"> embark on managing foreign exchange risks since they were open to the </w:t>
      </w:r>
      <w:proofErr w:type="spellStart"/>
      <w:r w:rsidRPr="00643021">
        <w:rPr>
          <w:rFonts w:ascii="Arial" w:hAnsi="Arial" w:cs="Arial"/>
        </w:rPr>
        <w:t>globali</w:t>
      </w:r>
      <w:r w:rsidR="00143F0C" w:rsidRPr="00643021">
        <w:rPr>
          <w:rFonts w:ascii="Arial" w:hAnsi="Arial" w:cs="Arial"/>
        </w:rPr>
        <w:t>s</w:t>
      </w:r>
      <w:r w:rsidRPr="00643021">
        <w:rPr>
          <w:rFonts w:ascii="Arial" w:hAnsi="Arial" w:cs="Arial"/>
        </w:rPr>
        <w:t>ed</w:t>
      </w:r>
      <w:proofErr w:type="spellEnd"/>
      <w:r w:rsidRPr="00643021">
        <w:rPr>
          <w:rFonts w:ascii="Arial" w:hAnsi="Arial" w:cs="Arial"/>
        </w:rPr>
        <w:t xml:space="preserve"> economy, whereby now everything is subject to change. Fluctuations in the exchange rate hold a great bearing </w:t>
      </w:r>
      <w:r w:rsidR="00BF7DBE" w:rsidRPr="00643021">
        <w:rPr>
          <w:rFonts w:ascii="Arial" w:hAnsi="Arial" w:cs="Arial"/>
        </w:rPr>
        <w:t>on</w:t>
      </w:r>
      <w:r w:rsidRPr="00643021">
        <w:rPr>
          <w:rFonts w:ascii="Arial" w:hAnsi="Arial" w:cs="Arial"/>
        </w:rPr>
        <w:t xml:space="preserve"> profitability, cash flow, and </w:t>
      </w:r>
      <w:r w:rsidR="00BF7DBE" w:rsidRPr="00643021">
        <w:rPr>
          <w:rFonts w:ascii="Arial" w:hAnsi="Arial" w:cs="Arial"/>
        </w:rPr>
        <w:t xml:space="preserve">the </w:t>
      </w:r>
      <w:r w:rsidRPr="00643021">
        <w:rPr>
          <w:rFonts w:ascii="Arial" w:hAnsi="Arial" w:cs="Arial"/>
        </w:rPr>
        <w:t xml:space="preserve">general stability of finance within </w:t>
      </w:r>
      <w:proofErr w:type="spellStart"/>
      <w:r w:rsidRPr="00643021">
        <w:rPr>
          <w:rFonts w:ascii="Arial" w:hAnsi="Arial" w:cs="Arial"/>
        </w:rPr>
        <w:t>organi</w:t>
      </w:r>
      <w:r w:rsidR="00143F0C" w:rsidRPr="00643021">
        <w:rPr>
          <w:rFonts w:ascii="Arial" w:hAnsi="Arial" w:cs="Arial"/>
        </w:rPr>
        <w:t>s</w:t>
      </w:r>
      <w:r w:rsidRPr="00643021">
        <w:rPr>
          <w:rFonts w:ascii="Arial" w:hAnsi="Arial" w:cs="Arial"/>
        </w:rPr>
        <w:t>ations</w:t>
      </w:r>
      <w:proofErr w:type="spellEnd"/>
      <w:r w:rsidRPr="00643021">
        <w:rPr>
          <w:rFonts w:ascii="Arial" w:hAnsi="Arial" w:cs="Arial"/>
        </w:rPr>
        <w:t xml:space="preserve">. In this respect, MNCs </w:t>
      </w:r>
      <w:proofErr w:type="gramStart"/>
      <w:r w:rsidRPr="00643021">
        <w:rPr>
          <w:rFonts w:ascii="Arial" w:hAnsi="Arial" w:cs="Arial"/>
        </w:rPr>
        <w:t>have to</w:t>
      </w:r>
      <w:proofErr w:type="gramEnd"/>
      <w:r w:rsidRPr="00643021">
        <w:rPr>
          <w:rFonts w:ascii="Arial" w:hAnsi="Arial" w:cs="Arial"/>
        </w:rPr>
        <w:t xml:space="preserve"> develop strategies that would help reduce the risks so that business may continue regardless</w:t>
      </w:r>
      <w:r w:rsidR="00935010" w:rsidRPr="00643021">
        <w:rPr>
          <w:rFonts w:ascii="Arial" w:hAnsi="Arial" w:cs="Arial"/>
        </w:rPr>
        <w:t xml:space="preserve"> (Warner and Pierce, 2016)</w:t>
      </w:r>
      <w:r w:rsidRPr="00643021">
        <w:rPr>
          <w:rFonts w:ascii="Arial" w:hAnsi="Arial" w:cs="Arial"/>
        </w:rPr>
        <w:t>. The essence of this report will be the critical evaluation of various hedging strategies, both internal and external, adopted by MNCs in managing foreign exchange risks. It will evaluate the strategies for their effectiveness, cost, complexity, and consequences on the financial statements and cash flow. Through empirical evidence and case studies, it shall relate to the best practices for managing foreign exchange risks in today</w:t>
      </w:r>
      <w:r w:rsidR="00CE4718" w:rsidRPr="00643021">
        <w:rPr>
          <w:rFonts w:ascii="Arial" w:hAnsi="Arial" w:cs="Arial"/>
        </w:rPr>
        <w:t>’</w:t>
      </w:r>
      <w:r w:rsidRPr="00643021">
        <w:rPr>
          <w:rFonts w:ascii="Arial" w:hAnsi="Arial" w:cs="Arial"/>
        </w:rPr>
        <w:t>s dynamic business environment</w:t>
      </w:r>
      <w:r>
        <w:t>.</w:t>
      </w:r>
    </w:p>
    <w:p w14:paraId="430F4DEC" w14:textId="427DF18F" w:rsidR="00757F01" w:rsidRPr="00643021" w:rsidRDefault="00757F01" w:rsidP="00643021">
      <w:pPr>
        <w:pStyle w:val="Heading1"/>
      </w:pPr>
      <w:bookmarkStart w:id="1" w:name="_Toc171637109"/>
      <w:r w:rsidRPr="00643021">
        <w:t>Understanding Foreign Exchange Risks</w:t>
      </w:r>
      <w:bookmarkEnd w:id="1"/>
    </w:p>
    <w:p w14:paraId="59BF8738" w14:textId="77777777" w:rsidR="00757F01" w:rsidRPr="00643021" w:rsidRDefault="00757F01" w:rsidP="00643021">
      <w:pPr>
        <w:pStyle w:val="Heading2"/>
      </w:pPr>
      <w:bookmarkStart w:id="2" w:name="_Toc171637110"/>
      <w:r w:rsidRPr="00643021">
        <w:t>Types of Foreign Exchange Risks</w:t>
      </w:r>
      <w:bookmarkEnd w:id="2"/>
    </w:p>
    <w:p w14:paraId="0B7C1442" w14:textId="36893F0A" w:rsidR="00757F01" w:rsidRPr="00643021" w:rsidRDefault="00757F01" w:rsidP="00757F01">
      <w:pPr>
        <w:rPr>
          <w:rFonts w:ascii="Arial" w:hAnsi="Arial" w:cs="Arial"/>
        </w:rPr>
      </w:pPr>
      <w:r w:rsidRPr="00643021">
        <w:rPr>
          <w:rFonts w:ascii="Arial" w:hAnsi="Arial" w:cs="Arial"/>
        </w:rPr>
        <w:t xml:space="preserve">The foreign exchange risk may lead to potential </w:t>
      </w:r>
      <w:proofErr w:type="gramStart"/>
      <w:r w:rsidRPr="00643021">
        <w:rPr>
          <w:rFonts w:ascii="Arial" w:hAnsi="Arial" w:cs="Arial"/>
        </w:rPr>
        <w:t>high-magnitude</w:t>
      </w:r>
      <w:proofErr w:type="gramEnd"/>
      <w:r w:rsidRPr="00643021">
        <w:rPr>
          <w:rFonts w:ascii="Arial" w:hAnsi="Arial" w:cs="Arial"/>
        </w:rPr>
        <w:t xml:space="preserve"> impacts on MNCs. There are three major types of foreign exchange risks</w:t>
      </w:r>
      <w:r w:rsidR="00935010" w:rsidRPr="00643021">
        <w:rPr>
          <w:rFonts w:ascii="Arial" w:hAnsi="Arial" w:cs="Arial"/>
        </w:rPr>
        <w:t xml:space="preserve"> (Lum and Islam, 2022)</w:t>
      </w:r>
      <w:r w:rsidRPr="00643021">
        <w:rPr>
          <w:rFonts w:ascii="Arial" w:hAnsi="Arial" w:cs="Arial"/>
        </w:rPr>
        <w:t>:</w:t>
      </w:r>
    </w:p>
    <w:p w14:paraId="5629771E" w14:textId="20BC0807" w:rsidR="00757F01" w:rsidRPr="00643021" w:rsidRDefault="00757F01" w:rsidP="00757F01">
      <w:pPr>
        <w:rPr>
          <w:rFonts w:ascii="Arial" w:hAnsi="Arial" w:cs="Arial"/>
        </w:rPr>
      </w:pPr>
      <w:r w:rsidRPr="00643021">
        <w:rPr>
          <w:rFonts w:ascii="Arial" w:hAnsi="Arial" w:cs="Arial"/>
          <w:b/>
          <w:bCs/>
        </w:rPr>
        <w:t>Transaction Risk:</w:t>
      </w:r>
      <w:r w:rsidRPr="00643021">
        <w:rPr>
          <w:rFonts w:ascii="Arial" w:hAnsi="Arial" w:cs="Arial"/>
        </w:rPr>
        <w:t xml:space="preserve"> This is the risk due to the impact of exchange rate fluctuation on a firm</w:t>
      </w:r>
      <w:r w:rsidR="00CE4718" w:rsidRPr="00643021">
        <w:rPr>
          <w:rFonts w:ascii="Arial" w:hAnsi="Arial" w:cs="Arial"/>
        </w:rPr>
        <w:t>’</w:t>
      </w:r>
      <w:r w:rsidRPr="00643021">
        <w:rPr>
          <w:rFonts w:ascii="Arial" w:hAnsi="Arial" w:cs="Arial"/>
        </w:rPr>
        <w:t>s contracted, or already agreed-upon, obligations to receive or make payments in foreign currencies.</w:t>
      </w:r>
    </w:p>
    <w:p w14:paraId="0FCB8E1F" w14:textId="7797F3AA" w:rsidR="00757F01" w:rsidRPr="00643021" w:rsidRDefault="00757F01" w:rsidP="00757F01">
      <w:pPr>
        <w:rPr>
          <w:rFonts w:ascii="Arial" w:hAnsi="Arial" w:cs="Arial"/>
        </w:rPr>
      </w:pPr>
      <w:r w:rsidRPr="00643021">
        <w:rPr>
          <w:rStyle w:val="Strong"/>
          <w:rFonts w:ascii="Arial" w:hAnsi="Arial" w:cs="Arial"/>
        </w:rPr>
        <w:t>Translation Risk:</w:t>
      </w:r>
      <w:r w:rsidRPr="00643021">
        <w:rPr>
          <w:rFonts w:ascii="Arial" w:hAnsi="Arial" w:cs="Arial"/>
        </w:rPr>
        <w:t xml:space="preserve"> It is very often referred to as accounting exposure, affecting the reported financial statements of an MNC due to the translation of foreign subsidiaries</w:t>
      </w:r>
      <w:r w:rsidR="00CE4718" w:rsidRPr="00643021">
        <w:rPr>
          <w:rFonts w:ascii="Arial" w:hAnsi="Arial" w:cs="Arial"/>
        </w:rPr>
        <w:t>’</w:t>
      </w:r>
      <w:r w:rsidRPr="00643021">
        <w:rPr>
          <w:rFonts w:ascii="Arial" w:hAnsi="Arial" w:cs="Arial"/>
        </w:rPr>
        <w:t xml:space="preserve"> financials into the reporting currency of its parent company</w:t>
      </w:r>
      <w:r w:rsidR="00935010" w:rsidRPr="00643021">
        <w:rPr>
          <w:rFonts w:ascii="Arial" w:hAnsi="Arial" w:cs="Arial"/>
        </w:rPr>
        <w:t xml:space="preserve"> (</w:t>
      </w:r>
      <w:proofErr w:type="spellStart"/>
      <w:r w:rsidR="00935010" w:rsidRPr="00643021">
        <w:rPr>
          <w:rFonts w:ascii="Arial" w:hAnsi="Arial" w:cs="Arial"/>
        </w:rPr>
        <w:t>Klamra</w:t>
      </w:r>
      <w:proofErr w:type="spellEnd"/>
      <w:r w:rsidR="00935010" w:rsidRPr="00643021">
        <w:rPr>
          <w:rFonts w:ascii="Arial" w:hAnsi="Arial" w:cs="Arial"/>
        </w:rPr>
        <w:t>, 2015)</w:t>
      </w:r>
      <w:r w:rsidRPr="00643021">
        <w:rPr>
          <w:rFonts w:ascii="Arial" w:hAnsi="Arial" w:cs="Arial"/>
        </w:rPr>
        <w:t>.</w:t>
      </w:r>
    </w:p>
    <w:p w14:paraId="0F17F509" w14:textId="2B90270B" w:rsidR="00757F01" w:rsidRPr="00643021" w:rsidRDefault="00757F01" w:rsidP="00757F01">
      <w:pPr>
        <w:rPr>
          <w:rFonts w:ascii="Arial" w:hAnsi="Arial" w:cs="Arial"/>
        </w:rPr>
      </w:pPr>
      <w:r w:rsidRPr="00643021">
        <w:rPr>
          <w:rStyle w:val="Strong"/>
          <w:rFonts w:ascii="Arial" w:hAnsi="Arial" w:cs="Arial"/>
        </w:rPr>
        <w:t>Economic Risk:</w:t>
      </w:r>
      <w:r w:rsidRPr="00643021">
        <w:rPr>
          <w:rFonts w:ascii="Arial" w:hAnsi="Arial" w:cs="Arial"/>
        </w:rPr>
        <w:t xml:space="preserve"> This involves the general effect of exchange rate movements on the market value of the company and competitive position, thus affecting future cash flows or even the overall market strategy.</w:t>
      </w:r>
    </w:p>
    <w:p w14:paraId="0AF9DE54" w14:textId="65E63D43" w:rsidR="00757F01" w:rsidRPr="00643021" w:rsidRDefault="00757F01" w:rsidP="00643021">
      <w:pPr>
        <w:pStyle w:val="Heading2"/>
      </w:pPr>
      <w:bookmarkStart w:id="3" w:name="_Toc171637111"/>
      <w:r w:rsidRPr="00643021">
        <w:t>Factors Influencing Foreign Exchange Risks</w:t>
      </w:r>
      <w:bookmarkEnd w:id="3"/>
    </w:p>
    <w:p w14:paraId="3EDA90F6" w14:textId="77777777" w:rsidR="00757F01" w:rsidRPr="00643021" w:rsidRDefault="00757F01" w:rsidP="00757F01">
      <w:pPr>
        <w:rPr>
          <w:rFonts w:ascii="Arial" w:hAnsi="Arial" w:cs="Arial"/>
        </w:rPr>
      </w:pPr>
      <w:r w:rsidRPr="00643021">
        <w:rPr>
          <w:rStyle w:val="Strong"/>
          <w:rFonts w:ascii="Arial" w:hAnsi="Arial" w:cs="Arial"/>
        </w:rPr>
        <w:t>Market Volatility:</w:t>
      </w:r>
      <w:r w:rsidRPr="00643021">
        <w:rPr>
          <w:rFonts w:ascii="Arial" w:hAnsi="Arial" w:cs="Arial"/>
        </w:rPr>
        <w:t xml:space="preserve"> When exchange rates change frequently and are unpredictable, then comes the increased state of uncertainty and possible impacts on international transactions. </w:t>
      </w:r>
    </w:p>
    <w:p w14:paraId="01E05D73" w14:textId="10B984FA" w:rsidR="00757F01" w:rsidRPr="00643021" w:rsidRDefault="00757F01" w:rsidP="00757F01">
      <w:pPr>
        <w:rPr>
          <w:rFonts w:ascii="Arial" w:hAnsi="Arial" w:cs="Arial"/>
        </w:rPr>
      </w:pPr>
      <w:r w:rsidRPr="00643021">
        <w:rPr>
          <w:rStyle w:val="Strong"/>
          <w:rFonts w:ascii="Arial" w:hAnsi="Arial" w:cs="Arial"/>
        </w:rPr>
        <w:lastRenderedPageBreak/>
        <w:t>Economic and Political Conditions:</w:t>
      </w:r>
      <w:r w:rsidRPr="00643021">
        <w:rPr>
          <w:rFonts w:ascii="Arial" w:hAnsi="Arial" w:cs="Arial"/>
        </w:rPr>
        <w:t xml:space="preserve"> The stability or instability of a country</w:t>
      </w:r>
      <w:r w:rsidR="00CE4718" w:rsidRPr="00643021">
        <w:rPr>
          <w:rFonts w:ascii="Arial" w:hAnsi="Arial" w:cs="Arial"/>
        </w:rPr>
        <w:t>’</w:t>
      </w:r>
      <w:r w:rsidRPr="00643021">
        <w:rPr>
          <w:rFonts w:ascii="Arial" w:hAnsi="Arial" w:cs="Arial"/>
        </w:rPr>
        <w:t>s economy or political environment causes the currency values to change abruptly</w:t>
      </w:r>
      <w:r w:rsidR="00935010" w:rsidRPr="00643021">
        <w:rPr>
          <w:rFonts w:ascii="Arial" w:hAnsi="Arial" w:cs="Arial"/>
        </w:rPr>
        <w:t xml:space="preserve"> (Sario, 2023)</w:t>
      </w:r>
      <w:r w:rsidRPr="00643021">
        <w:rPr>
          <w:rFonts w:ascii="Arial" w:hAnsi="Arial" w:cs="Arial"/>
        </w:rPr>
        <w:t xml:space="preserve">. </w:t>
      </w:r>
    </w:p>
    <w:p w14:paraId="19574F6A" w14:textId="5662CBF8" w:rsidR="00757F01" w:rsidRPr="00643021" w:rsidRDefault="00757F01" w:rsidP="00757F01">
      <w:pPr>
        <w:rPr>
          <w:rFonts w:ascii="Arial" w:hAnsi="Arial" w:cs="Arial"/>
        </w:rPr>
      </w:pPr>
      <w:r w:rsidRPr="00643021">
        <w:rPr>
          <w:rFonts w:ascii="Arial" w:hAnsi="Arial" w:cs="Arial"/>
          <w:b/>
          <w:bCs/>
        </w:rPr>
        <w:t>Interest Rate Differentials:</w:t>
      </w:r>
      <w:r w:rsidRPr="00643021">
        <w:rPr>
          <w:rFonts w:ascii="Arial" w:hAnsi="Arial" w:cs="Arial"/>
        </w:rPr>
        <w:t xml:space="preserve"> The interest rate differentials across countries can indeed trigger capital flows, cause changes in the exchange rate, and hence affect MNCs involved in international operations.</w:t>
      </w:r>
    </w:p>
    <w:p w14:paraId="3F1CD182" w14:textId="61E8CD85" w:rsidR="00757F01" w:rsidRPr="00643021" w:rsidRDefault="00757F01" w:rsidP="00643021">
      <w:pPr>
        <w:pStyle w:val="Heading1"/>
      </w:pPr>
      <w:bookmarkStart w:id="4" w:name="_Toc171637112"/>
      <w:r w:rsidRPr="00643021">
        <w:t>Strategies for Managing Foreign Exchange Risks</w:t>
      </w:r>
      <w:bookmarkEnd w:id="4"/>
    </w:p>
    <w:p w14:paraId="07983DFC" w14:textId="6C76FB8B" w:rsidR="00757F01" w:rsidRPr="00643021" w:rsidRDefault="00757F01" w:rsidP="00643021">
      <w:pPr>
        <w:pStyle w:val="Heading2"/>
      </w:pPr>
      <w:bookmarkStart w:id="5" w:name="_Toc171637113"/>
      <w:r w:rsidRPr="00643021">
        <w:t>Internal Hedging Strategies</w:t>
      </w:r>
      <w:bookmarkEnd w:id="5"/>
    </w:p>
    <w:p w14:paraId="0B7FD207" w14:textId="77777777" w:rsidR="00757F01" w:rsidRPr="00643021" w:rsidRDefault="00757F01" w:rsidP="00757F01">
      <w:pPr>
        <w:pStyle w:val="Heading3"/>
        <w:rPr>
          <w:rFonts w:ascii="Arial" w:hAnsi="Arial" w:cs="Arial"/>
        </w:rPr>
      </w:pPr>
      <w:bookmarkStart w:id="6" w:name="_Toc171637114"/>
      <w:r w:rsidRPr="00643021">
        <w:rPr>
          <w:rFonts w:ascii="Arial" w:hAnsi="Arial" w:cs="Arial"/>
        </w:rPr>
        <w:t>Leading and Lagging</w:t>
      </w:r>
      <w:bookmarkEnd w:id="6"/>
    </w:p>
    <w:p w14:paraId="07B1B255" w14:textId="1646EB5A" w:rsidR="00A91AB6" w:rsidRPr="00643021" w:rsidRDefault="00757F01" w:rsidP="00757F01">
      <w:pPr>
        <w:rPr>
          <w:rFonts w:ascii="Arial" w:hAnsi="Arial" w:cs="Arial"/>
        </w:rPr>
      </w:pPr>
      <w:r w:rsidRPr="00643021">
        <w:rPr>
          <w:rStyle w:val="Strong"/>
          <w:rFonts w:ascii="Arial" w:hAnsi="Arial" w:cs="Arial"/>
        </w:rPr>
        <w:t>Explanation and Application:</w:t>
      </w:r>
      <w:r w:rsidRPr="00643021">
        <w:rPr>
          <w:rFonts w:ascii="Arial" w:hAnsi="Arial" w:cs="Arial"/>
        </w:rPr>
        <w:t xml:space="preserve"> </w:t>
      </w:r>
      <w:r w:rsidR="00A91AB6" w:rsidRPr="00643021">
        <w:rPr>
          <w:rFonts w:ascii="Arial" w:hAnsi="Arial" w:cs="Arial"/>
        </w:rPr>
        <w:t xml:space="preserve">This method is based on re-timing the cash flows to make optimum use of the available, more </w:t>
      </w:r>
      <w:proofErr w:type="spellStart"/>
      <w:r w:rsidR="00A91AB6" w:rsidRPr="00643021">
        <w:rPr>
          <w:rFonts w:ascii="Arial" w:hAnsi="Arial" w:cs="Arial"/>
        </w:rPr>
        <w:t>favo</w:t>
      </w:r>
      <w:r w:rsidR="00CE4718" w:rsidRPr="00643021">
        <w:rPr>
          <w:rFonts w:ascii="Arial" w:hAnsi="Arial" w:cs="Arial"/>
        </w:rPr>
        <w:t>u</w:t>
      </w:r>
      <w:r w:rsidR="00A91AB6" w:rsidRPr="00643021">
        <w:rPr>
          <w:rFonts w:ascii="Arial" w:hAnsi="Arial" w:cs="Arial"/>
        </w:rPr>
        <w:t>rable</w:t>
      </w:r>
      <w:proofErr w:type="spellEnd"/>
      <w:r w:rsidR="00A91AB6" w:rsidRPr="00643021">
        <w:rPr>
          <w:rFonts w:ascii="Arial" w:hAnsi="Arial" w:cs="Arial"/>
        </w:rPr>
        <w:t xml:space="preserve"> exchange rates. Leading is the process of accelerating a payment or receipt; lagging refers to its delay</w:t>
      </w:r>
      <w:r w:rsidR="00935010" w:rsidRPr="00643021">
        <w:rPr>
          <w:rFonts w:ascii="Arial" w:hAnsi="Arial" w:cs="Arial"/>
        </w:rPr>
        <w:t xml:space="preserve"> (World Bank, 2012)</w:t>
      </w:r>
      <w:r w:rsidR="00A91AB6" w:rsidRPr="00643021">
        <w:rPr>
          <w:rFonts w:ascii="Arial" w:hAnsi="Arial" w:cs="Arial"/>
        </w:rPr>
        <w:t>. It helps MNCs in managing currency exposure by correctly timing transactions to exchange rates.</w:t>
      </w:r>
    </w:p>
    <w:p w14:paraId="5D655760" w14:textId="01E3C435" w:rsidR="00757F01" w:rsidRPr="00643021" w:rsidRDefault="00757F01" w:rsidP="00757F01">
      <w:pPr>
        <w:rPr>
          <w:rFonts w:ascii="Arial" w:hAnsi="Arial" w:cs="Arial"/>
        </w:rPr>
      </w:pPr>
      <w:r w:rsidRPr="00643021">
        <w:rPr>
          <w:rStyle w:val="Strong"/>
          <w:rFonts w:ascii="Arial" w:hAnsi="Arial" w:cs="Arial"/>
        </w:rPr>
        <w:t>Advantages and Limitations:</w:t>
      </w:r>
      <w:r w:rsidRPr="00643021">
        <w:rPr>
          <w:rFonts w:ascii="Arial" w:hAnsi="Arial" w:cs="Arial"/>
        </w:rPr>
        <w:t xml:space="preserve">  </w:t>
      </w:r>
      <w:r w:rsidR="00935010" w:rsidRPr="00643021">
        <w:rPr>
          <w:rFonts w:ascii="Arial" w:hAnsi="Arial" w:cs="Arial"/>
        </w:rPr>
        <w:t>It is simple, with a direct impact on cash flow. It doesn</w:t>
      </w:r>
      <w:r w:rsidR="00CE4718" w:rsidRPr="00643021">
        <w:rPr>
          <w:rFonts w:ascii="Arial" w:hAnsi="Arial" w:cs="Arial"/>
        </w:rPr>
        <w:t>’</w:t>
      </w:r>
      <w:r w:rsidR="00935010" w:rsidRPr="00643021">
        <w:rPr>
          <w:rFonts w:ascii="Arial" w:hAnsi="Arial" w:cs="Arial"/>
        </w:rPr>
        <w:t>t carry extra cost, too. However, one needs perfect timing and a very good guess of the currency swings, which is difficult to achieve in practice. It may also stress relationships with either suppliers or customers if it changes payment terms with them</w:t>
      </w:r>
      <w:r w:rsidRPr="00643021">
        <w:rPr>
          <w:rFonts w:ascii="Arial" w:hAnsi="Arial" w:cs="Arial"/>
        </w:rPr>
        <w:t>.</w:t>
      </w:r>
    </w:p>
    <w:p w14:paraId="3CF76435" w14:textId="77777777" w:rsidR="00757F01" w:rsidRPr="00643021" w:rsidRDefault="00757F01" w:rsidP="00757F01">
      <w:pPr>
        <w:pStyle w:val="Heading3"/>
        <w:rPr>
          <w:rFonts w:ascii="Arial" w:hAnsi="Arial" w:cs="Arial"/>
        </w:rPr>
      </w:pPr>
      <w:bookmarkStart w:id="7" w:name="_Toc171637115"/>
      <w:r w:rsidRPr="00643021">
        <w:rPr>
          <w:rFonts w:ascii="Arial" w:hAnsi="Arial" w:cs="Arial"/>
        </w:rPr>
        <w:t>Currency Netting</w:t>
      </w:r>
      <w:bookmarkEnd w:id="7"/>
    </w:p>
    <w:p w14:paraId="1E0DF06C" w14:textId="3EBDEE91" w:rsidR="00757F01" w:rsidRPr="00643021" w:rsidRDefault="00757F01" w:rsidP="00757F01">
      <w:pPr>
        <w:rPr>
          <w:rFonts w:ascii="Arial" w:hAnsi="Arial" w:cs="Arial"/>
        </w:rPr>
      </w:pPr>
      <w:r w:rsidRPr="00643021">
        <w:rPr>
          <w:rStyle w:val="Strong"/>
          <w:rFonts w:ascii="Arial" w:hAnsi="Arial" w:cs="Arial"/>
        </w:rPr>
        <w:t>Concept and Process:</w:t>
      </w:r>
      <w:r w:rsidRPr="00643021">
        <w:rPr>
          <w:rFonts w:ascii="Arial" w:hAnsi="Arial" w:cs="Arial"/>
        </w:rPr>
        <w:t xml:space="preserve"> It is a system of matching receivables against payables in the same foreign currency with the view of reducing the </w:t>
      </w:r>
      <w:r w:rsidR="00BF7DBE" w:rsidRPr="00643021">
        <w:rPr>
          <w:rFonts w:ascii="Arial" w:hAnsi="Arial" w:cs="Arial"/>
        </w:rPr>
        <w:t>number</w:t>
      </w:r>
      <w:r w:rsidRPr="00643021">
        <w:rPr>
          <w:rFonts w:ascii="Arial" w:hAnsi="Arial" w:cs="Arial"/>
        </w:rPr>
        <w:t xml:space="preserve"> of transactions, thereby avoiding foreign exchange risk</w:t>
      </w:r>
      <w:r w:rsidR="00935010" w:rsidRPr="00643021">
        <w:rPr>
          <w:rFonts w:ascii="Arial" w:hAnsi="Arial" w:cs="Arial"/>
        </w:rPr>
        <w:t xml:space="preserve"> (Warner and Pierce, 2016)</w:t>
      </w:r>
      <w:r w:rsidRPr="00643021">
        <w:rPr>
          <w:rFonts w:ascii="Arial" w:hAnsi="Arial" w:cs="Arial"/>
        </w:rPr>
        <w:t>. It uses consolidation of positions to help companies deal with their currency exposure.</w:t>
      </w:r>
    </w:p>
    <w:p w14:paraId="17CD30AF" w14:textId="24A11118" w:rsidR="00757F01" w:rsidRPr="00643021" w:rsidRDefault="00757F01" w:rsidP="00757F01">
      <w:pPr>
        <w:rPr>
          <w:rFonts w:ascii="Arial" w:hAnsi="Arial" w:cs="Arial"/>
        </w:rPr>
      </w:pPr>
      <w:r w:rsidRPr="00643021">
        <w:rPr>
          <w:rStyle w:val="Strong"/>
          <w:rFonts w:ascii="Arial" w:hAnsi="Arial" w:cs="Arial"/>
        </w:rPr>
        <w:t>Benefits and Drawbacks:</w:t>
      </w:r>
      <w:r w:rsidRPr="00643021">
        <w:rPr>
          <w:rFonts w:ascii="Arial" w:hAnsi="Arial" w:cs="Arial"/>
        </w:rPr>
        <w:t xml:space="preserve"> </w:t>
      </w:r>
      <w:r w:rsidR="00935010" w:rsidRPr="00643021">
        <w:rPr>
          <w:rFonts w:ascii="Arial" w:hAnsi="Arial" w:cs="Arial"/>
        </w:rPr>
        <w:t xml:space="preserve">The main advantage is that there are reduced transaction costs </w:t>
      </w:r>
      <w:proofErr w:type="gramStart"/>
      <w:r w:rsidR="00935010" w:rsidRPr="00643021">
        <w:rPr>
          <w:rFonts w:ascii="Arial" w:hAnsi="Arial" w:cs="Arial"/>
        </w:rPr>
        <w:t>and also</w:t>
      </w:r>
      <w:proofErr w:type="gramEnd"/>
      <w:r w:rsidR="00935010" w:rsidRPr="00643021">
        <w:rPr>
          <w:rFonts w:ascii="Arial" w:hAnsi="Arial" w:cs="Arial"/>
        </w:rPr>
        <w:t xml:space="preserve"> the risk management function related to currency can be made simple. It requires a </w:t>
      </w:r>
      <w:proofErr w:type="spellStart"/>
      <w:r w:rsidR="00935010" w:rsidRPr="00643021">
        <w:rPr>
          <w:rFonts w:ascii="Arial" w:hAnsi="Arial" w:cs="Arial"/>
        </w:rPr>
        <w:t>centralised</w:t>
      </w:r>
      <w:proofErr w:type="spellEnd"/>
      <w:r w:rsidR="00935010" w:rsidRPr="00643021">
        <w:rPr>
          <w:rFonts w:ascii="Arial" w:hAnsi="Arial" w:cs="Arial"/>
        </w:rPr>
        <w:t xml:space="preserve"> treasury function and sophisticated financial systems to monitor and match exposures accurately. It may not be feasible for all MNCs, especially the </w:t>
      </w:r>
      <w:proofErr w:type="spellStart"/>
      <w:r w:rsidR="00BF7DBE" w:rsidRPr="00643021">
        <w:rPr>
          <w:rFonts w:ascii="Arial" w:hAnsi="Arial" w:cs="Arial"/>
        </w:rPr>
        <w:t>decentralised</w:t>
      </w:r>
      <w:proofErr w:type="spellEnd"/>
      <w:r w:rsidR="00BF7DBE" w:rsidRPr="00643021">
        <w:rPr>
          <w:rFonts w:ascii="Arial" w:hAnsi="Arial" w:cs="Arial"/>
        </w:rPr>
        <w:t xml:space="preserve"> ones</w:t>
      </w:r>
      <w:r w:rsidRPr="00643021">
        <w:rPr>
          <w:rFonts w:ascii="Arial" w:hAnsi="Arial" w:cs="Arial"/>
        </w:rPr>
        <w:t>.</w:t>
      </w:r>
    </w:p>
    <w:p w14:paraId="39852D2E" w14:textId="77777777" w:rsidR="00757F01" w:rsidRPr="00643021" w:rsidRDefault="00757F01" w:rsidP="00757F01">
      <w:pPr>
        <w:pStyle w:val="Heading3"/>
        <w:rPr>
          <w:rFonts w:ascii="Arial" w:hAnsi="Arial" w:cs="Arial"/>
        </w:rPr>
      </w:pPr>
      <w:bookmarkStart w:id="8" w:name="_Toc171637116"/>
      <w:r w:rsidRPr="00643021">
        <w:rPr>
          <w:rFonts w:ascii="Arial" w:hAnsi="Arial" w:cs="Arial"/>
        </w:rPr>
        <w:t>Invoicing in Home Currency</w:t>
      </w:r>
      <w:bookmarkEnd w:id="8"/>
    </w:p>
    <w:p w14:paraId="1F0C1A44" w14:textId="521998AA" w:rsidR="00757F01" w:rsidRPr="00643021" w:rsidRDefault="00757F01" w:rsidP="00757F01">
      <w:pPr>
        <w:rPr>
          <w:rFonts w:ascii="Arial" w:hAnsi="Arial" w:cs="Arial"/>
        </w:rPr>
      </w:pPr>
      <w:r w:rsidRPr="00643021">
        <w:rPr>
          <w:rStyle w:val="Strong"/>
          <w:rFonts w:ascii="Arial" w:hAnsi="Arial" w:cs="Arial"/>
        </w:rPr>
        <w:t>Mechanism and Feasibility:</w:t>
      </w:r>
      <w:r w:rsidRPr="00643021">
        <w:rPr>
          <w:rFonts w:ascii="Arial" w:hAnsi="Arial" w:cs="Arial"/>
        </w:rPr>
        <w:t xml:space="preserve"> The technique involves billing foreign customers in the home currency of the MNC; all it does is shift the uncertainty of the foreign exchange </w:t>
      </w:r>
      <w:r w:rsidRPr="00643021">
        <w:rPr>
          <w:rFonts w:ascii="Arial" w:hAnsi="Arial" w:cs="Arial"/>
        </w:rPr>
        <w:lastRenderedPageBreak/>
        <w:t>risk to the customer</w:t>
      </w:r>
      <w:r w:rsidR="00935010" w:rsidRPr="00643021">
        <w:rPr>
          <w:rFonts w:ascii="Arial" w:hAnsi="Arial" w:cs="Arial"/>
        </w:rPr>
        <w:t xml:space="preserve"> (Jacque, 2013)</w:t>
      </w:r>
      <w:r w:rsidRPr="00643021">
        <w:rPr>
          <w:rFonts w:ascii="Arial" w:hAnsi="Arial" w:cs="Arial"/>
        </w:rPr>
        <w:t>. It ensures that the business ventures receive home currency, reducing its exposure to fluctuations in the rate of exchange.</w:t>
      </w:r>
    </w:p>
    <w:p w14:paraId="2E5852E2" w14:textId="6C225935" w:rsidR="00757F01" w:rsidRPr="00643021" w:rsidRDefault="00757F01" w:rsidP="00757F01">
      <w:pPr>
        <w:rPr>
          <w:rFonts w:ascii="Arial" w:hAnsi="Arial" w:cs="Arial"/>
        </w:rPr>
      </w:pPr>
      <w:r w:rsidRPr="00643021">
        <w:rPr>
          <w:rStyle w:val="Strong"/>
          <w:rFonts w:ascii="Arial" w:hAnsi="Arial" w:cs="Arial"/>
        </w:rPr>
        <w:t>Pros and Cons:</w:t>
      </w:r>
      <w:r w:rsidRPr="00643021">
        <w:rPr>
          <w:rFonts w:ascii="Arial" w:hAnsi="Arial" w:cs="Arial"/>
        </w:rPr>
        <w:t xml:space="preserve"> The major advantage is that the MNC will avoid the risk of fluctuations in the exchange rate. Nevertheless, this cannot sometimes be done because of customer preferences or demands to be invoiced in their local currency. It may result in </w:t>
      </w:r>
      <w:r w:rsidR="00BF7DBE" w:rsidRPr="00643021">
        <w:rPr>
          <w:rFonts w:ascii="Arial" w:hAnsi="Arial" w:cs="Arial"/>
        </w:rPr>
        <w:t xml:space="preserve">a </w:t>
      </w:r>
      <w:r w:rsidRPr="00643021">
        <w:rPr>
          <w:rFonts w:ascii="Arial" w:hAnsi="Arial" w:cs="Arial"/>
        </w:rPr>
        <w:t>loss of competitiveness or business in case customers are not ready to accept currency risk.</w:t>
      </w:r>
    </w:p>
    <w:p w14:paraId="60071193" w14:textId="6F6553A9" w:rsidR="00757F01" w:rsidRDefault="00757F01" w:rsidP="00643021">
      <w:pPr>
        <w:pStyle w:val="Heading2"/>
      </w:pPr>
      <w:bookmarkStart w:id="9" w:name="_Toc171637117"/>
      <w:r>
        <w:t>External Hedging Strategies</w:t>
      </w:r>
      <w:bookmarkEnd w:id="9"/>
    </w:p>
    <w:p w14:paraId="5A0F1601" w14:textId="77777777" w:rsidR="00757F01" w:rsidRPr="00643021" w:rsidRDefault="00757F01" w:rsidP="00757F01">
      <w:pPr>
        <w:pStyle w:val="Heading3"/>
        <w:rPr>
          <w:rFonts w:ascii="Arial" w:hAnsi="Arial" w:cs="Arial"/>
        </w:rPr>
      </w:pPr>
      <w:bookmarkStart w:id="10" w:name="_Toc171637118"/>
      <w:r w:rsidRPr="00643021">
        <w:rPr>
          <w:rFonts w:ascii="Arial" w:hAnsi="Arial" w:cs="Arial"/>
        </w:rPr>
        <w:t>Forward Contracts</w:t>
      </w:r>
      <w:bookmarkEnd w:id="10"/>
    </w:p>
    <w:p w14:paraId="3ECDCBF1" w14:textId="360C708F" w:rsidR="00757F01" w:rsidRPr="00643021" w:rsidRDefault="00935010" w:rsidP="00757F01">
      <w:pPr>
        <w:rPr>
          <w:rFonts w:ascii="Arial" w:hAnsi="Arial" w:cs="Arial"/>
        </w:rPr>
      </w:pPr>
      <w:r w:rsidRPr="00643021">
        <w:rPr>
          <w:rFonts w:ascii="Arial" w:hAnsi="Arial" w:cs="Arial"/>
        </w:rPr>
        <w:t xml:space="preserve">A forward contract is an agreement to buy or sell a specific amount of foreign currency at a predetermined rate on a future date. MNCs use forward contracts to lock in exchange rates, mitigating the risk of </w:t>
      </w:r>
      <w:proofErr w:type="spellStart"/>
      <w:r w:rsidRPr="00643021">
        <w:rPr>
          <w:rFonts w:ascii="Arial" w:hAnsi="Arial" w:cs="Arial"/>
        </w:rPr>
        <w:t>unfavo</w:t>
      </w:r>
      <w:r w:rsidR="00CE4718" w:rsidRPr="00643021">
        <w:rPr>
          <w:rFonts w:ascii="Arial" w:hAnsi="Arial" w:cs="Arial"/>
        </w:rPr>
        <w:t>u</w:t>
      </w:r>
      <w:r w:rsidRPr="00643021">
        <w:rPr>
          <w:rFonts w:ascii="Arial" w:hAnsi="Arial" w:cs="Arial"/>
        </w:rPr>
        <w:t>rable</w:t>
      </w:r>
      <w:proofErr w:type="spellEnd"/>
      <w:r w:rsidRPr="00643021">
        <w:rPr>
          <w:rFonts w:ascii="Arial" w:hAnsi="Arial" w:cs="Arial"/>
        </w:rPr>
        <w:t xml:space="preserve"> currency movements</w:t>
      </w:r>
      <w:r w:rsidR="00143F0C" w:rsidRPr="00643021">
        <w:rPr>
          <w:rFonts w:ascii="Arial" w:hAnsi="Arial" w:cs="Arial"/>
        </w:rPr>
        <w:t xml:space="preserve"> (Söylemez, 2021)</w:t>
      </w:r>
      <w:r w:rsidRPr="00643021">
        <w:rPr>
          <w:rFonts w:ascii="Arial" w:hAnsi="Arial" w:cs="Arial"/>
        </w:rPr>
        <w:t xml:space="preserve">. One of the principal strengths is the fact that it provides great certainty of future cash flows. Nevertheless, in varied ways, forward contracts are highly inflexible, and in case the actual transaction does not </w:t>
      </w:r>
      <w:proofErr w:type="spellStart"/>
      <w:r w:rsidRPr="00643021">
        <w:rPr>
          <w:rFonts w:ascii="Arial" w:hAnsi="Arial" w:cs="Arial"/>
        </w:rPr>
        <w:t>materiali</w:t>
      </w:r>
      <w:r w:rsidR="00143F0C" w:rsidRPr="00643021">
        <w:rPr>
          <w:rFonts w:ascii="Arial" w:hAnsi="Arial" w:cs="Arial"/>
        </w:rPr>
        <w:t>s</w:t>
      </w:r>
      <w:r w:rsidRPr="00643021">
        <w:rPr>
          <w:rFonts w:ascii="Arial" w:hAnsi="Arial" w:cs="Arial"/>
        </w:rPr>
        <w:t>e</w:t>
      </w:r>
      <w:proofErr w:type="spellEnd"/>
      <w:r w:rsidRPr="00643021">
        <w:rPr>
          <w:rFonts w:ascii="Arial" w:hAnsi="Arial" w:cs="Arial"/>
        </w:rPr>
        <w:t xml:space="preserve"> as envisioned, a company might still be bound to discharge the contract</w:t>
      </w:r>
      <w:r w:rsidR="00757F01" w:rsidRPr="00643021">
        <w:rPr>
          <w:rFonts w:ascii="Arial" w:hAnsi="Arial" w:cs="Arial"/>
        </w:rPr>
        <w:t>.</w:t>
      </w:r>
    </w:p>
    <w:p w14:paraId="74C2991F" w14:textId="77777777" w:rsidR="00757F01" w:rsidRPr="00643021" w:rsidRDefault="00757F01" w:rsidP="00757F01">
      <w:pPr>
        <w:pStyle w:val="Heading3"/>
        <w:rPr>
          <w:rFonts w:ascii="Arial" w:hAnsi="Arial" w:cs="Arial"/>
        </w:rPr>
      </w:pPr>
      <w:bookmarkStart w:id="11" w:name="_Toc171637119"/>
      <w:r w:rsidRPr="00643021">
        <w:rPr>
          <w:rFonts w:ascii="Arial" w:hAnsi="Arial" w:cs="Arial"/>
        </w:rPr>
        <w:t>Futures Contracts</w:t>
      </w:r>
      <w:bookmarkEnd w:id="11"/>
    </w:p>
    <w:p w14:paraId="67102700" w14:textId="0A0D603D" w:rsidR="00A91AB6" w:rsidRPr="00643021" w:rsidRDefault="00A91AB6" w:rsidP="00A91AB6">
      <w:pPr>
        <w:rPr>
          <w:rFonts w:ascii="Arial" w:hAnsi="Arial" w:cs="Arial"/>
        </w:rPr>
      </w:pPr>
      <w:r w:rsidRPr="00643021">
        <w:rPr>
          <w:rFonts w:ascii="Arial" w:hAnsi="Arial" w:cs="Arial"/>
        </w:rPr>
        <w:t>Futures contracts are trading agreement</w:t>
      </w:r>
      <w:r w:rsidR="00BF7DBE" w:rsidRPr="00643021">
        <w:rPr>
          <w:rFonts w:ascii="Arial" w:hAnsi="Arial" w:cs="Arial"/>
        </w:rPr>
        <w:t>s</w:t>
      </w:r>
      <w:r w:rsidRPr="00643021">
        <w:rPr>
          <w:rFonts w:ascii="Arial" w:hAnsi="Arial" w:cs="Arial"/>
        </w:rPr>
        <w:t xml:space="preserve"> that </w:t>
      </w:r>
      <w:r w:rsidR="00BF7DBE" w:rsidRPr="00643021">
        <w:rPr>
          <w:rFonts w:ascii="Arial" w:hAnsi="Arial" w:cs="Arial"/>
        </w:rPr>
        <w:t>are</w:t>
      </w:r>
      <w:r w:rsidRPr="00643021">
        <w:rPr>
          <w:rFonts w:ascii="Arial" w:hAnsi="Arial" w:cs="Arial"/>
        </w:rPr>
        <w:t xml:space="preserve"> the same for each contract and </w:t>
      </w:r>
      <w:r w:rsidR="00BF7DBE" w:rsidRPr="00643021">
        <w:rPr>
          <w:rFonts w:ascii="Arial" w:hAnsi="Arial" w:cs="Arial"/>
        </w:rPr>
        <w:t>are</w:t>
      </w:r>
      <w:r w:rsidRPr="00643021">
        <w:rPr>
          <w:rFonts w:ascii="Arial" w:hAnsi="Arial" w:cs="Arial"/>
        </w:rPr>
        <w:t xml:space="preserve"> traded on an exchange. The contract would specify the price at which one currency is to be exchanged for another on an agreed-upon future date. There is greater liquidity </w:t>
      </w:r>
      <w:r w:rsidR="00BF7DBE" w:rsidRPr="00643021">
        <w:rPr>
          <w:rFonts w:ascii="Arial" w:hAnsi="Arial" w:cs="Arial"/>
        </w:rPr>
        <w:t>because</w:t>
      </w:r>
      <w:r w:rsidRPr="00643021">
        <w:rPr>
          <w:rFonts w:ascii="Arial" w:hAnsi="Arial" w:cs="Arial"/>
        </w:rPr>
        <w:t xml:space="preserve"> they are marked to market daily, hence very transparent, </w:t>
      </w:r>
      <w:proofErr w:type="gramStart"/>
      <w:r w:rsidRPr="00643021">
        <w:rPr>
          <w:rFonts w:ascii="Arial" w:hAnsi="Arial" w:cs="Arial"/>
        </w:rPr>
        <w:t>and also</w:t>
      </w:r>
      <w:proofErr w:type="gramEnd"/>
      <w:r w:rsidRPr="00643021">
        <w:rPr>
          <w:rFonts w:ascii="Arial" w:hAnsi="Arial" w:cs="Arial"/>
        </w:rPr>
        <w:t xml:space="preserve"> reducing counterparty risk through the use of clearinghouses</w:t>
      </w:r>
      <w:r w:rsidR="00143F0C" w:rsidRPr="00643021">
        <w:rPr>
          <w:rFonts w:ascii="Arial" w:hAnsi="Arial" w:cs="Arial"/>
        </w:rPr>
        <w:t xml:space="preserve"> (Krause, 2018)</w:t>
      </w:r>
      <w:r w:rsidRPr="00643021">
        <w:rPr>
          <w:rFonts w:ascii="Arial" w:hAnsi="Arial" w:cs="Arial"/>
        </w:rPr>
        <w:t>. They are less flexible in comparison with forward contracts and come with a margin deposit that probably may affect cash flow.</w:t>
      </w:r>
    </w:p>
    <w:p w14:paraId="41A180AB" w14:textId="5C20880C" w:rsidR="00757F01" w:rsidRPr="00643021" w:rsidRDefault="00757F01" w:rsidP="00A91AB6">
      <w:pPr>
        <w:pStyle w:val="Heading3"/>
        <w:rPr>
          <w:rFonts w:ascii="Arial" w:hAnsi="Arial" w:cs="Arial"/>
        </w:rPr>
      </w:pPr>
      <w:bookmarkStart w:id="12" w:name="_Toc171637120"/>
      <w:r w:rsidRPr="00643021">
        <w:rPr>
          <w:rFonts w:ascii="Arial" w:hAnsi="Arial" w:cs="Arial"/>
        </w:rPr>
        <w:t>Options Contracts</w:t>
      </w:r>
      <w:bookmarkEnd w:id="12"/>
    </w:p>
    <w:p w14:paraId="32B35559" w14:textId="3E31C5B9" w:rsidR="00A91AB6" w:rsidRPr="00643021" w:rsidRDefault="00A91AB6" w:rsidP="00A91AB6">
      <w:pPr>
        <w:rPr>
          <w:rFonts w:ascii="Arial" w:hAnsi="Arial" w:cs="Arial"/>
        </w:rPr>
      </w:pPr>
      <w:r w:rsidRPr="00643021">
        <w:rPr>
          <w:rFonts w:ascii="Arial" w:hAnsi="Arial" w:cs="Arial"/>
        </w:rPr>
        <w:t xml:space="preserve">An option contract gives the holder the right, but not the obligation, to buy or sell a currency at the given rate on or before a particular date. The flexibility to reap benefits from any positive movements in the exchange rate, coupled with the limitation of potential losses, is just </w:t>
      </w:r>
      <w:r w:rsidR="00BF7DBE" w:rsidRPr="00643021">
        <w:rPr>
          <w:rFonts w:ascii="Arial" w:hAnsi="Arial" w:cs="Arial"/>
        </w:rPr>
        <w:t xml:space="preserve">a </w:t>
      </w:r>
      <w:r w:rsidRPr="00643021">
        <w:rPr>
          <w:rFonts w:ascii="Arial" w:hAnsi="Arial" w:cs="Arial"/>
        </w:rPr>
        <w:t>premium that is paid upfront. They can be expensive, though, with premiums adding to long-term hedging.</w:t>
      </w:r>
    </w:p>
    <w:p w14:paraId="0E678159" w14:textId="28C89971" w:rsidR="00CB01FA" w:rsidRPr="00643021" w:rsidRDefault="00CB01FA" w:rsidP="00A91AB6">
      <w:pPr>
        <w:pStyle w:val="Heading3"/>
        <w:rPr>
          <w:rFonts w:ascii="Arial" w:hAnsi="Arial" w:cs="Arial"/>
        </w:rPr>
      </w:pPr>
      <w:bookmarkStart w:id="13" w:name="_Toc171637121"/>
      <w:r w:rsidRPr="00643021">
        <w:rPr>
          <w:rFonts w:ascii="Arial" w:hAnsi="Arial" w:cs="Arial"/>
        </w:rPr>
        <w:lastRenderedPageBreak/>
        <w:t>Currency Swaps</w:t>
      </w:r>
      <w:bookmarkEnd w:id="13"/>
    </w:p>
    <w:p w14:paraId="48C01D86" w14:textId="53CBF924" w:rsidR="00A91AB6" w:rsidRPr="00643021" w:rsidRDefault="00A91AB6" w:rsidP="00A91AB6">
      <w:pPr>
        <w:rPr>
          <w:rFonts w:ascii="Arial" w:hAnsi="Arial" w:cs="Arial"/>
        </w:rPr>
      </w:pPr>
      <w:r w:rsidRPr="00643021">
        <w:rPr>
          <w:rFonts w:ascii="Arial" w:hAnsi="Arial" w:cs="Arial"/>
        </w:rPr>
        <w:t xml:space="preserve">In currency swaps, counterparties involve </w:t>
      </w:r>
      <w:r w:rsidR="00BF7DBE" w:rsidRPr="00643021">
        <w:rPr>
          <w:rFonts w:ascii="Arial" w:hAnsi="Arial" w:cs="Arial"/>
        </w:rPr>
        <w:t xml:space="preserve">the </w:t>
      </w:r>
      <w:r w:rsidRPr="00643021">
        <w:rPr>
          <w:rFonts w:ascii="Arial" w:hAnsi="Arial" w:cs="Arial"/>
        </w:rPr>
        <w:t xml:space="preserve">exchange </w:t>
      </w:r>
      <w:r w:rsidR="00BF7DBE" w:rsidRPr="00643021">
        <w:rPr>
          <w:rFonts w:ascii="Arial" w:hAnsi="Arial" w:cs="Arial"/>
        </w:rPr>
        <w:t xml:space="preserve">of </w:t>
      </w:r>
      <w:r w:rsidRPr="00643021">
        <w:rPr>
          <w:rFonts w:ascii="Arial" w:hAnsi="Arial" w:cs="Arial"/>
        </w:rPr>
        <w:t xml:space="preserve">principal and interest </w:t>
      </w:r>
      <w:proofErr w:type="gramStart"/>
      <w:r w:rsidRPr="00643021">
        <w:rPr>
          <w:rFonts w:ascii="Arial" w:hAnsi="Arial" w:cs="Arial"/>
        </w:rPr>
        <w:t>in one currency,</w:t>
      </w:r>
      <w:proofErr w:type="gramEnd"/>
      <w:r w:rsidRPr="00643021">
        <w:rPr>
          <w:rFonts w:ascii="Arial" w:hAnsi="Arial" w:cs="Arial"/>
        </w:rPr>
        <w:t xml:space="preserve"> of equivalent amounts in another, for a stipulated period</w:t>
      </w:r>
      <w:r w:rsidR="00143F0C" w:rsidRPr="00643021">
        <w:rPr>
          <w:rFonts w:ascii="Arial" w:hAnsi="Arial" w:cs="Arial"/>
        </w:rPr>
        <w:t xml:space="preserve"> (Beilke, 2013)</w:t>
      </w:r>
      <w:r w:rsidRPr="00643021">
        <w:rPr>
          <w:rFonts w:ascii="Arial" w:hAnsi="Arial" w:cs="Arial"/>
        </w:rPr>
        <w:t xml:space="preserve">. Through them, MNCs can undertake the management of potentially persistent foreign exchange exposure and obtain capital at the best possible rates. What an investor gets as a key benefit is that both the principal and interests are fixed, considering or giving long-term exchange rate certainty. Swaps, however, are quite complicated and require not only sophisticated financial knowledge but </w:t>
      </w:r>
      <w:r w:rsidR="00BF7DBE" w:rsidRPr="00643021">
        <w:rPr>
          <w:rFonts w:ascii="Arial" w:hAnsi="Arial" w:cs="Arial"/>
        </w:rPr>
        <w:t xml:space="preserve">also </w:t>
      </w:r>
      <w:r w:rsidRPr="00643021">
        <w:rPr>
          <w:rFonts w:ascii="Arial" w:hAnsi="Arial" w:cs="Arial"/>
        </w:rPr>
        <w:t>hide counterparty risk. Moreover, they are even less liquid than many other hedging instruments.</w:t>
      </w:r>
    </w:p>
    <w:p w14:paraId="3026FDA8" w14:textId="7DF2053E" w:rsidR="00CB01FA" w:rsidRDefault="00CB01FA" w:rsidP="00643021">
      <w:pPr>
        <w:pStyle w:val="Heading1"/>
      </w:pPr>
      <w:bookmarkStart w:id="14" w:name="_Toc171637122"/>
      <w:r>
        <w:t>Evaluation of Hedging Strategies</w:t>
      </w:r>
      <w:bookmarkEnd w:id="14"/>
    </w:p>
    <w:p w14:paraId="1A74A7C1" w14:textId="77777777" w:rsidR="00CB01FA" w:rsidRDefault="00CB01FA" w:rsidP="00643021">
      <w:pPr>
        <w:pStyle w:val="Heading2"/>
      </w:pPr>
      <w:bookmarkStart w:id="15" w:name="_Toc171637123"/>
      <w:r>
        <w:t>Criteria for Evaluation</w:t>
      </w:r>
      <w:bookmarkEnd w:id="15"/>
    </w:p>
    <w:p w14:paraId="7411F4AB" w14:textId="68A4415A" w:rsidR="00CB01FA" w:rsidRPr="00643021" w:rsidRDefault="00CB01FA" w:rsidP="00CB01FA">
      <w:pPr>
        <w:rPr>
          <w:rFonts w:ascii="Arial" w:hAnsi="Arial" w:cs="Arial"/>
        </w:rPr>
      </w:pPr>
      <w:r w:rsidRPr="00643021">
        <w:rPr>
          <w:rStyle w:val="Strong"/>
          <w:rFonts w:ascii="Arial" w:hAnsi="Arial" w:cs="Arial"/>
        </w:rPr>
        <w:t>Effectiveness in Risk Mitigation:</w:t>
      </w:r>
      <w:r w:rsidRPr="00643021">
        <w:rPr>
          <w:rFonts w:ascii="Arial" w:hAnsi="Arial" w:cs="Arial"/>
        </w:rPr>
        <w:t xml:space="preserve"> </w:t>
      </w:r>
      <w:r w:rsidR="00143F0C" w:rsidRPr="00643021">
        <w:rPr>
          <w:rFonts w:ascii="Arial" w:hAnsi="Arial" w:cs="Arial"/>
        </w:rPr>
        <w:t>Assessing h</w:t>
      </w:r>
      <w:r w:rsidRPr="00643021">
        <w:rPr>
          <w:rFonts w:ascii="Arial" w:hAnsi="Arial" w:cs="Arial"/>
        </w:rPr>
        <w:t>ow much each strategy inevitably reduces the exposure to movements in adverse currency movements.</w:t>
      </w:r>
    </w:p>
    <w:p w14:paraId="6FE4393B" w14:textId="03AE25F5" w:rsidR="00CB01FA" w:rsidRPr="00643021" w:rsidRDefault="00CB01FA" w:rsidP="00CB01FA">
      <w:pPr>
        <w:rPr>
          <w:rFonts w:ascii="Arial" w:hAnsi="Arial" w:cs="Arial"/>
        </w:rPr>
      </w:pPr>
      <w:r w:rsidRPr="00643021">
        <w:rPr>
          <w:rStyle w:val="Strong"/>
          <w:rFonts w:ascii="Arial" w:hAnsi="Arial" w:cs="Arial"/>
        </w:rPr>
        <w:t>Cost and Complexity:</w:t>
      </w:r>
      <w:r w:rsidRPr="00643021">
        <w:rPr>
          <w:rFonts w:ascii="Arial" w:hAnsi="Arial" w:cs="Arial"/>
        </w:rPr>
        <w:t xml:space="preserve"> Assessment of financial cost and operational cost of deployment of strategy that involves infrastructure and expertise</w:t>
      </w:r>
      <w:r w:rsidR="00143F0C" w:rsidRPr="00643021">
        <w:rPr>
          <w:rFonts w:ascii="Arial" w:hAnsi="Arial" w:cs="Arial"/>
        </w:rPr>
        <w:t xml:space="preserve"> (Malavika, 2022)</w:t>
      </w:r>
      <w:r w:rsidRPr="00643021">
        <w:rPr>
          <w:rFonts w:ascii="Arial" w:hAnsi="Arial" w:cs="Arial"/>
        </w:rPr>
        <w:t>.</w:t>
      </w:r>
    </w:p>
    <w:p w14:paraId="2174890B" w14:textId="088A92A1" w:rsidR="00CB01FA" w:rsidRPr="00643021" w:rsidRDefault="00CB01FA" w:rsidP="00CB01FA">
      <w:pPr>
        <w:rPr>
          <w:rFonts w:ascii="Arial" w:hAnsi="Arial" w:cs="Arial"/>
        </w:rPr>
      </w:pPr>
      <w:r w:rsidRPr="00643021">
        <w:rPr>
          <w:rStyle w:val="Strong"/>
          <w:rFonts w:ascii="Arial" w:hAnsi="Arial" w:cs="Arial"/>
        </w:rPr>
        <w:t>Impact on Cash Flow and Financial Statements:</w:t>
      </w:r>
      <w:r w:rsidRPr="00643021">
        <w:rPr>
          <w:rFonts w:ascii="Arial" w:hAnsi="Arial" w:cs="Arial"/>
        </w:rPr>
        <w:t xml:space="preserve"> </w:t>
      </w:r>
      <w:proofErr w:type="spellStart"/>
      <w:r w:rsidR="00143F0C" w:rsidRPr="00643021">
        <w:rPr>
          <w:rFonts w:ascii="Arial" w:hAnsi="Arial" w:cs="Arial"/>
        </w:rPr>
        <w:t>Analysing</w:t>
      </w:r>
      <w:proofErr w:type="spellEnd"/>
      <w:r w:rsidR="00143F0C" w:rsidRPr="00643021">
        <w:rPr>
          <w:rFonts w:ascii="Arial" w:hAnsi="Arial" w:cs="Arial"/>
        </w:rPr>
        <w:t xml:space="preserve"> h</w:t>
      </w:r>
      <w:r w:rsidRPr="00643021">
        <w:rPr>
          <w:rFonts w:ascii="Arial" w:hAnsi="Arial" w:cs="Arial"/>
        </w:rPr>
        <w:t>ow the strategy will impact a company</w:t>
      </w:r>
      <w:r w:rsidR="00CE4718" w:rsidRPr="00643021">
        <w:rPr>
          <w:rFonts w:ascii="Arial" w:hAnsi="Arial" w:cs="Arial"/>
        </w:rPr>
        <w:t>’</w:t>
      </w:r>
      <w:r w:rsidRPr="00643021">
        <w:rPr>
          <w:rFonts w:ascii="Arial" w:hAnsi="Arial" w:cs="Arial"/>
        </w:rPr>
        <w:t>s liquidity, profitability, and overall financial health.</w:t>
      </w:r>
    </w:p>
    <w:p w14:paraId="7A7DD394" w14:textId="77777777" w:rsidR="00CB01FA" w:rsidRDefault="00CB01FA" w:rsidP="00643021">
      <w:pPr>
        <w:pStyle w:val="Heading2"/>
      </w:pPr>
      <w:bookmarkStart w:id="16" w:name="_Toc171637124"/>
      <w:r>
        <w:t>Comparative Analysis</w:t>
      </w:r>
      <w:bookmarkEnd w:id="16"/>
    </w:p>
    <w:p w14:paraId="69A3B2F0" w14:textId="50BC0581" w:rsidR="00CB01FA" w:rsidRPr="00643021" w:rsidRDefault="00CB01FA" w:rsidP="00CB01FA">
      <w:pPr>
        <w:rPr>
          <w:rFonts w:ascii="Arial" w:hAnsi="Arial" w:cs="Arial"/>
        </w:rPr>
      </w:pPr>
      <w:r w:rsidRPr="00643021">
        <w:rPr>
          <w:rStyle w:val="Strong"/>
          <w:rFonts w:ascii="Arial" w:hAnsi="Arial" w:cs="Arial"/>
        </w:rPr>
        <w:t>Internal vs. External Hedging Strategies:</w:t>
      </w:r>
      <w:r w:rsidRPr="00643021">
        <w:rPr>
          <w:rFonts w:ascii="Arial" w:hAnsi="Arial" w:cs="Arial"/>
        </w:rPr>
        <w:t xml:space="preserve"> The internal strategies, such as leading and lagging or currency netting, generally cost less and are easier to initiate, but the risk reduction may be limited in scope. On the other hand, external hedging techniques that include forwards and options give better coverage of the risk but are quite expensive and complex in structure</w:t>
      </w:r>
      <w:r w:rsidR="00143F0C" w:rsidRPr="00643021">
        <w:rPr>
          <w:rFonts w:ascii="Arial" w:hAnsi="Arial" w:cs="Arial"/>
        </w:rPr>
        <w:t xml:space="preserve"> (Bouchard, 2016)</w:t>
      </w:r>
      <w:r w:rsidRPr="00643021">
        <w:rPr>
          <w:rFonts w:ascii="Arial" w:hAnsi="Arial" w:cs="Arial"/>
        </w:rPr>
        <w:t>.</w:t>
      </w:r>
    </w:p>
    <w:p w14:paraId="4814A343" w14:textId="417BC185" w:rsidR="00CB01FA" w:rsidRPr="00643021" w:rsidRDefault="00CB01FA" w:rsidP="00CB01FA">
      <w:pPr>
        <w:rPr>
          <w:rFonts w:ascii="Arial" w:hAnsi="Arial" w:cs="Arial"/>
        </w:rPr>
      </w:pPr>
      <w:r w:rsidRPr="00643021">
        <w:rPr>
          <w:rStyle w:val="Strong"/>
          <w:rFonts w:ascii="Arial" w:hAnsi="Arial" w:cs="Arial"/>
        </w:rPr>
        <w:t>Suitability for Different Types of MNCs:</w:t>
      </w:r>
      <w:r w:rsidRPr="00643021">
        <w:rPr>
          <w:rFonts w:ascii="Arial" w:hAnsi="Arial" w:cs="Arial"/>
        </w:rPr>
        <w:t xml:space="preserve"> Internal strategies are more suitable for the smaller MNCs that have limited resources, while large MNCs with complex business processes are better off using external hedging instruments.</w:t>
      </w:r>
    </w:p>
    <w:p w14:paraId="7573F374" w14:textId="77777777" w:rsidR="00CB01FA" w:rsidRDefault="00CB01FA" w:rsidP="00643021">
      <w:pPr>
        <w:pStyle w:val="Heading2"/>
      </w:pPr>
      <w:bookmarkStart w:id="17" w:name="_Toc171637125"/>
      <w:r>
        <w:t>Empirical Evidence and Case Studies</w:t>
      </w:r>
      <w:bookmarkEnd w:id="17"/>
    </w:p>
    <w:p w14:paraId="14C7B0FC" w14:textId="49EE414F" w:rsidR="00CB01FA" w:rsidRPr="00643021" w:rsidRDefault="00CB01FA" w:rsidP="00CB01FA">
      <w:pPr>
        <w:rPr>
          <w:rFonts w:ascii="Arial" w:hAnsi="Arial" w:cs="Arial"/>
        </w:rPr>
      </w:pPr>
      <w:r w:rsidRPr="00643021">
        <w:rPr>
          <w:rStyle w:val="Strong"/>
          <w:rFonts w:ascii="Arial" w:hAnsi="Arial" w:cs="Arial"/>
        </w:rPr>
        <w:t>Real-World Examples of MNCs Using Various Hedging Strategies:</w:t>
      </w:r>
      <w:r w:rsidRPr="00643021">
        <w:rPr>
          <w:rFonts w:ascii="Arial" w:hAnsi="Arial" w:cs="Arial"/>
        </w:rPr>
        <w:t xml:space="preserve"> Case studies of Coca-Cola, BMW, and Toyota duly illustrate diverse approaches for dealing with currency risk</w:t>
      </w:r>
      <w:r w:rsidR="00143F0C" w:rsidRPr="00643021">
        <w:rPr>
          <w:rFonts w:ascii="Arial" w:hAnsi="Arial" w:cs="Arial"/>
        </w:rPr>
        <w:t xml:space="preserve"> (Prasad and Satya Sekhar, 2019)</w:t>
      </w:r>
      <w:r w:rsidRPr="00643021">
        <w:rPr>
          <w:rFonts w:ascii="Arial" w:hAnsi="Arial" w:cs="Arial"/>
        </w:rPr>
        <w:t xml:space="preserve">. </w:t>
      </w:r>
    </w:p>
    <w:p w14:paraId="392EBDE9" w14:textId="52CE8433" w:rsidR="00CB01FA" w:rsidRPr="00643021" w:rsidRDefault="00CB01FA" w:rsidP="00CB01FA">
      <w:pPr>
        <w:rPr>
          <w:rFonts w:ascii="Arial" w:hAnsi="Arial" w:cs="Arial"/>
        </w:rPr>
      </w:pPr>
      <w:r w:rsidRPr="00643021">
        <w:rPr>
          <w:rStyle w:val="Strong"/>
          <w:rFonts w:ascii="Arial" w:hAnsi="Arial" w:cs="Arial"/>
        </w:rPr>
        <w:lastRenderedPageBreak/>
        <w:t>Analysis of the Outcomes and Lessons Learned:</w:t>
      </w:r>
      <w:r w:rsidRPr="00643021">
        <w:rPr>
          <w:rFonts w:ascii="Arial" w:hAnsi="Arial" w:cs="Arial"/>
        </w:rPr>
        <w:t xml:space="preserve"> </w:t>
      </w:r>
      <w:r w:rsidR="00BF7DBE" w:rsidRPr="00643021">
        <w:rPr>
          <w:rFonts w:ascii="Arial" w:hAnsi="Arial" w:cs="Arial"/>
        </w:rPr>
        <w:t>The s</w:t>
      </w:r>
      <w:r w:rsidRPr="00643021">
        <w:rPr>
          <w:rFonts w:ascii="Arial" w:hAnsi="Arial" w:cs="Arial"/>
        </w:rPr>
        <w:t>uccesses and challenges of these companies provide an awful lot of insight into the effectiveness of several hedging strategies in operation and tailored risk management approaches.</w:t>
      </w:r>
    </w:p>
    <w:p w14:paraId="1ECB48D2" w14:textId="60EEDE36" w:rsidR="00CB01FA" w:rsidRDefault="00CB01FA" w:rsidP="00643021">
      <w:pPr>
        <w:pStyle w:val="Heading1"/>
      </w:pPr>
      <w:bookmarkStart w:id="18" w:name="_Toc171637126"/>
      <w:r>
        <w:t>Challenges in Managing Foreign Exchange Risks</w:t>
      </w:r>
      <w:bookmarkEnd w:id="18"/>
    </w:p>
    <w:p w14:paraId="156B8295" w14:textId="77777777" w:rsidR="00CB01FA" w:rsidRDefault="00CB01FA" w:rsidP="00643021">
      <w:pPr>
        <w:pStyle w:val="Heading2"/>
      </w:pPr>
      <w:bookmarkStart w:id="19" w:name="_Toc171637127"/>
      <w:r>
        <w:t>Predicting Currency Movements</w:t>
      </w:r>
      <w:bookmarkEnd w:id="19"/>
    </w:p>
    <w:p w14:paraId="043E4227" w14:textId="6024D6E6" w:rsidR="00CB01FA" w:rsidRPr="00643021" w:rsidRDefault="00CB01FA" w:rsidP="00CB01FA">
      <w:pPr>
        <w:rPr>
          <w:rFonts w:ascii="Arial" w:hAnsi="Arial" w:cs="Arial"/>
        </w:rPr>
      </w:pPr>
      <w:r w:rsidRPr="00643021">
        <w:rPr>
          <w:rStyle w:val="Strong"/>
          <w:rFonts w:ascii="Arial" w:hAnsi="Arial" w:cs="Arial"/>
        </w:rPr>
        <w:t>Difficulty in Forecasting and Its Implications:</w:t>
      </w:r>
      <w:r w:rsidRPr="00643021">
        <w:rPr>
          <w:rFonts w:ascii="Arial" w:hAnsi="Arial" w:cs="Arial"/>
        </w:rPr>
        <w:t xml:space="preserve"> With so many factors at play, most of which cannot be predicted, such as geopolitical events, turns in the economy, and market sentiment, making an accurate forecast of movements in a currency is more than a formidable task</w:t>
      </w:r>
      <w:r w:rsidR="00143F0C" w:rsidRPr="00643021">
        <w:rPr>
          <w:rFonts w:ascii="Arial" w:hAnsi="Arial" w:cs="Arial"/>
        </w:rPr>
        <w:t xml:space="preserve"> (Donkin et al., 2017)</w:t>
      </w:r>
      <w:r w:rsidRPr="00643021">
        <w:rPr>
          <w:rFonts w:ascii="Arial" w:hAnsi="Arial" w:cs="Arial"/>
        </w:rPr>
        <w:t>. A faulty forecast may turn these into poor hedging decisions that will either incur a financial loss or cause an opportunity loss.</w:t>
      </w:r>
    </w:p>
    <w:p w14:paraId="25883513" w14:textId="77777777" w:rsidR="00CB01FA" w:rsidRDefault="00CB01FA" w:rsidP="00643021">
      <w:pPr>
        <w:pStyle w:val="Heading2"/>
      </w:pPr>
      <w:bookmarkStart w:id="20" w:name="_Toc171637128"/>
      <w:r>
        <w:t>Regulatory and Compliance Issues</w:t>
      </w:r>
      <w:bookmarkEnd w:id="20"/>
    </w:p>
    <w:p w14:paraId="3ACF603C" w14:textId="34F8BEC4" w:rsidR="00CB01FA" w:rsidRPr="00643021" w:rsidRDefault="00CB01FA" w:rsidP="00CB01FA">
      <w:pPr>
        <w:rPr>
          <w:rFonts w:ascii="Arial" w:hAnsi="Arial" w:cs="Arial"/>
        </w:rPr>
      </w:pPr>
      <w:r w:rsidRPr="00643021">
        <w:rPr>
          <w:rStyle w:val="Strong"/>
          <w:rFonts w:ascii="Arial" w:hAnsi="Arial" w:cs="Arial"/>
        </w:rPr>
        <w:t>Impact of Different Regulatory Environments on Hedging Activities:</w:t>
      </w:r>
      <w:r w:rsidRPr="00643021">
        <w:rPr>
          <w:rFonts w:ascii="Arial" w:hAnsi="Arial" w:cs="Arial"/>
        </w:rPr>
        <w:t xml:space="preserve"> Different host country regulatory environments impose varying rules and requirements on MNCs. Subsequently, differences in the complicated legal framework impact hedging strategies, where the latter demands adjustments in respecting countries</w:t>
      </w:r>
      <w:r w:rsidR="00143F0C" w:rsidRPr="00643021">
        <w:rPr>
          <w:rFonts w:ascii="Arial" w:hAnsi="Arial" w:cs="Arial"/>
        </w:rPr>
        <w:t xml:space="preserve"> (</w:t>
      </w:r>
      <w:proofErr w:type="spellStart"/>
      <w:r w:rsidR="00143F0C" w:rsidRPr="00643021">
        <w:rPr>
          <w:rFonts w:ascii="Arial" w:hAnsi="Arial" w:cs="Arial"/>
        </w:rPr>
        <w:t>Murzagalieva</w:t>
      </w:r>
      <w:proofErr w:type="spellEnd"/>
      <w:r w:rsidR="00143F0C" w:rsidRPr="00643021">
        <w:rPr>
          <w:rFonts w:ascii="Arial" w:hAnsi="Arial" w:cs="Arial"/>
        </w:rPr>
        <w:t>, 2023)</w:t>
      </w:r>
      <w:r w:rsidRPr="00643021">
        <w:rPr>
          <w:rFonts w:ascii="Arial" w:hAnsi="Arial" w:cs="Arial"/>
        </w:rPr>
        <w:t>.</w:t>
      </w:r>
    </w:p>
    <w:p w14:paraId="765A6FD6" w14:textId="77777777" w:rsidR="005C2244" w:rsidRDefault="00643021" w:rsidP="00643021">
      <w:pPr>
        <w:pStyle w:val="Heading2"/>
        <w:rPr>
          <w:rStyle w:val="Strong"/>
        </w:rPr>
      </w:pPr>
      <w:bookmarkStart w:id="21" w:name="_Toc171637129"/>
      <w:r w:rsidRPr="00643021">
        <w:t>Cost-Benefit Analysis</w:t>
      </w:r>
      <w:bookmarkEnd w:id="21"/>
      <w:r w:rsidRPr="00643021">
        <w:rPr>
          <w:rStyle w:val="Strong"/>
        </w:rPr>
        <w:t xml:space="preserve"> </w:t>
      </w:r>
    </w:p>
    <w:p w14:paraId="52138522" w14:textId="53BC356D" w:rsidR="00643021" w:rsidRPr="005C2244" w:rsidRDefault="00CB01FA" w:rsidP="00643021">
      <w:pPr>
        <w:pStyle w:val="Heading2"/>
        <w:rPr>
          <w:sz w:val="24"/>
          <w:szCs w:val="24"/>
        </w:rPr>
      </w:pPr>
      <w:r w:rsidRPr="005C2244">
        <w:rPr>
          <w:rStyle w:val="Strong"/>
          <w:sz w:val="24"/>
          <w:szCs w:val="24"/>
        </w:rPr>
        <w:t>Balancing the Costs of Hedging Against Potential Benefits:</w:t>
      </w:r>
      <w:r w:rsidRPr="005C2244">
        <w:rPr>
          <w:sz w:val="24"/>
          <w:szCs w:val="24"/>
        </w:rPr>
        <w:t xml:space="preserve"> By itself, hedging is a rather expensive process. It implies transaction costs, premiums that will have to be paid, and </w:t>
      </w:r>
      <w:proofErr w:type="gramStart"/>
      <w:r w:rsidRPr="005C2244">
        <w:rPr>
          <w:sz w:val="24"/>
          <w:szCs w:val="24"/>
        </w:rPr>
        <w:t>an additional</w:t>
      </w:r>
      <w:proofErr w:type="gramEnd"/>
      <w:r w:rsidRPr="005C2244">
        <w:rPr>
          <w:sz w:val="24"/>
          <w:szCs w:val="24"/>
        </w:rPr>
        <w:t xml:space="preserve"> </w:t>
      </w:r>
    </w:p>
    <w:p w14:paraId="6EEE895D" w14:textId="51E75972" w:rsidR="00CB01FA" w:rsidRPr="005C2244" w:rsidRDefault="00CB01FA" w:rsidP="00CB01FA">
      <w:pPr>
        <w:rPr>
          <w:rFonts w:ascii="Arial" w:hAnsi="Arial" w:cs="Arial"/>
          <w:szCs w:val="24"/>
        </w:rPr>
      </w:pPr>
      <w:r w:rsidRPr="005C2244">
        <w:rPr>
          <w:rFonts w:ascii="Arial" w:hAnsi="Arial" w:cs="Arial"/>
          <w:szCs w:val="24"/>
        </w:rPr>
        <w:t>administrative burden. A firm should hence consider whether such benefits of reduced currency risk more than compensate for these costs so that hedging adds value without putting too heavy a strain on its financial resources.</w:t>
      </w:r>
    </w:p>
    <w:p w14:paraId="34F358A7" w14:textId="333DD69F" w:rsidR="00A91AB6" w:rsidRDefault="00A91AB6" w:rsidP="00643021">
      <w:pPr>
        <w:pStyle w:val="Heading1"/>
      </w:pPr>
      <w:bookmarkStart w:id="22" w:name="_Toc171637130"/>
      <w:r>
        <w:t>Conclusion</w:t>
      </w:r>
      <w:bookmarkEnd w:id="22"/>
      <w:r>
        <w:t xml:space="preserve"> </w:t>
      </w:r>
    </w:p>
    <w:p w14:paraId="60328965" w14:textId="5FEB395B" w:rsidR="00BF7DBE" w:rsidRPr="005C2244" w:rsidRDefault="00A91AB6" w:rsidP="00A91AB6">
      <w:pPr>
        <w:rPr>
          <w:rFonts w:ascii="Arial" w:hAnsi="Arial" w:cs="Arial"/>
        </w:rPr>
      </w:pPr>
      <w:r w:rsidRPr="005C2244">
        <w:rPr>
          <w:rFonts w:ascii="Arial" w:hAnsi="Arial" w:cs="Arial"/>
        </w:rPr>
        <w:t>Thus, foreign exchange risk management is an integral part of a multinational corporation</w:t>
      </w:r>
      <w:r w:rsidR="00CE4718" w:rsidRPr="005C2244">
        <w:rPr>
          <w:rFonts w:ascii="Arial" w:hAnsi="Arial" w:cs="Arial"/>
        </w:rPr>
        <w:t>’</w:t>
      </w:r>
      <w:r w:rsidRPr="005C2244">
        <w:rPr>
          <w:rFonts w:ascii="Arial" w:hAnsi="Arial" w:cs="Arial"/>
        </w:rPr>
        <w:t>s financial strategy. Several strategies for internal and external hedging have different advantages and limitations; hence, MNCs should be aware of their needs and the circumstances. While internal strategies, such as leading and lagging or currency netting, are relatively low-cost and simple, external strategies involve very wide coverage at higher costs and added complexity</w:t>
      </w:r>
      <w:r w:rsidR="00143F0C" w:rsidRPr="005C2244">
        <w:rPr>
          <w:rFonts w:ascii="Arial" w:hAnsi="Arial" w:cs="Arial"/>
        </w:rPr>
        <w:t xml:space="preserve"> (World Bank, 2012)</w:t>
      </w:r>
      <w:r w:rsidRPr="005C2244">
        <w:rPr>
          <w:rFonts w:ascii="Arial" w:hAnsi="Arial" w:cs="Arial"/>
        </w:rPr>
        <w:t xml:space="preserve">. Going ahead to discuss real examples of how to improve currency movement estimates or comply </w:t>
      </w:r>
      <w:r w:rsidRPr="005C2244">
        <w:rPr>
          <w:rFonts w:ascii="Arial" w:hAnsi="Arial" w:cs="Arial"/>
        </w:rPr>
        <w:lastRenderedPageBreak/>
        <w:t>with regulations should make it easier to help MNCs establish robust approaches that lessen foreign exchange risks and improve financial stability.</w:t>
      </w:r>
    </w:p>
    <w:p w14:paraId="5E076D42" w14:textId="444EE111" w:rsidR="00A91AB6" w:rsidRDefault="00BF7DBE" w:rsidP="00BF7DBE">
      <w:pPr>
        <w:spacing w:line="259" w:lineRule="auto"/>
        <w:jc w:val="left"/>
      </w:pPr>
      <w:r>
        <w:br w:type="page"/>
      </w:r>
    </w:p>
    <w:p w14:paraId="663A929B" w14:textId="3137FBFC" w:rsidR="00143F0C" w:rsidRPr="00143F0C" w:rsidRDefault="00143F0C" w:rsidP="00643021">
      <w:pPr>
        <w:pStyle w:val="Heading1"/>
      </w:pPr>
      <w:bookmarkStart w:id="23" w:name="_Toc171637131"/>
      <w:r w:rsidRPr="00143F0C">
        <w:lastRenderedPageBreak/>
        <w:t>Reference</w:t>
      </w:r>
      <w:r>
        <w:t>s</w:t>
      </w:r>
      <w:bookmarkEnd w:id="23"/>
    </w:p>
    <w:p w14:paraId="3F2DC1F1" w14:textId="77777777" w:rsidR="00CE4718" w:rsidRPr="00143F0C" w:rsidRDefault="00CE4718" w:rsidP="002F26D0">
      <w:pPr>
        <w:spacing w:before="240"/>
      </w:pPr>
      <w:r w:rsidRPr="00143F0C">
        <w:t>Beilke, N. (2013) Hedging with interest rate swaps and currency swaps. Grin Publishing.</w:t>
      </w:r>
    </w:p>
    <w:p w14:paraId="59762134" w14:textId="77777777" w:rsidR="00CE4718" w:rsidRPr="00143F0C" w:rsidRDefault="00CE4718" w:rsidP="002F26D0">
      <w:pPr>
        <w:spacing w:before="240"/>
      </w:pPr>
      <w:r w:rsidRPr="00143F0C">
        <w:t>Bouchard, B. (2016) Fundamentals and advanced techniques in derivatives hedging 2016. 2016th ed. Cham, Switzerland: Springer International Publishing.</w:t>
      </w:r>
    </w:p>
    <w:p w14:paraId="23E49BE3" w14:textId="77777777" w:rsidR="00CE4718" w:rsidRPr="00143F0C" w:rsidRDefault="00CE4718" w:rsidP="002F26D0">
      <w:pPr>
        <w:spacing w:before="240"/>
      </w:pPr>
      <w:r w:rsidRPr="00143F0C">
        <w:t>Donkin, E. et al. (2017) “Replicating complex agent</w:t>
      </w:r>
      <w:r>
        <w:t>-</w:t>
      </w:r>
      <w:r w:rsidRPr="00143F0C">
        <w:t xml:space="preserve">based models, a formidable task,” Environmental modeling &amp; software: with environment data news, 92, pp. 142–151. </w:t>
      </w:r>
      <w:proofErr w:type="spellStart"/>
      <w:r w:rsidRPr="00143F0C">
        <w:t>doi</w:t>
      </w:r>
      <w:proofErr w:type="spellEnd"/>
      <w:r w:rsidRPr="00143F0C">
        <w:t xml:space="preserve"> 10.1016/j.envsoft.2017.01.020.</w:t>
      </w:r>
    </w:p>
    <w:p w14:paraId="143D1EB2" w14:textId="77777777" w:rsidR="00CE4718" w:rsidRPr="00143F0C" w:rsidRDefault="00CE4718" w:rsidP="002F26D0">
      <w:pPr>
        <w:spacing w:before="240"/>
      </w:pPr>
      <w:r w:rsidRPr="00143F0C">
        <w:t>Jacque, L. L. (2013) Management and control of foreign exchange risk. 1996th ed. Dordrecht, Netherlands: Springer.</w:t>
      </w:r>
    </w:p>
    <w:p w14:paraId="07CF543B" w14:textId="77777777" w:rsidR="00CE4718" w:rsidRPr="00143F0C" w:rsidRDefault="00CE4718" w:rsidP="002F26D0">
      <w:pPr>
        <w:spacing w:before="240"/>
      </w:pPr>
      <w:proofErr w:type="spellStart"/>
      <w:r w:rsidRPr="00143F0C">
        <w:t>Klamra</w:t>
      </w:r>
      <w:proofErr w:type="spellEnd"/>
      <w:r w:rsidRPr="00143F0C">
        <w:t>, K.-H. (2015) Treasury in practice: Translation - risk, fair value hedge</w:t>
      </w:r>
      <w:r>
        <w:t>,</w:t>
      </w:r>
      <w:r w:rsidRPr="00143F0C">
        <w:t xml:space="preserve"> and cash flow hedge: </w:t>
      </w:r>
      <w:proofErr w:type="spellStart"/>
      <w:r w:rsidRPr="00143F0C">
        <w:t>Ifrs</w:t>
      </w:r>
      <w:proofErr w:type="spellEnd"/>
      <w:r w:rsidRPr="00143F0C">
        <w:t xml:space="preserve"> hedge accounting II. North Charleston, SC: </w:t>
      </w:r>
      <w:proofErr w:type="spellStart"/>
      <w:r w:rsidRPr="00143F0C">
        <w:t>Createspace</w:t>
      </w:r>
      <w:proofErr w:type="spellEnd"/>
      <w:r w:rsidRPr="00143F0C">
        <w:t xml:space="preserve"> Independent Publishing Platform.</w:t>
      </w:r>
    </w:p>
    <w:p w14:paraId="37DF0C70" w14:textId="77777777" w:rsidR="00CE4718" w:rsidRPr="00143F0C" w:rsidRDefault="00CE4718" w:rsidP="002F26D0">
      <w:pPr>
        <w:spacing w:before="240"/>
      </w:pPr>
      <w:r w:rsidRPr="00143F0C">
        <w:t>Krause, T. A. (2018) Pricing of futures contracts. Oxford University Press.</w:t>
      </w:r>
    </w:p>
    <w:p w14:paraId="02ECF697" w14:textId="77777777" w:rsidR="00CE4718" w:rsidRPr="00143F0C" w:rsidRDefault="00CE4718" w:rsidP="002F26D0">
      <w:pPr>
        <w:spacing w:before="240"/>
      </w:pPr>
      <w:r w:rsidRPr="00143F0C">
        <w:t>Lum, Y. C.</w:t>
      </w:r>
      <w:r>
        <w:t>,</w:t>
      </w:r>
      <w:r w:rsidRPr="00143F0C">
        <w:t xml:space="preserve"> and Islam, S. M. N. (2022) Management of foreign exchange risk: Evidence from developing economies. London, England: Routledge.</w:t>
      </w:r>
    </w:p>
    <w:p w14:paraId="57BCA06C" w14:textId="77777777" w:rsidR="00CE4718" w:rsidRPr="00143F0C" w:rsidRDefault="00CE4718" w:rsidP="002F26D0">
      <w:pPr>
        <w:spacing w:before="240"/>
      </w:pPr>
      <w:r w:rsidRPr="00143F0C">
        <w:t>Malavika, S. (2022) Financial cost</w:t>
      </w:r>
      <w:r>
        <w:t>-</w:t>
      </w:r>
      <w:r w:rsidRPr="00143F0C">
        <w:t>benefit analysis on education. Infotech.</w:t>
      </w:r>
    </w:p>
    <w:p w14:paraId="7A633775" w14:textId="77777777" w:rsidR="00CE4718" w:rsidRPr="00143F0C" w:rsidRDefault="00CE4718" w:rsidP="002F26D0">
      <w:pPr>
        <w:spacing w:before="240"/>
      </w:pPr>
      <w:proofErr w:type="spellStart"/>
      <w:r w:rsidRPr="00143F0C">
        <w:t>Murzagalieva</w:t>
      </w:r>
      <w:proofErr w:type="spellEnd"/>
      <w:r w:rsidRPr="00143F0C">
        <w:t>, A. (2023) Investing in the legal framework. Our Knowledge Publishing.</w:t>
      </w:r>
    </w:p>
    <w:p w14:paraId="4B538DBF" w14:textId="77777777" w:rsidR="00CE4718" w:rsidRPr="00143F0C" w:rsidRDefault="00CE4718" w:rsidP="002F26D0">
      <w:pPr>
        <w:spacing w:before="240"/>
      </w:pPr>
      <w:r w:rsidRPr="00143F0C">
        <w:t>Prasad, M. S. V. and Satya Sekhar, G. V. (eds.) (2019) Currency risk management: Selected research papers. Wilmington, NC: Vernon Press.</w:t>
      </w:r>
    </w:p>
    <w:p w14:paraId="5F71B72B" w14:textId="77777777" w:rsidR="00CE4718" w:rsidRPr="00143F0C" w:rsidRDefault="00CE4718" w:rsidP="002F26D0">
      <w:pPr>
        <w:spacing w:before="240"/>
      </w:pPr>
      <w:r w:rsidRPr="00143F0C">
        <w:t>Sario, A. U. H. (2023) Political economy of the environment: Contemporary issues and pathways. Azhar UL Haque Sario.</w:t>
      </w:r>
    </w:p>
    <w:p w14:paraId="288CE435" w14:textId="77777777" w:rsidR="00CE4718" w:rsidRPr="00143F0C" w:rsidRDefault="00CE4718" w:rsidP="002F26D0">
      <w:pPr>
        <w:spacing w:before="240"/>
      </w:pPr>
      <w:r w:rsidRPr="00143F0C">
        <w:t>Söylemez, A. O. (2021) Foreign exchange rates: A research overview of the latest prediction techniques. London, England: Routledge.</w:t>
      </w:r>
    </w:p>
    <w:p w14:paraId="401B9B32" w14:textId="77777777" w:rsidR="00CE4718" w:rsidRPr="00143F0C" w:rsidRDefault="00CE4718" w:rsidP="002F26D0">
      <w:pPr>
        <w:spacing w:before="240"/>
      </w:pPr>
      <w:r w:rsidRPr="00143F0C">
        <w:t>Warner, J. and Pierce, D. (2016) Managing foreign exchange risk. Morrisville, NC: Lulu.com.</w:t>
      </w:r>
    </w:p>
    <w:p w14:paraId="7E1DB41D" w14:textId="77777777" w:rsidR="00CE4718" w:rsidRPr="00143F0C" w:rsidRDefault="00CE4718" w:rsidP="002F26D0">
      <w:pPr>
        <w:spacing w:before="240"/>
      </w:pPr>
      <w:r w:rsidRPr="00143F0C">
        <w:lastRenderedPageBreak/>
        <w:t>World Bank (2012) Integrating leading and lagging areas: A strategy for making prosperity for all a reality. World Bank.</w:t>
      </w:r>
    </w:p>
    <w:p w14:paraId="61E190AC" w14:textId="77777777" w:rsidR="00143F0C" w:rsidRDefault="00143F0C" w:rsidP="00A91AB6"/>
    <w:sectPr w:rsidR="00143F0C" w:rsidSect="005A108E">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EFFE3" w14:textId="77777777" w:rsidR="00155F2C" w:rsidRDefault="00155F2C" w:rsidP="009E4EED">
      <w:pPr>
        <w:spacing w:after="0" w:line="240" w:lineRule="auto"/>
      </w:pPr>
      <w:r>
        <w:separator/>
      </w:r>
    </w:p>
  </w:endnote>
  <w:endnote w:type="continuationSeparator" w:id="0">
    <w:p w14:paraId="684DA461" w14:textId="77777777" w:rsidR="00155F2C" w:rsidRDefault="00155F2C" w:rsidP="009E4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8270786"/>
      <w:docPartObj>
        <w:docPartGallery w:val="Page Numbers (Bottom of Page)"/>
        <w:docPartUnique/>
      </w:docPartObj>
    </w:sdtPr>
    <w:sdtEndPr>
      <w:rPr>
        <w:noProof/>
      </w:rPr>
    </w:sdtEndPr>
    <w:sdtContent>
      <w:p w14:paraId="06CFAB57" w14:textId="04599F15" w:rsidR="002F26D0" w:rsidRDefault="002F26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79DBE8" w14:textId="77777777" w:rsidR="002F26D0" w:rsidRDefault="002F26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176DB1" w14:textId="77777777" w:rsidR="00155F2C" w:rsidRDefault="00155F2C" w:rsidP="009E4EED">
      <w:pPr>
        <w:spacing w:after="0" w:line="240" w:lineRule="auto"/>
      </w:pPr>
      <w:r>
        <w:separator/>
      </w:r>
    </w:p>
  </w:footnote>
  <w:footnote w:type="continuationSeparator" w:id="0">
    <w:p w14:paraId="78491486" w14:textId="77777777" w:rsidR="00155F2C" w:rsidRDefault="00155F2C" w:rsidP="009E4E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U0M7UwMbU0NTMyNTVS0lEKTi0uzszPAykwqgUAahg6NywAAAA="/>
  </w:docVars>
  <w:rsids>
    <w:rsidRoot w:val="00757F01"/>
    <w:rsid w:val="00051F72"/>
    <w:rsid w:val="00103A63"/>
    <w:rsid w:val="00143F0C"/>
    <w:rsid w:val="00155F2C"/>
    <w:rsid w:val="00206711"/>
    <w:rsid w:val="002F26D0"/>
    <w:rsid w:val="004438C8"/>
    <w:rsid w:val="005103E9"/>
    <w:rsid w:val="005414E5"/>
    <w:rsid w:val="00596692"/>
    <w:rsid w:val="005A108E"/>
    <w:rsid w:val="005C2244"/>
    <w:rsid w:val="00643021"/>
    <w:rsid w:val="006F452D"/>
    <w:rsid w:val="00757F01"/>
    <w:rsid w:val="00935010"/>
    <w:rsid w:val="009E4EED"/>
    <w:rsid w:val="00A91AB6"/>
    <w:rsid w:val="00AA041D"/>
    <w:rsid w:val="00B27AA8"/>
    <w:rsid w:val="00B424E4"/>
    <w:rsid w:val="00BF7DBE"/>
    <w:rsid w:val="00C30228"/>
    <w:rsid w:val="00CB01FA"/>
    <w:rsid w:val="00CE4718"/>
    <w:rsid w:val="00E302E9"/>
    <w:rsid w:val="00F33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DF8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69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43021"/>
    <w:pPr>
      <w:keepNext/>
      <w:keepLines/>
      <w:spacing w:before="240" w:after="0"/>
      <w:outlineLvl w:val="0"/>
    </w:pPr>
    <w:rPr>
      <w:rFonts w:ascii="Arial" w:eastAsiaTheme="majorEastAsia" w:hAnsi="Arial" w:cs="Arial"/>
      <w:b/>
      <w:color w:val="2F5496" w:themeColor="accent1" w:themeShade="BF"/>
      <w:sz w:val="28"/>
      <w:szCs w:val="28"/>
    </w:rPr>
  </w:style>
  <w:style w:type="paragraph" w:styleId="Heading2">
    <w:name w:val="heading 2"/>
    <w:basedOn w:val="Normal"/>
    <w:next w:val="Normal"/>
    <w:link w:val="Heading2Char"/>
    <w:autoRedefine/>
    <w:uiPriority w:val="9"/>
    <w:unhideWhenUsed/>
    <w:qFormat/>
    <w:rsid w:val="00643021"/>
    <w:pPr>
      <w:keepNext/>
      <w:keepLines/>
      <w:spacing w:before="40" w:after="0"/>
      <w:outlineLvl w:val="1"/>
    </w:pPr>
    <w:rPr>
      <w:rFonts w:ascii="Arial" w:eastAsiaTheme="majorEastAsia" w:hAnsi="Arial" w:cs="Arial"/>
      <w:b/>
      <w:sz w:val="28"/>
      <w:szCs w:val="28"/>
    </w:rPr>
  </w:style>
  <w:style w:type="paragraph" w:styleId="Heading3">
    <w:name w:val="heading 3"/>
    <w:basedOn w:val="Normal"/>
    <w:next w:val="Normal"/>
    <w:link w:val="Heading3Char"/>
    <w:autoRedefine/>
    <w:uiPriority w:val="9"/>
    <w:unhideWhenUsed/>
    <w:qFormat/>
    <w:rsid w:val="00596692"/>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24E4"/>
    <w:pPr>
      <w:spacing w:after="0" w:line="360" w:lineRule="auto"/>
      <w:jc w:val="center"/>
    </w:pPr>
    <w:rPr>
      <w:rFonts w:ascii="Times New Roman" w:hAnsi="Times New Roman"/>
      <w:sz w:val="24"/>
    </w:rPr>
  </w:style>
  <w:style w:type="character" w:customStyle="1" w:styleId="Heading1Char">
    <w:name w:val="Heading 1 Char"/>
    <w:basedOn w:val="DefaultParagraphFont"/>
    <w:link w:val="Heading1"/>
    <w:uiPriority w:val="9"/>
    <w:rsid w:val="00643021"/>
    <w:rPr>
      <w:rFonts w:ascii="Arial" w:eastAsiaTheme="majorEastAsia" w:hAnsi="Arial" w:cs="Arial"/>
      <w:b/>
      <w:color w:val="2F5496" w:themeColor="accent1" w:themeShade="BF"/>
      <w:sz w:val="28"/>
      <w:szCs w:val="28"/>
    </w:rPr>
  </w:style>
  <w:style w:type="character" w:customStyle="1" w:styleId="Heading2Char">
    <w:name w:val="Heading 2 Char"/>
    <w:basedOn w:val="DefaultParagraphFont"/>
    <w:link w:val="Heading2"/>
    <w:uiPriority w:val="9"/>
    <w:rsid w:val="00643021"/>
    <w:rPr>
      <w:rFonts w:ascii="Arial" w:eastAsiaTheme="majorEastAsia" w:hAnsi="Arial" w:cs="Arial"/>
      <w:b/>
      <w:sz w:val="28"/>
      <w:szCs w:val="28"/>
    </w:rPr>
  </w:style>
  <w:style w:type="character" w:customStyle="1" w:styleId="Heading3Char">
    <w:name w:val="Heading 3 Char"/>
    <w:basedOn w:val="DefaultParagraphFont"/>
    <w:link w:val="Heading3"/>
    <w:uiPriority w:val="9"/>
    <w:rsid w:val="00596692"/>
    <w:rPr>
      <w:rFonts w:ascii="Times New Roman" w:eastAsiaTheme="majorEastAsia" w:hAnsi="Times New Roman" w:cstheme="majorBidi"/>
      <w:b/>
      <w:color w:val="1F3763" w:themeColor="accent1" w:themeShade="7F"/>
      <w:sz w:val="24"/>
      <w:szCs w:val="24"/>
    </w:rPr>
  </w:style>
  <w:style w:type="character" w:styleId="Strong">
    <w:name w:val="Strong"/>
    <w:basedOn w:val="DefaultParagraphFont"/>
    <w:uiPriority w:val="22"/>
    <w:qFormat/>
    <w:rsid w:val="00757F01"/>
    <w:rPr>
      <w:b/>
      <w:bCs/>
    </w:rPr>
  </w:style>
  <w:style w:type="paragraph" w:styleId="TOCHeading">
    <w:name w:val="TOC Heading"/>
    <w:basedOn w:val="Heading1"/>
    <w:next w:val="Normal"/>
    <w:uiPriority w:val="39"/>
    <w:unhideWhenUsed/>
    <w:qFormat/>
    <w:rsid w:val="00BF7DBE"/>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BF7DBE"/>
    <w:pPr>
      <w:spacing w:after="100"/>
    </w:pPr>
  </w:style>
  <w:style w:type="paragraph" w:styleId="TOC2">
    <w:name w:val="toc 2"/>
    <w:basedOn w:val="Normal"/>
    <w:next w:val="Normal"/>
    <w:autoRedefine/>
    <w:uiPriority w:val="39"/>
    <w:unhideWhenUsed/>
    <w:rsid w:val="00BF7DBE"/>
    <w:pPr>
      <w:spacing w:after="100"/>
      <w:ind w:left="240"/>
    </w:pPr>
  </w:style>
  <w:style w:type="paragraph" w:styleId="TOC3">
    <w:name w:val="toc 3"/>
    <w:basedOn w:val="Normal"/>
    <w:next w:val="Normal"/>
    <w:autoRedefine/>
    <w:uiPriority w:val="39"/>
    <w:unhideWhenUsed/>
    <w:rsid w:val="00BF7DBE"/>
    <w:pPr>
      <w:spacing w:after="100"/>
      <w:ind w:left="480"/>
    </w:pPr>
  </w:style>
  <w:style w:type="character" w:styleId="Hyperlink">
    <w:name w:val="Hyperlink"/>
    <w:basedOn w:val="DefaultParagraphFont"/>
    <w:uiPriority w:val="99"/>
    <w:unhideWhenUsed/>
    <w:rsid w:val="00BF7DBE"/>
    <w:rPr>
      <w:color w:val="0563C1" w:themeColor="hyperlink"/>
      <w:u w:val="single"/>
    </w:rPr>
  </w:style>
  <w:style w:type="paragraph" w:styleId="Header">
    <w:name w:val="header"/>
    <w:basedOn w:val="Normal"/>
    <w:link w:val="HeaderChar"/>
    <w:uiPriority w:val="99"/>
    <w:unhideWhenUsed/>
    <w:rsid w:val="009E4E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4EED"/>
    <w:rPr>
      <w:rFonts w:ascii="Times New Roman" w:hAnsi="Times New Roman"/>
      <w:sz w:val="24"/>
    </w:rPr>
  </w:style>
  <w:style w:type="paragraph" w:styleId="Footer">
    <w:name w:val="footer"/>
    <w:basedOn w:val="Normal"/>
    <w:link w:val="FooterChar"/>
    <w:uiPriority w:val="99"/>
    <w:unhideWhenUsed/>
    <w:rsid w:val="009E4E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4EE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025678">
      <w:bodyDiv w:val="1"/>
      <w:marLeft w:val="0"/>
      <w:marRight w:val="0"/>
      <w:marTop w:val="0"/>
      <w:marBottom w:val="0"/>
      <w:divBdr>
        <w:top w:val="none" w:sz="0" w:space="0" w:color="auto"/>
        <w:left w:val="none" w:sz="0" w:space="0" w:color="auto"/>
        <w:bottom w:val="none" w:sz="0" w:space="0" w:color="auto"/>
        <w:right w:val="none" w:sz="0" w:space="0" w:color="auto"/>
      </w:divBdr>
      <w:divsChild>
        <w:div w:id="1598903698">
          <w:marLeft w:val="0"/>
          <w:marRight w:val="0"/>
          <w:marTop w:val="0"/>
          <w:marBottom w:val="0"/>
          <w:divBdr>
            <w:top w:val="none" w:sz="0" w:space="0" w:color="auto"/>
            <w:left w:val="none" w:sz="0" w:space="0" w:color="auto"/>
            <w:bottom w:val="none" w:sz="0" w:space="0" w:color="auto"/>
            <w:right w:val="none" w:sz="0" w:space="0" w:color="auto"/>
          </w:divBdr>
          <w:divsChild>
            <w:div w:id="638614442">
              <w:marLeft w:val="0"/>
              <w:marRight w:val="0"/>
              <w:marTop w:val="0"/>
              <w:marBottom w:val="0"/>
              <w:divBdr>
                <w:top w:val="none" w:sz="0" w:space="0" w:color="auto"/>
                <w:left w:val="none" w:sz="0" w:space="0" w:color="auto"/>
                <w:bottom w:val="none" w:sz="0" w:space="0" w:color="auto"/>
                <w:right w:val="none" w:sz="0" w:space="0" w:color="auto"/>
              </w:divBdr>
            </w:div>
            <w:div w:id="1184520277">
              <w:marLeft w:val="0"/>
              <w:marRight w:val="0"/>
              <w:marTop w:val="0"/>
              <w:marBottom w:val="0"/>
              <w:divBdr>
                <w:top w:val="none" w:sz="0" w:space="0" w:color="auto"/>
                <w:left w:val="none" w:sz="0" w:space="0" w:color="auto"/>
                <w:bottom w:val="none" w:sz="0" w:space="0" w:color="auto"/>
                <w:right w:val="none" w:sz="0" w:space="0" w:color="auto"/>
              </w:divBdr>
            </w:div>
            <w:div w:id="1329552552">
              <w:marLeft w:val="0"/>
              <w:marRight w:val="0"/>
              <w:marTop w:val="0"/>
              <w:marBottom w:val="0"/>
              <w:divBdr>
                <w:top w:val="none" w:sz="0" w:space="0" w:color="auto"/>
                <w:left w:val="none" w:sz="0" w:space="0" w:color="auto"/>
                <w:bottom w:val="none" w:sz="0" w:space="0" w:color="auto"/>
                <w:right w:val="none" w:sz="0" w:space="0" w:color="auto"/>
              </w:divBdr>
            </w:div>
            <w:div w:id="841552706">
              <w:marLeft w:val="0"/>
              <w:marRight w:val="0"/>
              <w:marTop w:val="0"/>
              <w:marBottom w:val="0"/>
              <w:divBdr>
                <w:top w:val="none" w:sz="0" w:space="0" w:color="auto"/>
                <w:left w:val="none" w:sz="0" w:space="0" w:color="auto"/>
                <w:bottom w:val="none" w:sz="0" w:space="0" w:color="auto"/>
                <w:right w:val="none" w:sz="0" w:space="0" w:color="auto"/>
              </w:divBdr>
            </w:div>
            <w:div w:id="1273396780">
              <w:marLeft w:val="0"/>
              <w:marRight w:val="0"/>
              <w:marTop w:val="0"/>
              <w:marBottom w:val="0"/>
              <w:divBdr>
                <w:top w:val="none" w:sz="0" w:space="0" w:color="auto"/>
                <w:left w:val="none" w:sz="0" w:space="0" w:color="auto"/>
                <w:bottom w:val="none" w:sz="0" w:space="0" w:color="auto"/>
                <w:right w:val="none" w:sz="0" w:space="0" w:color="auto"/>
              </w:divBdr>
            </w:div>
            <w:div w:id="472254540">
              <w:marLeft w:val="0"/>
              <w:marRight w:val="0"/>
              <w:marTop w:val="0"/>
              <w:marBottom w:val="0"/>
              <w:divBdr>
                <w:top w:val="none" w:sz="0" w:space="0" w:color="auto"/>
                <w:left w:val="none" w:sz="0" w:space="0" w:color="auto"/>
                <w:bottom w:val="none" w:sz="0" w:space="0" w:color="auto"/>
                <w:right w:val="none" w:sz="0" w:space="0" w:color="auto"/>
              </w:divBdr>
            </w:div>
            <w:div w:id="1607302978">
              <w:marLeft w:val="0"/>
              <w:marRight w:val="0"/>
              <w:marTop w:val="0"/>
              <w:marBottom w:val="0"/>
              <w:divBdr>
                <w:top w:val="none" w:sz="0" w:space="0" w:color="auto"/>
                <w:left w:val="none" w:sz="0" w:space="0" w:color="auto"/>
                <w:bottom w:val="none" w:sz="0" w:space="0" w:color="auto"/>
                <w:right w:val="none" w:sz="0" w:space="0" w:color="auto"/>
              </w:divBdr>
            </w:div>
            <w:div w:id="733628791">
              <w:marLeft w:val="0"/>
              <w:marRight w:val="0"/>
              <w:marTop w:val="0"/>
              <w:marBottom w:val="0"/>
              <w:divBdr>
                <w:top w:val="none" w:sz="0" w:space="0" w:color="auto"/>
                <w:left w:val="none" w:sz="0" w:space="0" w:color="auto"/>
                <w:bottom w:val="none" w:sz="0" w:space="0" w:color="auto"/>
                <w:right w:val="none" w:sz="0" w:space="0" w:color="auto"/>
              </w:divBdr>
            </w:div>
            <w:div w:id="2089156771">
              <w:marLeft w:val="0"/>
              <w:marRight w:val="0"/>
              <w:marTop w:val="0"/>
              <w:marBottom w:val="0"/>
              <w:divBdr>
                <w:top w:val="none" w:sz="0" w:space="0" w:color="auto"/>
                <w:left w:val="none" w:sz="0" w:space="0" w:color="auto"/>
                <w:bottom w:val="none" w:sz="0" w:space="0" w:color="auto"/>
                <w:right w:val="none" w:sz="0" w:space="0" w:color="auto"/>
              </w:divBdr>
            </w:div>
            <w:div w:id="2055932753">
              <w:marLeft w:val="0"/>
              <w:marRight w:val="0"/>
              <w:marTop w:val="0"/>
              <w:marBottom w:val="0"/>
              <w:divBdr>
                <w:top w:val="none" w:sz="0" w:space="0" w:color="auto"/>
                <w:left w:val="none" w:sz="0" w:space="0" w:color="auto"/>
                <w:bottom w:val="none" w:sz="0" w:space="0" w:color="auto"/>
                <w:right w:val="none" w:sz="0" w:space="0" w:color="auto"/>
              </w:divBdr>
            </w:div>
            <w:div w:id="687409149">
              <w:marLeft w:val="0"/>
              <w:marRight w:val="0"/>
              <w:marTop w:val="0"/>
              <w:marBottom w:val="0"/>
              <w:divBdr>
                <w:top w:val="none" w:sz="0" w:space="0" w:color="auto"/>
                <w:left w:val="none" w:sz="0" w:space="0" w:color="auto"/>
                <w:bottom w:val="none" w:sz="0" w:space="0" w:color="auto"/>
                <w:right w:val="none" w:sz="0" w:space="0" w:color="auto"/>
              </w:divBdr>
            </w:div>
            <w:div w:id="68816022">
              <w:marLeft w:val="0"/>
              <w:marRight w:val="0"/>
              <w:marTop w:val="0"/>
              <w:marBottom w:val="0"/>
              <w:divBdr>
                <w:top w:val="none" w:sz="0" w:space="0" w:color="auto"/>
                <w:left w:val="none" w:sz="0" w:space="0" w:color="auto"/>
                <w:bottom w:val="none" w:sz="0" w:space="0" w:color="auto"/>
                <w:right w:val="none" w:sz="0" w:space="0" w:color="auto"/>
              </w:divBdr>
            </w:div>
            <w:div w:id="168016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90CAA-D4B2-46C5-A4DA-F696BC358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2195</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2024-07-11T18:32:00Z</dcterms:created>
  <dcterms:modified xsi:type="dcterms:W3CDTF">2024-08-19T20:02:00Z</dcterms:modified>
</cp:coreProperties>
</file>