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6E0D601C" w14:textId="6766AA3F" w:rsidR="00121CE6" w:rsidRPr="000264A1" w:rsidRDefault="00121CE6" w:rsidP="000264A1">
      <w:pPr>
        <w:jc w:val="center"/>
        <w:rPr>
          <w:rStyle w:val="Strong"/>
          <w:rFonts w:ascii="Arial" w:hAnsi="Arial" w:cs="Arial"/>
          <w:color w:val="1D2125"/>
          <w:sz w:val="36"/>
          <w:szCs w:val="36"/>
        </w:rPr>
      </w:pPr>
      <w:r w:rsidRPr="00121CE6">
        <w:rPr>
          <w:rStyle w:val="Strong"/>
          <w:rFonts w:ascii="Arial" w:hAnsi="Arial" w:cs="Arial"/>
          <w:color w:val="1D2125"/>
          <w:sz w:val="36"/>
          <w:szCs w:val="36"/>
        </w:rPr>
        <w:t>Schizophrenia</w:t>
      </w:r>
    </w:p>
    <w:p w14:paraId="2A88E453"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121CE6">
      <w:pP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53F09844"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name </w:t>
      </w:r>
      <w:r w:rsidR="003858B6">
        <w:rPr>
          <w:rStyle w:val="Strong"/>
          <w:rFonts w:ascii="Arial" w:hAnsi="Arial" w:cs="Arial"/>
          <w:color w:val="1D2125"/>
          <w:sz w:val="32"/>
          <w:szCs w:val="32"/>
        </w:rPr>
        <w:t>: VENISHA HENRY</w:t>
      </w:r>
    </w:p>
    <w:p w14:paraId="3F25C99D" w14:textId="071B2EC1" w:rsid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number </w:t>
      </w:r>
      <w:r w:rsidR="003858B6">
        <w:rPr>
          <w:rStyle w:val="Strong"/>
          <w:rFonts w:ascii="Arial" w:hAnsi="Arial" w:cs="Arial"/>
          <w:color w:val="1D2125"/>
          <w:sz w:val="32"/>
          <w:szCs w:val="32"/>
        </w:rPr>
        <w:t>: 2316686</w:t>
      </w:r>
    </w:p>
    <w:p w14:paraId="2B36ACC2" w14:textId="2DD4D784" w:rsidR="008F6671" w:rsidRPr="000264A1" w:rsidRDefault="008F6671" w:rsidP="000264A1">
      <w:pPr>
        <w:rPr>
          <w:rStyle w:val="Strong"/>
          <w:rFonts w:ascii="Arial" w:hAnsi="Arial" w:cs="Arial"/>
          <w:color w:val="1D2125"/>
          <w:sz w:val="32"/>
          <w:szCs w:val="32"/>
        </w:rPr>
      </w:pPr>
      <w:r>
        <w:rPr>
          <w:rStyle w:val="Strong"/>
          <w:rFonts w:ascii="Arial" w:hAnsi="Arial" w:cs="Arial"/>
          <w:color w:val="1D2125"/>
          <w:sz w:val="32"/>
          <w:szCs w:val="32"/>
        </w:rPr>
        <w:t xml:space="preserve">Word Count: </w:t>
      </w:r>
      <w:r w:rsidR="00190CAA">
        <w:rPr>
          <w:rStyle w:val="Strong"/>
          <w:rFonts w:ascii="Arial" w:hAnsi="Arial" w:cs="Arial"/>
          <w:color w:val="1D2125"/>
          <w:sz w:val="32"/>
          <w:szCs w:val="32"/>
        </w:rPr>
        <w:t>2175</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6A0992FF" w14:textId="77777777" w:rsidR="00BF63E3" w:rsidRDefault="00BF63E3" w:rsidP="000264A1">
      <w:pPr>
        <w:rPr>
          <w:rFonts w:ascii="Arial" w:hAnsi="Arial" w:cs="Arial"/>
          <w:sz w:val="36"/>
          <w:szCs w:val="36"/>
        </w:rPr>
      </w:pPr>
    </w:p>
    <w:p w14:paraId="5761268B" w14:textId="77777777" w:rsidR="00BF63E3" w:rsidRDefault="00BF63E3" w:rsidP="000264A1">
      <w:pPr>
        <w:rPr>
          <w:rFonts w:ascii="Arial" w:hAnsi="Arial" w:cs="Arial"/>
          <w:sz w:val="36"/>
          <w:szCs w:val="36"/>
        </w:rPr>
      </w:pPr>
    </w:p>
    <w:p w14:paraId="263C4CDF" w14:textId="77777777" w:rsidR="00BF63E3" w:rsidRDefault="00BF63E3" w:rsidP="000264A1">
      <w:pPr>
        <w:rPr>
          <w:rFonts w:ascii="Arial" w:hAnsi="Arial" w:cs="Arial"/>
          <w:sz w:val="36"/>
          <w:szCs w:val="36"/>
        </w:rPr>
      </w:pPr>
    </w:p>
    <w:p w14:paraId="12B968B6" w14:textId="77777777" w:rsidR="00BF63E3" w:rsidRDefault="00BF63E3" w:rsidP="000264A1">
      <w:pPr>
        <w:rPr>
          <w:rFonts w:ascii="Arial" w:hAnsi="Arial" w:cs="Arial"/>
          <w:sz w:val="36"/>
          <w:szCs w:val="36"/>
        </w:rPr>
      </w:pPr>
    </w:p>
    <w:p w14:paraId="174F9AFE" w14:textId="77777777" w:rsidR="00BF63E3" w:rsidRDefault="00BF63E3" w:rsidP="000264A1">
      <w:pPr>
        <w:rPr>
          <w:rFonts w:ascii="Arial" w:hAnsi="Arial" w:cs="Arial"/>
          <w:sz w:val="36"/>
          <w:szCs w:val="36"/>
        </w:rPr>
      </w:pPr>
    </w:p>
    <w:p w14:paraId="03757F65" w14:textId="25C529E3" w:rsidR="000560D1" w:rsidRPr="00121CE6" w:rsidRDefault="000560D1" w:rsidP="00BF63E3">
      <w:pPr>
        <w:pStyle w:val="NormalWeb"/>
        <w:rPr>
          <w:rFonts w:ascii="Arial" w:hAnsi="Arial" w:cs="Arial"/>
          <w:b/>
          <w:bCs/>
          <w:color w:val="000000"/>
          <w:sz w:val="34"/>
          <w:szCs w:val="34"/>
        </w:rPr>
      </w:pPr>
      <w:r w:rsidRPr="00121CE6">
        <w:rPr>
          <w:rFonts w:ascii="Arial" w:hAnsi="Arial" w:cs="Arial"/>
          <w:b/>
          <w:bCs/>
          <w:color w:val="000000"/>
          <w:sz w:val="34"/>
          <w:szCs w:val="34"/>
        </w:rPr>
        <w:lastRenderedPageBreak/>
        <w:t>Table of Content                                                        Page</w:t>
      </w:r>
    </w:p>
    <w:p w14:paraId="4E144B7D" w14:textId="77777777" w:rsidR="000560D1" w:rsidRDefault="000560D1" w:rsidP="00BF63E3">
      <w:pPr>
        <w:pStyle w:val="NormalWeb"/>
        <w:rPr>
          <w:rFonts w:ascii="Arial" w:hAnsi="Arial" w:cs="Arial"/>
          <w:b/>
          <w:bCs/>
          <w:color w:val="000000"/>
          <w:sz w:val="30"/>
          <w:szCs w:val="30"/>
        </w:rPr>
      </w:pPr>
    </w:p>
    <w:p w14:paraId="3C3F8EDD" w14:textId="77777777" w:rsidR="00121CE6" w:rsidRDefault="00121CE6" w:rsidP="00BF63E3">
      <w:pPr>
        <w:pStyle w:val="NormalWeb"/>
        <w:rPr>
          <w:rFonts w:ascii="Arial" w:hAnsi="Arial" w:cs="Arial"/>
          <w:b/>
          <w:bCs/>
          <w:color w:val="000000"/>
          <w:sz w:val="30"/>
          <w:szCs w:val="30"/>
        </w:rPr>
      </w:pPr>
    </w:p>
    <w:p w14:paraId="79F07615" w14:textId="77777777" w:rsidR="00121CE6" w:rsidRDefault="00121CE6" w:rsidP="00BF63E3">
      <w:pPr>
        <w:pStyle w:val="NormalWeb"/>
        <w:rPr>
          <w:rFonts w:ascii="Arial" w:hAnsi="Arial" w:cs="Arial"/>
          <w:b/>
          <w:bCs/>
          <w:color w:val="000000"/>
          <w:sz w:val="30"/>
          <w:szCs w:val="30"/>
        </w:rPr>
      </w:pPr>
    </w:p>
    <w:p w14:paraId="599DA0B2" w14:textId="3C7E7452" w:rsidR="00BF63E3" w:rsidRDefault="00BF63E3" w:rsidP="00BF63E3">
      <w:pPr>
        <w:pStyle w:val="NormalWeb"/>
        <w:rPr>
          <w:rFonts w:ascii="Arial" w:hAnsi="Arial" w:cs="Arial"/>
          <w:b/>
          <w:bCs/>
          <w:color w:val="000000"/>
          <w:sz w:val="30"/>
          <w:szCs w:val="30"/>
        </w:rPr>
      </w:pPr>
      <w:r w:rsidRPr="00BF63E3">
        <w:rPr>
          <w:rFonts w:ascii="Arial" w:hAnsi="Arial" w:cs="Arial"/>
          <w:b/>
          <w:bCs/>
          <w:color w:val="000000"/>
          <w:sz w:val="30"/>
          <w:szCs w:val="30"/>
        </w:rPr>
        <w:t>Introduction</w:t>
      </w:r>
      <w:r w:rsidR="00190CAA">
        <w:rPr>
          <w:rFonts w:ascii="Arial" w:hAnsi="Arial" w:cs="Arial"/>
          <w:b/>
          <w:bCs/>
          <w:color w:val="000000"/>
          <w:sz w:val="30"/>
          <w:szCs w:val="30"/>
        </w:rPr>
        <w:t xml:space="preserve">                                                                              3</w:t>
      </w:r>
    </w:p>
    <w:p w14:paraId="2897A8DF" w14:textId="7B94323E" w:rsidR="00BF63E3" w:rsidRPr="00BF63E3" w:rsidRDefault="00BF63E3" w:rsidP="00BF63E3">
      <w:pPr>
        <w:pStyle w:val="NormalWeb"/>
        <w:rPr>
          <w:rFonts w:ascii="Arial" w:hAnsi="Arial" w:cs="Arial"/>
          <w:b/>
          <w:bCs/>
          <w:color w:val="000000"/>
          <w:sz w:val="30"/>
          <w:szCs w:val="30"/>
        </w:rPr>
      </w:pPr>
      <w:r w:rsidRPr="00BF63E3">
        <w:rPr>
          <w:rFonts w:ascii="Arial" w:hAnsi="Arial" w:cs="Arial"/>
          <w:b/>
          <w:bCs/>
          <w:color w:val="000000"/>
          <w:sz w:val="30"/>
          <w:szCs w:val="30"/>
        </w:rPr>
        <w:t>Classification and Diagnosis</w:t>
      </w:r>
      <w:r w:rsidR="00190CAA">
        <w:rPr>
          <w:rFonts w:ascii="Arial" w:hAnsi="Arial" w:cs="Arial"/>
          <w:b/>
          <w:bCs/>
          <w:color w:val="000000"/>
          <w:sz w:val="30"/>
          <w:szCs w:val="30"/>
        </w:rPr>
        <w:t xml:space="preserve">                                                  3</w:t>
      </w:r>
    </w:p>
    <w:p w14:paraId="20A65856" w14:textId="7E7B372F" w:rsidR="00BF63E3" w:rsidRDefault="00976566" w:rsidP="00976566">
      <w:pPr>
        <w:spacing w:before="100" w:beforeAutospacing="1" w:after="100" w:afterAutospacing="1" w:line="240" w:lineRule="auto"/>
        <w:rPr>
          <w:rFonts w:ascii="Arial" w:eastAsia="Times New Roman" w:hAnsi="Arial" w:cs="Arial"/>
          <w:b/>
          <w:bCs/>
          <w:kern w:val="0"/>
          <w:sz w:val="30"/>
          <w:szCs w:val="30"/>
          <w:lang w:eastAsia="en-GB"/>
          <w14:ligatures w14:val="none"/>
        </w:rPr>
      </w:pPr>
      <w:r w:rsidRPr="00BF63E3">
        <w:rPr>
          <w:rFonts w:ascii="Arial" w:eastAsia="Times New Roman" w:hAnsi="Arial" w:cs="Arial"/>
          <w:b/>
          <w:bCs/>
          <w:kern w:val="0"/>
          <w:sz w:val="30"/>
          <w:szCs w:val="30"/>
          <w:lang w:eastAsia="en-GB"/>
          <w14:ligatures w14:val="none"/>
        </w:rPr>
        <w:t>Standard Treatment Approaches</w:t>
      </w:r>
      <w:r w:rsidR="00190CAA">
        <w:rPr>
          <w:rFonts w:ascii="Arial" w:eastAsia="Times New Roman" w:hAnsi="Arial" w:cs="Arial"/>
          <w:b/>
          <w:bCs/>
          <w:kern w:val="0"/>
          <w:sz w:val="30"/>
          <w:szCs w:val="30"/>
          <w:lang w:eastAsia="en-GB"/>
          <w14:ligatures w14:val="none"/>
        </w:rPr>
        <w:t xml:space="preserve">                                           4</w:t>
      </w:r>
    </w:p>
    <w:p w14:paraId="2CED81F5" w14:textId="04F0F31E" w:rsidR="00976566" w:rsidRPr="00BF63E3" w:rsidRDefault="00976566" w:rsidP="00976566">
      <w:pPr>
        <w:spacing w:before="100" w:beforeAutospacing="1" w:after="100" w:afterAutospacing="1" w:line="240" w:lineRule="auto"/>
        <w:outlineLvl w:val="1"/>
        <w:rPr>
          <w:rFonts w:ascii="Arial" w:eastAsia="Times New Roman" w:hAnsi="Arial" w:cs="Arial"/>
          <w:b/>
          <w:bCs/>
          <w:kern w:val="0"/>
          <w:sz w:val="30"/>
          <w:szCs w:val="30"/>
          <w:lang w:eastAsia="en-GB"/>
          <w14:ligatures w14:val="none"/>
        </w:rPr>
      </w:pPr>
      <w:r w:rsidRPr="00BF63E3">
        <w:rPr>
          <w:rFonts w:ascii="Arial" w:eastAsia="Times New Roman" w:hAnsi="Arial" w:cs="Arial"/>
          <w:b/>
          <w:bCs/>
          <w:kern w:val="0"/>
          <w:sz w:val="30"/>
          <w:szCs w:val="30"/>
          <w:lang w:eastAsia="en-GB"/>
          <w14:ligatures w14:val="none"/>
        </w:rPr>
        <w:t>Rehabilitation in ICD</w:t>
      </w:r>
      <w:r w:rsidRPr="00BF63E3">
        <w:rPr>
          <w:rFonts w:ascii="Arial" w:eastAsia="Times New Roman" w:hAnsi="Arial" w:cs="Arial"/>
          <w:b/>
          <w:bCs/>
          <w:kern w:val="0"/>
          <w:sz w:val="30"/>
          <w:szCs w:val="30"/>
          <w:lang w:eastAsia="en-GB"/>
          <w14:ligatures w14:val="none"/>
        </w:rPr>
        <w:noBreakHyphen/>
        <w:t xml:space="preserve">11 </w:t>
      </w:r>
      <w:r w:rsidR="00190CAA">
        <w:rPr>
          <w:rFonts w:ascii="Arial" w:eastAsia="Times New Roman" w:hAnsi="Arial" w:cs="Arial"/>
          <w:b/>
          <w:bCs/>
          <w:kern w:val="0"/>
          <w:sz w:val="30"/>
          <w:szCs w:val="30"/>
          <w:lang w:eastAsia="en-GB"/>
          <w14:ligatures w14:val="none"/>
        </w:rPr>
        <w:t xml:space="preserve">                                                          4</w:t>
      </w:r>
    </w:p>
    <w:p w14:paraId="4D2627CB" w14:textId="6D1E62F2" w:rsidR="00976566" w:rsidRPr="00976566" w:rsidRDefault="00976566" w:rsidP="00976566">
      <w:pPr>
        <w:spacing w:before="100" w:beforeAutospacing="1" w:after="100" w:afterAutospacing="1" w:line="240" w:lineRule="auto"/>
        <w:rPr>
          <w:rFonts w:ascii="Arial" w:eastAsia="Times New Roman" w:hAnsi="Arial" w:cs="Arial"/>
          <w:b/>
          <w:bCs/>
          <w:kern w:val="0"/>
          <w:lang w:eastAsia="en-GB"/>
          <w14:ligatures w14:val="none"/>
        </w:rPr>
      </w:pPr>
      <w:r w:rsidRPr="00976566">
        <w:rPr>
          <w:rFonts w:ascii="Arial" w:eastAsia="Times New Roman" w:hAnsi="Arial" w:cs="Arial"/>
          <w:b/>
          <w:bCs/>
          <w:kern w:val="0"/>
          <w:sz w:val="30"/>
          <w:szCs w:val="30"/>
          <w:lang w:eastAsia="en-GB"/>
          <w14:ligatures w14:val="none"/>
        </w:rPr>
        <w:t>Effectiveness and Limitations</w:t>
      </w:r>
      <w:r w:rsidR="00190CAA">
        <w:rPr>
          <w:rFonts w:ascii="Arial" w:eastAsia="Times New Roman" w:hAnsi="Arial" w:cs="Arial"/>
          <w:b/>
          <w:bCs/>
          <w:kern w:val="0"/>
          <w:sz w:val="30"/>
          <w:szCs w:val="30"/>
          <w:lang w:eastAsia="en-GB"/>
          <w14:ligatures w14:val="none"/>
        </w:rPr>
        <w:t xml:space="preserve">                                                 5</w:t>
      </w:r>
    </w:p>
    <w:p w14:paraId="64D45F06" w14:textId="683BF9E8" w:rsidR="00976566" w:rsidRPr="00BF63E3" w:rsidRDefault="00976566" w:rsidP="00976566">
      <w:pPr>
        <w:spacing w:before="100" w:beforeAutospacing="1" w:after="100" w:afterAutospacing="1" w:line="240" w:lineRule="auto"/>
        <w:outlineLvl w:val="1"/>
        <w:rPr>
          <w:rFonts w:ascii="Arial" w:eastAsia="Times New Roman" w:hAnsi="Arial" w:cs="Arial"/>
          <w:b/>
          <w:bCs/>
          <w:kern w:val="0"/>
          <w:sz w:val="30"/>
          <w:szCs w:val="30"/>
          <w:lang w:eastAsia="en-GB"/>
          <w14:ligatures w14:val="none"/>
        </w:rPr>
      </w:pPr>
      <w:r w:rsidRPr="00BF63E3">
        <w:rPr>
          <w:rFonts w:ascii="Arial" w:eastAsia="Times New Roman" w:hAnsi="Arial" w:cs="Arial"/>
          <w:b/>
          <w:bCs/>
          <w:kern w:val="36"/>
          <w:sz w:val="30"/>
          <w:szCs w:val="30"/>
          <w:lang w:eastAsia="en-GB"/>
          <w14:ligatures w14:val="none"/>
        </w:rPr>
        <w:t>Debates About Classification and Treatment</w:t>
      </w:r>
      <w:r w:rsidR="00190CAA">
        <w:rPr>
          <w:rFonts w:ascii="Arial" w:eastAsia="Times New Roman" w:hAnsi="Arial" w:cs="Arial"/>
          <w:b/>
          <w:bCs/>
          <w:kern w:val="36"/>
          <w:sz w:val="30"/>
          <w:szCs w:val="30"/>
          <w:lang w:eastAsia="en-GB"/>
          <w14:ligatures w14:val="none"/>
        </w:rPr>
        <w:t xml:space="preserve">                        5</w:t>
      </w:r>
    </w:p>
    <w:p w14:paraId="2AC18688" w14:textId="4A0B9885" w:rsidR="00976566" w:rsidRPr="00976566" w:rsidRDefault="00976566" w:rsidP="00976566">
      <w:pPr>
        <w:spacing w:before="100" w:beforeAutospacing="1" w:after="100" w:afterAutospacing="1" w:line="240" w:lineRule="auto"/>
        <w:outlineLvl w:val="0"/>
        <w:rPr>
          <w:rFonts w:ascii="Arial" w:eastAsia="Times New Roman" w:hAnsi="Arial" w:cs="Arial"/>
          <w:b/>
          <w:bCs/>
          <w:kern w:val="36"/>
          <w:sz w:val="30"/>
          <w:szCs w:val="30"/>
          <w:lang w:eastAsia="en-GB"/>
          <w14:ligatures w14:val="none"/>
        </w:rPr>
      </w:pPr>
      <w:r w:rsidRPr="00BF63E3">
        <w:rPr>
          <w:rFonts w:ascii="Arial" w:eastAsia="Times New Roman" w:hAnsi="Arial" w:cs="Arial"/>
          <w:b/>
          <w:bCs/>
          <w:kern w:val="36"/>
          <w:sz w:val="30"/>
          <w:szCs w:val="30"/>
          <w:lang w:eastAsia="en-GB"/>
          <w14:ligatures w14:val="none"/>
        </w:rPr>
        <w:t>Impact on Practice and Policy</w:t>
      </w:r>
      <w:r w:rsidR="00190CAA">
        <w:rPr>
          <w:rFonts w:ascii="Arial" w:eastAsia="Times New Roman" w:hAnsi="Arial" w:cs="Arial"/>
          <w:b/>
          <w:bCs/>
          <w:kern w:val="36"/>
          <w:sz w:val="30"/>
          <w:szCs w:val="30"/>
          <w:lang w:eastAsia="en-GB"/>
          <w14:ligatures w14:val="none"/>
        </w:rPr>
        <w:t xml:space="preserve">                                                 6</w:t>
      </w:r>
    </w:p>
    <w:p w14:paraId="3117808B" w14:textId="5474E398" w:rsidR="00BF63E3" w:rsidRPr="00BF63E3" w:rsidRDefault="00BF63E3" w:rsidP="00BF63E3">
      <w:pPr>
        <w:spacing w:before="100" w:beforeAutospacing="1" w:after="100" w:afterAutospacing="1" w:line="240" w:lineRule="auto"/>
        <w:rPr>
          <w:rStyle w:val="apple-converted-space"/>
          <w:rFonts w:ascii="Arial" w:eastAsia="Times New Roman" w:hAnsi="Arial" w:cs="Arial"/>
          <w:b/>
          <w:bCs/>
          <w:kern w:val="0"/>
          <w:lang w:eastAsia="en-GB"/>
          <w14:ligatures w14:val="none"/>
        </w:rPr>
      </w:pPr>
      <w:r w:rsidRPr="00BF63E3">
        <w:rPr>
          <w:rFonts w:ascii="Arial" w:hAnsi="Arial" w:cs="Arial"/>
          <w:b/>
          <w:bCs/>
          <w:color w:val="000000"/>
          <w:sz w:val="30"/>
          <w:szCs w:val="30"/>
        </w:rPr>
        <w:t>Recommendations</w:t>
      </w:r>
      <w:r w:rsidR="00190CAA">
        <w:rPr>
          <w:rFonts w:ascii="Arial" w:hAnsi="Arial" w:cs="Arial"/>
          <w:b/>
          <w:bCs/>
          <w:color w:val="000000"/>
          <w:sz w:val="30"/>
          <w:szCs w:val="30"/>
        </w:rPr>
        <w:t xml:space="preserve">                                                                    7 </w:t>
      </w:r>
    </w:p>
    <w:p w14:paraId="1FA21CEB" w14:textId="42907225" w:rsidR="00976566" w:rsidRDefault="00976566" w:rsidP="00976566">
      <w:pPr>
        <w:spacing w:before="100" w:beforeAutospacing="1" w:after="100" w:afterAutospacing="1" w:line="240" w:lineRule="auto"/>
        <w:rPr>
          <w:rFonts w:ascii="Arial" w:hAnsi="Arial" w:cs="Arial"/>
          <w:b/>
          <w:bCs/>
          <w:color w:val="000000"/>
          <w:sz w:val="30"/>
          <w:szCs w:val="30"/>
        </w:rPr>
      </w:pPr>
      <w:r w:rsidRPr="00BF63E3">
        <w:rPr>
          <w:rFonts w:ascii="Arial" w:hAnsi="Arial" w:cs="Arial"/>
          <w:b/>
          <w:bCs/>
          <w:color w:val="000000"/>
          <w:sz w:val="30"/>
          <w:szCs w:val="30"/>
        </w:rPr>
        <w:t>Conclusion</w:t>
      </w:r>
      <w:r w:rsidR="00190CAA">
        <w:rPr>
          <w:rFonts w:ascii="Arial" w:hAnsi="Arial" w:cs="Arial"/>
          <w:b/>
          <w:bCs/>
          <w:color w:val="000000"/>
          <w:sz w:val="30"/>
          <w:szCs w:val="30"/>
        </w:rPr>
        <w:t xml:space="preserve">                                                                                 7 </w:t>
      </w:r>
    </w:p>
    <w:p w14:paraId="408AEC42" w14:textId="419E41B4" w:rsidR="00190CAA" w:rsidRPr="00BF63E3" w:rsidRDefault="00190CAA" w:rsidP="00976566">
      <w:pPr>
        <w:spacing w:before="100" w:beforeAutospacing="1" w:after="100" w:afterAutospacing="1" w:line="240" w:lineRule="auto"/>
        <w:rPr>
          <w:rFonts w:ascii="Arial" w:eastAsia="Times New Roman" w:hAnsi="Arial" w:cs="Arial"/>
          <w:b/>
          <w:bCs/>
          <w:kern w:val="0"/>
          <w:lang w:eastAsia="en-GB"/>
          <w14:ligatures w14:val="none"/>
        </w:rPr>
      </w:pPr>
      <w:r>
        <w:rPr>
          <w:rFonts w:ascii="Arial" w:hAnsi="Arial" w:cs="Arial"/>
          <w:b/>
          <w:bCs/>
          <w:color w:val="000000"/>
          <w:sz w:val="30"/>
          <w:szCs w:val="30"/>
        </w:rPr>
        <w:t>Reference                                                                                   8</w:t>
      </w:r>
    </w:p>
    <w:p w14:paraId="0172EDC0" w14:textId="77777777" w:rsidR="00BF63E3" w:rsidRDefault="00BF63E3"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1ADC6986" w14:textId="77777777" w:rsidR="00190CAA" w:rsidRDefault="00190CAA" w:rsidP="000264A1">
      <w:pPr>
        <w:rPr>
          <w:rFonts w:ascii="Arial" w:hAnsi="Arial" w:cs="Arial"/>
          <w:sz w:val="36"/>
          <w:szCs w:val="36"/>
        </w:rPr>
      </w:pPr>
    </w:p>
    <w:p w14:paraId="6A00A366" w14:textId="77777777" w:rsidR="00121CE6" w:rsidRDefault="00121CE6" w:rsidP="000264A1">
      <w:pPr>
        <w:rPr>
          <w:rFonts w:ascii="Arial" w:hAnsi="Arial" w:cs="Arial"/>
          <w:sz w:val="36"/>
          <w:szCs w:val="36"/>
        </w:rPr>
      </w:pPr>
    </w:p>
    <w:p w14:paraId="73BA3BCC" w14:textId="77777777" w:rsidR="00121CE6" w:rsidRDefault="00121CE6" w:rsidP="000264A1">
      <w:pPr>
        <w:rPr>
          <w:rFonts w:ascii="Arial" w:hAnsi="Arial" w:cs="Arial"/>
          <w:sz w:val="36"/>
          <w:szCs w:val="36"/>
        </w:rPr>
      </w:pPr>
    </w:p>
    <w:p w14:paraId="4F85E113" w14:textId="77777777" w:rsidR="00121CE6" w:rsidRDefault="00121CE6" w:rsidP="000264A1">
      <w:pPr>
        <w:rPr>
          <w:rFonts w:ascii="Arial" w:hAnsi="Arial" w:cs="Arial"/>
          <w:sz w:val="36"/>
          <w:szCs w:val="36"/>
        </w:rPr>
      </w:pPr>
    </w:p>
    <w:p w14:paraId="68DD10B4" w14:textId="77777777" w:rsidR="00121CE6" w:rsidRDefault="00121CE6" w:rsidP="000264A1">
      <w:pPr>
        <w:rPr>
          <w:rFonts w:ascii="Arial" w:hAnsi="Arial" w:cs="Arial"/>
          <w:sz w:val="36"/>
          <w:szCs w:val="36"/>
        </w:rPr>
      </w:pPr>
    </w:p>
    <w:p w14:paraId="103ED61B" w14:textId="77777777" w:rsidR="00121CE6" w:rsidRDefault="00121CE6" w:rsidP="000264A1">
      <w:pPr>
        <w:rPr>
          <w:rFonts w:ascii="Arial" w:hAnsi="Arial" w:cs="Arial"/>
          <w:sz w:val="36"/>
          <w:szCs w:val="36"/>
        </w:rPr>
      </w:pPr>
    </w:p>
    <w:p w14:paraId="444D15DA" w14:textId="5CA5ACD0" w:rsidR="003E5747" w:rsidRPr="00BF63E3" w:rsidRDefault="00A8424B" w:rsidP="007438AD">
      <w:pPr>
        <w:pStyle w:val="NormalWeb"/>
        <w:rPr>
          <w:rFonts w:ascii="Arial" w:hAnsi="Arial" w:cs="Arial"/>
          <w:b/>
          <w:bCs/>
          <w:color w:val="000000"/>
          <w:sz w:val="30"/>
          <w:szCs w:val="30"/>
        </w:rPr>
      </w:pPr>
      <w:r w:rsidRPr="00BF63E3">
        <w:rPr>
          <w:rFonts w:ascii="Arial" w:hAnsi="Arial" w:cs="Arial"/>
          <w:b/>
          <w:bCs/>
          <w:color w:val="000000"/>
          <w:sz w:val="30"/>
          <w:szCs w:val="30"/>
        </w:rPr>
        <w:lastRenderedPageBreak/>
        <w:t>I</w:t>
      </w:r>
      <w:r w:rsidR="00AC0D1C" w:rsidRPr="00BF63E3">
        <w:rPr>
          <w:rFonts w:ascii="Arial" w:hAnsi="Arial" w:cs="Arial"/>
          <w:b/>
          <w:bCs/>
          <w:color w:val="000000"/>
          <w:sz w:val="30"/>
          <w:szCs w:val="30"/>
        </w:rPr>
        <w:t>ntroduction</w:t>
      </w:r>
    </w:p>
    <w:p w14:paraId="5921A5C2" w14:textId="74C5CF86" w:rsidR="00A8424B" w:rsidRPr="000E24A7" w:rsidRDefault="007438AD" w:rsidP="008A6D32">
      <w:pPr>
        <w:pStyle w:val="NormalWeb"/>
        <w:rPr>
          <w:rFonts w:ascii="Arial" w:hAnsi="Arial" w:cs="Arial"/>
          <w:sz w:val="22"/>
          <w:szCs w:val="22"/>
        </w:rPr>
      </w:pPr>
      <w:r w:rsidRPr="0065261B">
        <w:rPr>
          <w:rFonts w:ascii="Arial" w:hAnsi="Arial" w:cs="Arial"/>
          <w:sz w:val="22"/>
          <w:szCs w:val="22"/>
        </w:rPr>
        <w:t>Schizophrenia is not only a clinical diagnosis but a deeply human experience that can change the way a person understands themselves and the world around them. For many individuals, it begins quietly in adolescence or early adulthood. Hallucinations, confused thoughts, or overwhelming fears can gradually disrupt everyday life, affecting relationships, education, and the ability to feel secure in one’s own mind.</w:t>
      </w:r>
      <w:r w:rsidR="00573811">
        <w:rPr>
          <w:rFonts w:ascii="Arial" w:hAnsi="Arial" w:cs="Arial"/>
          <w:sz w:val="22"/>
          <w:szCs w:val="22"/>
        </w:rPr>
        <w:t xml:space="preserve"> </w:t>
      </w:r>
      <w:r w:rsidRPr="0065261B">
        <w:rPr>
          <w:rFonts w:ascii="Arial" w:hAnsi="Arial" w:cs="Arial"/>
          <w:sz w:val="22"/>
          <w:szCs w:val="22"/>
        </w:rPr>
        <w:t>Despite its seriousness, schizophrenia is often misunderstood. People living with the condition continue to face stigma, misrepresentation, and delays in receiving support. Yet with the right combination of treatment, psychological support, and stable social networks, many individuals can live fulfilling and meaningful lives.</w:t>
      </w:r>
      <w:r w:rsidR="00573811">
        <w:rPr>
          <w:rFonts w:ascii="Arial" w:hAnsi="Arial" w:cs="Arial"/>
          <w:sz w:val="22"/>
          <w:szCs w:val="22"/>
        </w:rPr>
        <w:t xml:space="preserve"> </w:t>
      </w:r>
      <w:r w:rsidRPr="0065261B">
        <w:rPr>
          <w:rFonts w:ascii="Arial" w:hAnsi="Arial" w:cs="Arial"/>
          <w:sz w:val="22"/>
          <w:szCs w:val="22"/>
        </w:rPr>
        <w:t>Understanding schizophrenia therefore requires more than listing symptoms; it involves recognising the social, emotional, and personal realities that shape each person’s journey. This report explores how schizophrenia is classified and diagnosed, its symptoms and likely causes, approaches to treatment, current debates within the field, and recommendations for improving practice and outcomes for those affected.</w:t>
      </w:r>
    </w:p>
    <w:p w14:paraId="5E65BD3A" w14:textId="77777777" w:rsidR="00A8424B" w:rsidRPr="0065261B" w:rsidRDefault="00A8424B" w:rsidP="008A6D32">
      <w:pPr>
        <w:pStyle w:val="NormalWeb"/>
        <w:rPr>
          <w:rFonts w:ascii="Arial" w:hAnsi="Arial" w:cs="Arial"/>
          <w:color w:val="000000"/>
        </w:rPr>
      </w:pPr>
    </w:p>
    <w:p w14:paraId="0FF7E3F9" w14:textId="58960D3D" w:rsidR="00904740" w:rsidRPr="00BF63E3" w:rsidRDefault="008A6D32" w:rsidP="008A6D32">
      <w:pPr>
        <w:pStyle w:val="NormalWeb"/>
        <w:rPr>
          <w:rFonts w:ascii="Arial" w:hAnsi="Arial" w:cs="Arial"/>
          <w:b/>
          <w:bCs/>
          <w:color w:val="000000"/>
          <w:sz w:val="30"/>
          <w:szCs w:val="30"/>
        </w:rPr>
      </w:pPr>
      <w:r w:rsidRPr="00BF63E3">
        <w:rPr>
          <w:rFonts w:ascii="Arial" w:hAnsi="Arial" w:cs="Arial"/>
          <w:b/>
          <w:bCs/>
          <w:color w:val="000000"/>
          <w:sz w:val="30"/>
          <w:szCs w:val="30"/>
        </w:rPr>
        <w:t>Classification and Diagnosis</w:t>
      </w:r>
    </w:p>
    <w:p w14:paraId="07D58CE3" w14:textId="574E03C7" w:rsidR="00C952C6" w:rsidRDefault="006F5641" w:rsidP="00C952C6">
      <w:pPr>
        <w:spacing w:before="100" w:beforeAutospacing="1" w:after="100" w:afterAutospacing="1" w:line="240" w:lineRule="auto"/>
        <w:rPr>
          <w:rFonts w:ascii="Arial" w:eastAsia="Times New Roman" w:hAnsi="Arial" w:cs="Arial"/>
          <w:kern w:val="0"/>
          <w:sz w:val="22"/>
          <w:szCs w:val="22"/>
          <w:lang w:eastAsia="en-GB"/>
          <w14:ligatures w14:val="none"/>
        </w:rPr>
      </w:pPr>
      <w:r w:rsidRPr="007E7B24">
        <w:rPr>
          <w:rFonts w:ascii="Arial" w:eastAsia="Times New Roman" w:hAnsi="Arial" w:cs="Arial"/>
          <w:kern w:val="0"/>
          <w:sz w:val="22"/>
          <w:szCs w:val="22"/>
          <w:lang w:eastAsia="en-GB"/>
          <w14:ligatures w14:val="none"/>
        </w:rPr>
        <w:t xml:space="preserve">In the ICD-11, schizophrenia is classified as a primary psychotic disorder, coded as 6A20, within the group “Schizophrenia or other primary psychotic disorders” (World Health Organization, 2022). The ICD-11 removes the older subtypes used in previous versions, reflecting research showing that these categories lacked stability and did not help clinicians predict outcomes or plan treatment (Kendler, 2016). Instead, schizophrenia is now treated as a single disorder with diverse symptom patterns, recognising that people experience psychosis differently across time and context (van </w:t>
      </w:r>
      <w:proofErr w:type="spellStart"/>
      <w:r w:rsidRPr="007E7B24">
        <w:rPr>
          <w:rFonts w:ascii="Arial" w:eastAsia="Times New Roman" w:hAnsi="Arial" w:cs="Arial"/>
          <w:kern w:val="0"/>
          <w:sz w:val="22"/>
          <w:szCs w:val="22"/>
          <w:lang w:eastAsia="en-GB"/>
          <w14:ligatures w14:val="none"/>
        </w:rPr>
        <w:t>Os</w:t>
      </w:r>
      <w:proofErr w:type="spellEnd"/>
      <w:r w:rsidRPr="007E7B24">
        <w:rPr>
          <w:rFonts w:ascii="Arial" w:eastAsia="Times New Roman" w:hAnsi="Arial" w:cs="Arial"/>
          <w:kern w:val="0"/>
          <w:sz w:val="22"/>
          <w:szCs w:val="22"/>
          <w:lang w:eastAsia="en-GB"/>
          <w14:ligatures w14:val="none"/>
        </w:rPr>
        <w:t xml:space="preserve"> and </w:t>
      </w:r>
      <w:proofErr w:type="spellStart"/>
      <w:r w:rsidRPr="007E7B24">
        <w:rPr>
          <w:rFonts w:ascii="Arial" w:eastAsia="Times New Roman" w:hAnsi="Arial" w:cs="Arial"/>
          <w:kern w:val="0"/>
          <w:sz w:val="22"/>
          <w:szCs w:val="22"/>
          <w:lang w:eastAsia="en-GB"/>
          <w14:ligatures w14:val="none"/>
        </w:rPr>
        <w:t>Reininghaus</w:t>
      </w:r>
      <w:proofErr w:type="spellEnd"/>
      <w:r w:rsidRPr="007E7B24">
        <w:rPr>
          <w:rFonts w:ascii="Arial" w:eastAsia="Times New Roman" w:hAnsi="Arial" w:cs="Arial"/>
          <w:kern w:val="0"/>
          <w:sz w:val="22"/>
          <w:szCs w:val="22"/>
          <w:lang w:eastAsia="en-GB"/>
          <w14:ligatures w14:val="none"/>
        </w:rPr>
        <w:t>, 2016)</w:t>
      </w:r>
      <w:r w:rsidR="002C331B"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The ICD-11 consistently uses the term “disorder”, maintaining a clinical framing while allowing enough flexibility to capture the lived experience of individuals whose symptoms do not fit neatly into rigid categories (World Health Organization, 2022).</w:t>
      </w:r>
      <w:r w:rsidR="002C331B"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The ICD-11 requires at least one core psychotic symptom</w:t>
      </w:r>
      <w:r w:rsidR="001B1BD1"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such as hallucinations, delusions, disorganised thinking, disorganised behaviour, or negative symptoms</w:t>
      </w:r>
      <w:r w:rsidR="001B1BD1"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 xml:space="preserve">lasting </w:t>
      </w:r>
      <w:r w:rsidR="00142ED0">
        <w:rPr>
          <w:rFonts w:ascii="Arial" w:eastAsia="Times New Roman" w:hAnsi="Arial" w:cs="Arial"/>
          <w:kern w:val="0"/>
          <w:sz w:val="22"/>
          <w:szCs w:val="22"/>
          <w:lang w:eastAsia="en-GB"/>
          <w14:ligatures w14:val="none"/>
        </w:rPr>
        <w:t xml:space="preserve">4 </w:t>
      </w:r>
      <w:r w:rsidR="001B1BD1" w:rsidRPr="007E7B24">
        <w:rPr>
          <w:rFonts w:ascii="Arial" w:eastAsia="Times New Roman" w:hAnsi="Arial" w:cs="Arial"/>
          <w:kern w:val="0"/>
          <w:sz w:val="22"/>
          <w:szCs w:val="22"/>
          <w:lang w:eastAsia="en-GB"/>
          <w14:ligatures w14:val="none"/>
        </w:rPr>
        <w:t>weeks</w:t>
      </w:r>
      <w:r w:rsidRPr="007E7B24">
        <w:rPr>
          <w:rFonts w:ascii="Arial" w:eastAsia="Times New Roman" w:hAnsi="Arial" w:cs="Arial"/>
          <w:kern w:val="0"/>
          <w:sz w:val="22"/>
          <w:szCs w:val="22"/>
          <w:lang w:eastAsia="en-GB"/>
          <w14:ligatures w14:val="none"/>
        </w:rPr>
        <w:t xml:space="preserve"> or longer, with significant disruption to everyday functioning (World Health Organization, 2022). These criteria acknowledge that symptoms often develop gradually and can deeply affect a person’s relationships, sense of identity, and ability to engage in daily activities.</w:t>
      </w:r>
      <w:r w:rsidR="002C331B"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ICD-11 also introduces a dimensional assessment approach, encouraging clinicians to consider severity across multiple symptom domains. This aligns with recent research showing that schizophrenia is best understood as a spectrum rather than a fixed category (Tandon et al., 2020). The dimensional model supports a more individualised understanding of the condition and helps ensure treatment reflects the complexity of the person’s experience.</w:t>
      </w:r>
      <w:r w:rsidR="005F65B8"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Diagnosing schizophrenia requires a comprehensive clinical assessment that goes beyond identifying symptoms. Clinicians typically conduct detailed interviews and a Mental State Examination to understand thought patterns, emotional expression, behaviour, and functioning (</w:t>
      </w:r>
      <w:proofErr w:type="spellStart"/>
      <w:r w:rsidRPr="007E7B24">
        <w:rPr>
          <w:rFonts w:ascii="Arial" w:eastAsia="Times New Roman" w:hAnsi="Arial" w:cs="Arial"/>
          <w:kern w:val="0"/>
          <w:sz w:val="22"/>
          <w:szCs w:val="22"/>
          <w:lang w:eastAsia="en-GB"/>
          <w14:ligatures w14:val="none"/>
        </w:rPr>
        <w:t>Fusar</w:t>
      </w:r>
      <w:proofErr w:type="spellEnd"/>
      <w:r w:rsidRPr="007E7B24">
        <w:rPr>
          <w:rFonts w:ascii="Arial" w:eastAsia="Times New Roman" w:hAnsi="Arial" w:cs="Arial"/>
          <w:kern w:val="0"/>
          <w:sz w:val="22"/>
          <w:szCs w:val="22"/>
          <w:lang w:eastAsia="en-GB"/>
          <w14:ligatures w14:val="none"/>
        </w:rPr>
        <w:t>-Poli et al., 2017). Recent evidence emphasises the importance of assessing cognitive difficulties, which are now recognised as a central part of schizophrenia rather than a secondary feature (Yasuda et al., 2020). Because many individuals may struggle with communication or insight during early psychosis, assessments must be carried out with sensitivity and respect, ensuring that the person’s experience is heard and understood.</w:t>
      </w:r>
      <w:r w:rsidR="002C331B" w:rsidRPr="007E7B24">
        <w:rPr>
          <w:rFonts w:ascii="Arial" w:eastAsia="Times New Roman" w:hAnsi="Arial" w:cs="Arial"/>
          <w:kern w:val="0"/>
          <w:sz w:val="22"/>
          <w:szCs w:val="22"/>
          <w:lang w:eastAsia="en-GB"/>
          <w14:ligatures w14:val="none"/>
        </w:rPr>
        <w:t xml:space="preserve"> </w:t>
      </w:r>
    </w:p>
    <w:p w14:paraId="7A90388E" w14:textId="77777777" w:rsidR="007E7B24" w:rsidRDefault="007E7B24" w:rsidP="00C952C6">
      <w:pPr>
        <w:spacing w:before="100" w:beforeAutospacing="1" w:after="100" w:afterAutospacing="1" w:line="240" w:lineRule="auto"/>
        <w:rPr>
          <w:rFonts w:ascii="Arial" w:eastAsia="Times New Roman" w:hAnsi="Arial" w:cs="Arial"/>
          <w:kern w:val="0"/>
          <w:sz w:val="22"/>
          <w:szCs w:val="22"/>
          <w:lang w:eastAsia="en-GB"/>
          <w14:ligatures w14:val="none"/>
        </w:rPr>
      </w:pPr>
    </w:p>
    <w:p w14:paraId="0730576A" w14:textId="77777777" w:rsidR="007E7B24" w:rsidRPr="007E7B24" w:rsidRDefault="007E7B24" w:rsidP="00C952C6">
      <w:pPr>
        <w:spacing w:before="100" w:beforeAutospacing="1" w:after="100" w:afterAutospacing="1" w:line="240" w:lineRule="auto"/>
        <w:rPr>
          <w:rFonts w:ascii="Arial" w:eastAsia="Times New Roman" w:hAnsi="Arial" w:cs="Arial"/>
          <w:kern w:val="0"/>
          <w:sz w:val="22"/>
          <w:szCs w:val="22"/>
          <w:lang w:eastAsia="en-GB"/>
          <w14:ligatures w14:val="none"/>
        </w:rPr>
      </w:pPr>
    </w:p>
    <w:p w14:paraId="35399945" w14:textId="47E06D7F" w:rsidR="00B364B4" w:rsidRPr="00BF63E3" w:rsidRDefault="00B364B4" w:rsidP="00C952C6">
      <w:pPr>
        <w:spacing w:before="100" w:beforeAutospacing="1" w:after="100" w:afterAutospacing="1" w:line="240" w:lineRule="auto"/>
        <w:rPr>
          <w:rFonts w:ascii="Arial" w:eastAsia="Times New Roman" w:hAnsi="Arial" w:cs="Arial"/>
          <w:b/>
          <w:bCs/>
          <w:kern w:val="0"/>
          <w:lang w:eastAsia="en-GB"/>
          <w14:ligatures w14:val="none"/>
        </w:rPr>
      </w:pPr>
      <w:r w:rsidRPr="00BF63E3">
        <w:rPr>
          <w:rFonts w:ascii="Arial" w:eastAsia="Times New Roman" w:hAnsi="Arial" w:cs="Arial"/>
          <w:b/>
          <w:bCs/>
          <w:kern w:val="0"/>
          <w:sz w:val="30"/>
          <w:szCs w:val="30"/>
          <w:lang w:eastAsia="en-GB"/>
          <w14:ligatures w14:val="none"/>
        </w:rPr>
        <w:lastRenderedPageBreak/>
        <w:t>Standard Treatment Approaches</w:t>
      </w:r>
    </w:p>
    <w:p w14:paraId="7A29E5DB" w14:textId="06B0A7CB" w:rsidR="001C3B6A" w:rsidRPr="007E7B24" w:rsidRDefault="00B364B4" w:rsidP="00B364B4">
      <w:pPr>
        <w:spacing w:before="100" w:beforeAutospacing="1" w:after="100" w:afterAutospacing="1" w:line="240" w:lineRule="auto"/>
        <w:rPr>
          <w:rFonts w:ascii="Arial" w:eastAsia="Times New Roman" w:hAnsi="Arial" w:cs="Arial"/>
          <w:kern w:val="0"/>
          <w:sz w:val="22"/>
          <w:szCs w:val="22"/>
          <w:lang w:eastAsia="en-GB"/>
          <w14:ligatures w14:val="none"/>
        </w:rPr>
      </w:pPr>
      <w:r w:rsidRPr="007E7B24">
        <w:rPr>
          <w:rFonts w:ascii="Arial" w:eastAsia="Times New Roman" w:hAnsi="Arial" w:cs="Arial"/>
          <w:kern w:val="0"/>
          <w:sz w:val="22"/>
          <w:szCs w:val="22"/>
          <w:lang w:eastAsia="en-GB"/>
          <w14:ligatures w14:val="none"/>
        </w:rPr>
        <w:t>Within UK clinical practice, schizophrenia is managed through a combination of pharmacological and psychological interventions recommended by the National Institute for Health and Care Excellence evidence</w:t>
      </w:r>
      <w:r w:rsidRPr="007E7B24">
        <w:rPr>
          <w:rFonts w:ascii="Arial" w:eastAsia="Times New Roman" w:hAnsi="Arial" w:cs="Arial"/>
          <w:kern w:val="0"/>
          <w:sz w:val="22"/>
          <w:szCs w:val="22"/>
          <w:lang w:eastAsia="en-GB"/>
          <w14:ligatures w14:val="none"/>
        </w:rPr>
        <w:noBreakHyphen/>
        <w:t>based guidance (NICE, 2014/2022). Antipsychotic medication remains the first</w:t>
      </w:r>
      <w:r w:rsidRPr="007E7B24">
        <w:rPr>
          <w:rFonts w:ascii="Arial" w:eastAsia="Times New Roman" w:hAnsi="Arial" w:cs="Arial"/>
          <w:kern w:val="0"/>
          <w:sz w:val="22"/>
          <w:szCs w:val="22"/>
          <w:lang w:eastAsia="en-GB"/>
          <w14:ligatures w14:val="none"/>
        </w:rPr>
        <w:noBreakHyphen/>
        <w:t xml:space="preserve">line treatment for acute episodes, </w:t>
      </w:r>
      <w:r w:rsidR="00FB403B" w:rsidRPr="00FB403B">
        <w:rPr>
          <w:rFonts w:ascii="Arial" w:eastAsia="Times New Roman" w:hAnsi="Arial" w:cs="Arial"/>
          <w:kern w:val="0"/>
          <w:sz w:val="22"/>
          <w:szCs w:val="22"/>
          <w:lang w:eastAsia="en-GB"/>
          <w14:ligatures w14:val="none"/>
        </w:rPr>
        <w:t>second-generation antipsychotics are generally preferred because they carry a lower risk of extrapyramidal side effects and are often better tolerated (NICE, 2014/2022).</w:t>
      </w:r>
      <w:r w:rsidR="00FB403B">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 xml:space="preserve">For individuals who do not respond adequately to at least two different antipsychotics, </w:t>
      </w:r>
      <w:r w:rsidR="00BD676D" w:rsidRPr="00BD676D">
        <w:rPr>
          <w:rFonts w:ascii="Arial" w:eastAsia="Times New Roman" w:hAnsi="Arial" w:cs="Arial"/>
          <w:kern w:val="0"/>
          <w:sz w:val="22"/>
          <w:szCs w:val="22"/>
          <w:lang w:eastAsia="en-GB"/>
          <w14:ligatures w14:val="none"/>
        </w:rPr>
        <w:t>clozapine is recommended as the evidence-based treatment for individuals with treatment-resistant schizophrenia (NICE, 2014/2022).</w:t>
      </w:r>
      <w:r w:rsidR="00BD676D">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While medication is usually effective in reducing positive symptoms, it has far less impact on negative and cognitive symptoms, which often remain major barriers to recovery and everyday functioning persistent symptom challenges.</w:t>
      </w:r>
      <w:r w:rsidR="00060E6F"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 xml:space="preserve">Psychosocial interventions form a crucial part of recommended care. </w:t>
      </w:r>
      <w:r w:rsidR="00BD676D" w:rsidRPr="00BD676D">
        <w:rPr>
          <w:rFonts w:ascii="Arial" w:eastAsia="Times New Roman" w:hAnsi="Arial" w:cs="Arial"/>
          <w:kern w:val="0"/>
          <w:sz w:val="22"/>
          <w:szCs w:val="22"/>
          <w:lang w:eastAsia="en-GB"/>
          <w14:ligatures w14:val="none"/>
        </w:rPr>
        <w:t>NICE highlights Cognitive Behavioural Therapy for psychosis (</w:t>
      </w:r>
      <w:proofErr w:type="spellStart"/>
      <w:r w:rsidR="00BD676D" w:rsidRPr="00BD676D">
        <w:rPr>
          <w:rFonts w:ascii="Arial" w:eastAsia="Times New Roman" w:hAnsi="Arial" w:cs="Arial"/>
          <w:kern w:val="0"/>
          <w:sz w:val="22"/>
          <w:szCs w:val="22"/>
          <w:lang w:eastAsia="en-GB"/>
          <w14:ligatures w14:val="none"/>
        </w:rPr>
        <w:t>CBTp</w:t>
      </w:r>
      <w:proofErr w:type="spellEnd"/>
      <w:r w:rsidR="00BD676D" w:rsidRPr="00BD676D">
        <w:rPr>
          <w:rFonts w:ascii="Arial" w:eastAsia="Times New Roman" w:hAnsi="Arial" w:cs="Arial"/>
          <w:kern w:val="0"/>
          <w:sz w:val="22"/>
          <w:szCs w:val="22"/>
          <w:lang w:eastAsia="en-GB"/>
          <w14:ligatures w14:val="none"/>
        </w:rPr>
        <w:t>), family intervention and psychoeducation as standard components of treatment.</w:t>
      </w:r>
      <w:r w:rsidR="00BD676D">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 xml:space="preserve">Evidence shows that </w:t>
      </w:r>
      <w:proofErr w:type="spellStart"/>
      <w:r w:rsidRPr="007E7B24">
        <w:rPr>
          <w:rFonts w:ascii="Arial" w:eastAsia="Times New Roman" w:hAnsi="Arial" w:cs="Arial"/>
          <w:kern w:val="0"/>
          <w:sz w:val="22"/>
          <w:szCs w:val="22"/>
          <w:lang w:eastAsia="en-GB"/>
          <w14:ligatures w14:val="none"/>
        </w:rPr>
        <w:t>CBTp</w:t>
      </w:r>
      <w:proofErr w:type="spellEnd"/>
      <w:r w:rsidRPr="007E7B24">
        <w:rPr>
          <w:rFonts w:ascii="Arial" w:eastAsia="Times New Roman" w:hAnsi="Arial" w:cs="Arial"/>
          <w:kern w:val="0"/>
          <w:sz w:val="22"/>
          <w:szCs w:val="22"/>
          <w:lang w:eastAsia="en-GB"/>
          <w14:ligatures w14:val="none"/>
        </w:rPr>
        <w:t xml:space="preserve"> can lead to small but meaningful improvements in distress and symptom management, although outcomes vary between individuals therapy outcome variability (</w:t>
      </w:r>
      <w:proofErr w:type="spellStart"/>
      <w:r w:rsidRPr="007E7B24">
        <w:rPr>
          <w:rFonts w:ascii="Arial" w:eastAsia="Times New Roman" w:hAnsi="Arial" w:cs="Arial"/>
          <w:kern w:val="0"/>
          <w:sz w:val="22"/>
          <w:szCs w:val="22"/>
          <w:lang w:eastAsia="en-GB"/>
          <w14:ligatures w14:val="none"/>
        </w:rPr>
        <w:t>Fusar</w:t>
      </w:r>
      <w:proofErr w:type="spellEnd"/>
      <w:r w:rsidRPr="007E7B24">
        <w:rPr>
          <w:rFonts w:ascii="Arial" w:eastAsia="Times New Roman" w:hAnsi="Arial" w:cs="Arial"/>
          <w:kern w:val="0"/>
          <w:sz w:val="22"/>
          <w:szCs w:val="22"/>
          <w:lang w:eastAsia="en-GB"/>
          <w14:ligatures w14:val="none"/>
        </w:rPr>
        <w:noBreakHyphen/>
        <w:t>Poli et al., 2017).</w:t>
      </w:r>
      <w:r w:rsidR="00060E6F" w:rsidRPr="007E7B24">
        <w:rPr>
          <w:rFonts w:ascii="Arial" w:eastAsia="Times New Roman" w:hAnsi="Arial" w:cs="Arial"/>
          <w:kern w:val="0"/>
          <w:sz w:val="22"/>
          <w:szCs w:val="22"/>
          <w:lang w:eastAsia="en-GB"/>
          <w14:ligatures w14:val="none"/>
        </w:rPr>
        <w:t xml:space="preserve"> </w:t>
      </w:r>
      <w:r w:rsidR="003B4468" w:rsidRPr="003B4468">
        <w:rPr>
          <w:rFonts w:ascii="Arial" w:eastAsia="Times New Roman" w:hAnsi="Arial" w:cs="Arial"/>
          <w:kern w:val="0"/>
          <w:sz w:val="22"/>
          <w:szCs w:val="22"/>
          <w:lang w:eastAsia="en-GB"/>
          <w14:ligatures w14:val="none"/>
        </w:rPr>
        <w:t xml:space="preserve">Early Intervention in Psychosis (EIP) services also play a central role, offering multidisciplinary support for young people experiencing first-episode </w:t>
      </w:r>
      <w:proofErr w:type="spellStart"/>
      <w:r w:rsidR="003B4468" w:rsidRPr="003B4468">
        <w:rPr>
          <w:rFonts w:ascii="Arial" w:eastAsia="Times New Roman" w:hAnsi="Arial" w:cs="Arial"/>
          <w:kern w:val="0"/>
          <w:sz w:val="22"/>
          <w:szCs w:val="22"/>
          <w:lang w:eastAsia="en-GB"/>
          <w14:ligatures w14:val="none"/>
        </w:rPr>
        <w:t>psychosis.</w:t>
      </w:r>
      <w:r w:rsidRPr="007E7B24">
        <w:rPr>
          <w:rFonts w:ascii="Arial" w:eastAsia="Times New Roman" w:hAnsi="Arial" w:cs="Arial"/>
          <w:kern w:val="0"/>
          <w:sz w:val="22"/>
          <w:szCs w:val="22"/>
          <w:lang w:eastAsia="en-GB"/>
          <w14:ligatures w14:val="none"/>
        </w:rPr>
        <w:t>Evaluations</w:t>
      </w:r>
      <w:proofErr w:type="spellEnd"/>
      <w:r w:rsidRPr="007E7B24">
        <w:rPr>
          <w:rFonts w:ascii="Arial" w:eastAsia="Times New Roman" w:hAnsi="Arial" w:cs="Arial"/>
          <w:kern w:val="0"/>
          <w:sz w:val="22"/>
          <w:szCs w:val="22"/>
          <w:lang w:eastAsia="en-GB"/>
          <w14:ligatures w14:val="none"/>
        </w:rPr>
        <w:t xml:space="preserve"> of NHS EIP teams show improvements in clinical outcomes, functional recovery and patient satisfaction service</w:t>
      </w:r>
      <w:r w:rsidRPr="007E7B24">
        <w:rPr>
          <w:rFonts w:ascii="Arial" w:eastAsia="Times New Roman" w:hAnsi="Arial" w:cs="Arial"/>
          <w:kern w:val="0"/>
          <w:sz w:val="22"/>
          <w:szCs w:val="22"/>
          <w:lang w:eastAsia="en-GB"/>
          <w14:ligatures w14:val="none"/>
        </w:rPr>
        <w:noBreakHyphen/>
        <w:t>level effectiveness (Sheridan Rains et al., 2021).</w:t>
      </w:r>
    </w:p>
    <w:p w14:paraId="19AF0B33" w14:textId="77777777" w:rsidR="00C952C6" w:rsidRPr="0065261B" w:rsidRDefault="00C952C6" w:rsidP="00B364B4">
      <w:pPr>
        <w:spacing w:before="100" w:beforeAutospacing="1" w:after="100" w:afterAutospacing="1" w:line="240" w:lineRule="auto"/>
        <w:rPr>
          <w:rFonts w:ascii="Arial" w:eastAsia="Times New Roman" w:hAnsi="Arial" w:cs="Arial"/>
          <w:kern w:val="0"/>
          <w:lang w:eastAsia="en-GB"/>
          <w14:ligatures w14:val="none"/>
        </w:rPr>
      </w:pPr>
    </w:p>
    <w:p w14:paraId="5EACAF02" w14:textId="30F45E96" w:rsidR="00B364B4" w:rsidRPr="00BF63E3" w:rsidRDefault="00B364B4" w:rsidP="00B364B4">
      <w:pPr>
        <w:spacing w:before="100" w:beforeAutospacing="1" w:after="100" w:afterAutospacing="1" w:line="240" w:lineRule="auto"/>
        <w:outlineLvl w:val="1"/>
        <w:rPr>
          <w:rFonts w:ascii="Arial" w:eastAsia="Times New Roman" w:hAnsi="Arial" w:cs="Arial"/>
          <w:b/>
          <w:bCs/>
          <w:kern w:val="0"/>
          <w:sz w:val="30"/>
          <w:szCs w:val="30"/>
          <w:lang w:eastAsia="en-GB"/>
          <w14:ligatures w14:val="none"/>
        </w:rPr>
      </w:pPr>
      <w:r w:rsidRPr="00BF63E3">
        <w:rPr>
          <w:rFonts w:ascii="Arial" w:eastAsia="Times New Roman" w:hAnsi="Arial" w:cs="Arial"/>
          <w:b/>
          <w:bCs/>
          <w:kern w:val="0"/>
          <w:sz w:val="30"/>
          <w:szCs w:val="30"/>
          <w:lang w:eastAsia="en-GB"/>
          <w14:ligatures w14:val="none"/>
        </w:rPr>
        <w:t>Rehabilitation in ICD</w:t>
      </w:r>
      <w:r w:rsidRPr="00BF63E3">
        <w:rPr>
          <w:rFonts w:ascii="Arial" w:eastAsia="Times New Roman" w:hAnsi="Arial" w:cs="Arial"/>
          <w:b/>
          <w:bCs/>
          <w:kern w:val="0"/>
          <w:sz w:val="30"/>
          <w:szCs w:val="30"/>
          <w:lang w:eastAsia="en-GB"/>
          <w14:ligatures w14:val="none"/>
        </w:rPr>
        <w:noBreakHyphen/>
        <w:t xml:space="preserve">11 </w:t>
      </w:r>
    </w:p>
    <w:p w14:paraId="7B946A5E" w14:textId="3197B8AA" w:rsidR="006003BD" w:rsidRPr="007E7B24" w:rsidRDefault="00B364B4" w:rsidP="006003BD">
      <w:pPr>
        <w:spacing w:before="100" w:beforeAutospacing="1" w:after="100" w:afterAutospacing="1" w:line="240" w:lineRule="auto"/>
        <w:rPr>
          <w:rFonts w:ascii="Arial" w:eastAsia="Times New Roman" w:hAnsi="Arial" w:cs="Arial"/>
          <w:kern w:val="0"/>
          <w:sz w:val="22"/>
          <w:szCs w:val="22"/>
          <w:lang w:eastAsia="en-GB"/>
          <w14:ligatures w14:val="none"/>
        </w:rPr>
      </w:pPr>
      <w:r w:rsidRPr="007E7B24">
        <w:rPr>
          <w:rFonts w:ascii="Arial" w:eastAsia="Times New Roman" w:hAnsi="Arial" w:cs="Arial"/>
          <w:kern w:val="0"/>
          <w:sz w:val="22"/>
          <w:szCs w:val="22"/>
          <w:lang w:eastAsia="en-GB"/>
          <w14:ligatures w14:val="none"/>
        </w:rPr>
        <w:t>Although ICD</w:t>
      </w:r>
      <w:r w:rsidRPr="007E7B24">
        <w:rPr>
          <w:rFonts w:ascii="Arial" w:eastAsia="Times New Roman" w:hAnsi="Arial" w:cs="Arial"/>
          <w:kern w:val="0"/>
          <w:sz w:val="22"/>
          <w:szCs w:val="22"/>
          <w:lang w:eastAsia="en-GB"/>
          <w14:ligatures w14:val="none"/>
        </w:rPr>
        <w:noBreakHyphen/>
        <w:t xml:space="preserve">11 is primarily a diagnostic tool, it explicitly </w:t>
      </w:r>
      <w:r w:rsidR="008103D9" w:rsidRPr="008103D9">
        <w:rPr>
          <w:rFonts w:ascii="Arial" w:eastAsia="Times New Roman" w:hAnsi="Arial" w:cs="Arial"/>
          <w:kern w:val="0"/>
          <w:sz w:val="22"/>
          <w:szCs w:val="22"/>
          <w:lang w:eastAsia="en-GB"/>
          <w14:ligatures w14:val="none"/>
        </w:rPr>
        <w:t>links schizophrenia to functional impairment, emphasising the need for long-term rehabilitation that addresses social, occupational and daily-living challenges (World Health Organization, 2022).</w:t>
      </w:r>
      <w:r w:rsidR="00956DBE"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Rehabilitation in practice typically includes cognitive remediation therapy, social</w:t>
      </w:r>
      <w:r w:rsidRPr="007E7B24">
        <w:rPr>
          <w:rFonts w:ascii="Arial" w:eastAsia="Times New Roman" w:hAnsi="Arial" w:cs="Arial"/>
          <w:kern w:val="0"/>
          <w:sz w:val="22"/>
          <w:szCs w:val="22"/>
          <w:lang w:eastAsia="en-GB"/>
          <w14:ligatures w14:val="none"/>
        </w:rPr>
        <w:noBreakHyphen/>
        <w:t>skills training, supported accommodation, peer support, structured daily</w:t>
      </w:r>
      <w:r w:rsidRPr="007E7B24">
        <w:rPr>
          <w:rFonts w:ascii="Arial" w:eastAsia="Times New Roman" w:hAnsi="Arial" w:cs="Arial"/>
          <w:kern w:val="0"/>
          <w:sz w:val="22"/>
          <w:szCs w:val="22"/>
          <w:lang w:eastAsia="en-GB"/>
          <w14:ligatures w14:val="none"/>
        </w:rPr>
        <w:noBreakHyphen/>
        <w:t>activity programmes and employment support rehabilitation components. Cognitive remediation has become increasingly common within early psychosis teams to improve memory, attention and executive functioning</w:t>
      </w:r>
      <w:r w:rsidR="001C3B6A"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skills strongly associated with long</w:t>
      </w:r>
      <w:r w:rsidRPr="007E7B24">
        <w:rPr>
          <w:rFonts w:ascii="Arial" w:eastAsia="Times New Roman" w:hAnsi="Arial" w:cs="Arial"/>
          <w:kern w:val="0"/>
          <w:sz w:val="22"/>
          <w:szCs w:val="22"/>
          <w:lang w:eastAsia="en-GB"/>
          <w14:ligatures w14:val="none"/>
        </w:rPr>
        <w:noBreakHyphen/>
        <w:t>term outcomes cognitive</w:t>
      </w:r>
      <w:r w:rsidRPr="007E7B24">
        <w:rPr>
          <w:rFonts w:ascii="Arial" w:eastAsia="Times New Roman" w:hAnsi="Arial" w:cs="Arial"/>
          <w:kern w:val="0"/>
          <w:sz w:val="22"/>
          <w:szCs w:val="22"/>
          <w:lang w:eastAsia="en-GB"/>
          <w14:ligatures w14:val="none"/>
        </w:rPr>
        <w:noBreakHyphen/>
        <w:t>skills development (</w:t>
      </w:r>
      <w:proofErr w:type="spellStart"/>
      <w:r w:rsidRPr="007E7B24">
        <w:rPr>
          <w:rFonts w:ascii="Arial" w:eastAsia="Times New Roman" w:hAnsi="Arial" w:cs="Arial"/>
          <w:kern w:val="0"/>
          <w:sz w:val="22"/>
          <w:szCs w:val="22"/>
          <w:lang w:eastAsia="en-GB"/>
          <w14:ligatures w14:val="none"/>
        </w:rPr>
        <w:t>Kluczniok</w:t>
      </w:r>
      <w:proofErr w:type="spellEnd"/>
      <w:r w:rsidRPr="007E7B24">
        <w:rPr>
          <w:rFonts w:ascii="Arial" w:eastAsia="Times New Roman" w:hAnsi="Arial" w:cs="Arial"/>
          <w:kern w:val="0"/>
          <w:sz w:val="22"/>
          <w:szCs w:val="22"/>
          <w:lang w:eastAsia="en-GB"/>
          <w14:ligatures w14:val="none"/>
        </w:rPr>
        <w:t xml:space="preserve">, Limmer </w:t>
      </w:r>
      <w:r w:rsidR="001440F5">
        <w:rPr>
          <w:rFonts w:ascii="Arial" w:eastAsia="Times New Roman" w:hAnsi="Arial" w:cs="Arial"/>
          <w:kern w:val="0"/>
          <w:sz w:val="22"/>
          <w:szCs w:val="22"/>
          <w:lang w:eastAsia="en-GB"/>
          <w14:ligatures w14:val="none"/>
        </w:rPr>
        <w:t>and</w:t>
      </w:r>
      <w:r w:rsidRPr="007E7B24">
        <w:rPr>
          <w:rFonts w:ascii="Arial" w:eastAsia="Times New Roman" w:hAnsi="Arial" w:cs="Arial"/>
          <w:kern w:val="0"/>
          <w:sz w:val="22"/>
          <w:szCs w:val="22"/>
          <w:lang w:eastAsia="en-GB"/>
          <w14:ligatures w14:val="none"/>
        </w:rPr>
        <w:t xml:space="preserve"> Wagner, 2020).</w:t>
      </w:r>
      <w:r w:rsidR="00956DBE"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Employment</w:t>
      </w:r>
      <w:r w:rsidRPr="007E7B24">
        <w:rPr>
          <w:rFonts w:ascii="Arial" w:eastAsia="Times New Roman" w:hAnsi="Arial" w:cs="Arial"/>
          <w:kern w:val="0"/>
          <w:sz w:val="22"/>
          <w:szCs w:val="22"/>
          <w:lang w:eastAsia="en-GB"/>
          <w14:ligatures w14:val="none"/>
        </w:rPr>
        <w:noBreakHyphen/>
        <w:t>focused rehabilitation is particularly well supported through Individual Placement and Support (IPS), an evidence</w:t>
      </w:r>
      <w:r w:rsidRPr="007E7B24">
        <w:rPr>
          <w:rFonts w:ascii="Arial" w:eastAsia="Times New Roman" w:hAnsi="Arial" w:cs="Arial"/>
          <w:kern w:val="0"/>
          <w:sz w:val="22"/>
          <w:szCs w:val="22"/>
          <w:lang w:eastAsia="en-GB"/>
          <w14:ligatures w14:val="none"/>
        </w:rPr>
        <w:noBreakHyphen/>
        <w:t>based model integrated into many NHS Trusts employment</w:t>
      </w:r>
      <w:r w:rsidRPr="007E7B24">
        <w:rPr>
          <w:rFonts w:ascii="Arial" w:eastAsia="Times New Roman" w:hAnsi="Arial" w:cs="Arial"/>
          <w:kern w:val="0"/>
          <w:sz w:val="22"/>
          <w:szCs w:val="22"/>
          <w:lang w:eastAsia="en-GB"/>
          <w14:ligatures w14:val="none"/>
        </w:rPr>
        <w:noBreakHyphen/>
        <w:t>support model. IPS has been shown to significantly increase competitive employment rates among people with psychosis compared with traditional vocational services employment outcome gains (Addington et al., 2019).</w:t>
      </w:r>
      <w:r w:rsidR="00956DBE"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Wider community rehabilitation services</w:t>
      </w:r>
      <w:r w:rsidR="001C3B6A"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including supported housing and multi</w:t>
      </w:r>
      <w:r w:rsidRPr="007E7B24">
        <w:rPr>
          <w:rFonts w:ascii="Arial" w:eastAsia="Times New Roman" w:hAnsi="Arial" w:cs="Arial"/>
          <w:kern w:val="0"/>
          <w:sz w:val="22"/>
          <w:szCs w:val="22"/>
          <w:lang w:eastAsia="en-GB"/>
          <w14:ligatures w14:val="none"/>
        </w:rPr>
        <w:noBreakHyphen/>
        <w:t>agency recovery teams</w:t>
      </w:r>
      <w:r w:rsidR="001C3B6A"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also help individuals rebuild independence, develop life skills and reintegrate socially, aligning with broader recovery</w:t>
      </w:r>
      <w:r w:rsidRPr="007E7B24">
        <w:rPr>
          <w:rFonts w:ascii="Arial" w:eastAsia="Times New Roman" w:hAnsi="Arial" w:cs="Arial"/>
          <w:kern w:val="0"/>
          <w:sz w:val="22"/>
          <w:szCs w:val="22"/>
          <w:lang w:eastAsia="en-GB"/>
          <w14:ligatures w14:val="none"/>
        </w:rPr>
        <w:noBreakHyphen/>
        <w:t>oriented mental</w:t>
      </w:r>
      <w:r w:rsidRPr="007E7B24">
        <w:rPr>
          <w:rFonts w:ascii="Arial" w:eastAsia="Times New Roman" w:hAnsi="Arial" w:cs="Arial"/>
          <w:kern w:val="0"/>
          <w:sz w:val="22"/>
          <w:szCs w:val="22"/>
          <w:lang w:eastAsia="en-GB"/>
          <w14:ligatures w14:val="none"/>
        </w:rPr>
        <w:noBreakHyphen/>
        <w:t>health policy community</w:t>
      </w:r>
      <w:r w:rsidRPr="007E7B24">
        <w:rPr>
          <w:rFonts w:ascii="Arial" w:eastAsia="Times New Roman" w:hAnsi="Arial" w:cs="Arial"/>
          <w:kern w:val="0"/>
          <w:sz w:val="22"/>
          <w:szCs w:val="22"/>
          <w:lang w:eastAsia="en-GB"/>
          <w14:ligatures w14:val="none"/>
        </w:rPr>
        <w:noBreakHyphen/>
        <w:t xml:space="preserve">integration approach (Ramon, Healy </w:t>
      </w:r>
      <w:r w:rsidR="007E7B24" w:rsidRPr="007E7B24">
        <w:rPr>
          <w:rFonts w:ascii="Arial" w:eastAsia="Times New Roman" w:hAnsi="Arial" w:cs="Arial"/>
          <w:kern w:val="0"/>
          <w:sz w:val="22"/>
          <w:szCs w:val="22"/>
          <w:lang w:eastAsia="en-GB"/>
          <w14:ligatures w14:val="none"/>
        </w:rPr>
        <w:t>and</w:t>
      </w:r>
      <w:r w:rsidRPr="007E7B24">
        <w:rPr>
          <w:rFonts w:ascii="Arial" w:eastAsia="Times New Roman" w:hAnsi="Arial" w:cs="Arial"/>
          <w:kern w:val="0"/>
          <w:sz w:val="22"/>
          <w:szCs w:val="22"/>
          <w:lang w:eastAsia="en-GB"/>
          <w14:ligatures w14:val="none"/>
        </w:rPr>
        <w:t xml:space="preserve"> Renouf, 2018).</w:t>
      </w:r>
    </w:p>
    <w:p w14:paraId="29BC3DE9" w14:textId="77777777" w:rsidR="006003BD" w:rsidRDefault="006003BD" w:rsidP="006003BD">
      <w:pPr>
        <w:spacing w:before="100" w:beforeAutospacing="1" w:after="100" w:afterAutospacing="1" w:line="240" w:lineRule="auto"/>
        <w:rPr>
          <w:rFonts w:ascii="Arial" w:eastAsia="Times New Roman" w:hAnsi="Arial" w:cs="Arial"/>
          <w:kern w:val="0"/>
          <w:sz w:val="22"/>
          <w:szCs w:val="22"/>
          <w:lang w:eastAsia="en-GB"/>
          <w14:ligatures w14:val="none"/>
        </w:rPr>
      </w:pPr>
    </w:p>
    <w:p w14:paraId="2E2860F7" w14:textId="77777777" w:rsidR="00256EB4" w:rsidRDefault="00256EB4" w:rsidP="006003BD">
      <w:pPr>
        <w:spacing w:before="100" w:beforeAutospacing="1" w:after="100" w:afterAutospacing="1" w:line="240" w:lineRule="auto"/>
        <w:rPr>
          <w:rFonts w:ascii="Arial" w:eastAsia="Times New Roman" w:hAnsi="Arial" w:cs="Arial"/>
          <w:kern w:val="0"/>
          <w:sz w:val="22"/>
          <w:szCs w:val="22"/>
          <w:lang w:eastAsia="en-GB"/>
          <w14:ligatures w14:val="none"/>
        </w:rPr>
      </w:pPr>
    </w:p>
    <w:p w14:paraId="0BFE059E" w14:textId="77777777" w:rsidR="00256EB4" w:rsidRDefault="00256EB4" w:rsidP="006003BD">
      <w:pPr>
        <w:spacing w:before="100" w:beforeAutospacing="1" w:after="100" w:afterAutospacing="1" w:line="240" w:lineRule="auto"/>
        <w:rPr>
          <w:rFonts w:ascii="Arial" w:eastAsia="Times New Roman" w:hAnsi="Arial" w:cs="Arial"/>
          <w:kern w:val="0"/>
          <w:sz w:val="22"/>
          <w:szCs w:val="22"/>
          <w:lang w:eastAsia="en-GB"/>
          <w14:ligatures w14:val="none"/>
        </w:rPr>
      </w:pPr>
    </w:p>
    <w:p w14:paraId="0B977DC2" w14:textId="77777777" w:rsidR="00256EB4" w:rsidRPr="007E7B24" w:rsidRDefault="00256EB4" w:rsidP="006003BD">
      <w:pPr>
        <w:spacing w:before="100" w:beforeAutospacing="1" w:after="100" w:afterAutospacing="1" w:line="240" w:lineRule="auto"/>
        <w:rPr>
          <w:rFonts w:ascii="Arial" w:eastAsia="Times New Roman" w:hAnsi="Arial" w:cs="Arial"/>
          <w:kern w:val="0"/>
          <w:sz w:val="22"/>
          <w:szCs w:val="22"/>
          <w:lang w:eastAsia="en-GB"/>
          <w14:ligatures w14:val="none"/>
        </w:rPr>
      </w:pPr>
    </w:p>
    <w:p w14:paraId="3650FE85" w14:textId="07C19D4D" w:rsidR="006003BD" w:rsidRPr="00976566" w:rsidRDefault="00B364B4" w:rsidP="006003BD">
      <w:pPr>
        <w:spacing w:before="100" w:beforeAutospacing="1" w:after="100" w:afterAutospacing="1" w:line="240" w:lineRule="auto"/>
        <w:rPr>
          <w:rFonts w:ascii="Arial" w:eastAsia="Times New Roman" w:hAnsi="Arial" w:cs="Arial"/>
          <w:b/>
          <w:bCs/>
          <w:kern w:val="0"/>
          <w:lang w:eastAsia="en-GB"/>
          <w14:ligatures w14:val="none"/>
        </w:rPr>
      </w:pPr>
      <w:r w:rsidRPr="00976566">
        <w:rPr>
          <w:rFonts w:ascii="Arial" w:eastAsia="Times New Roman" w:hAnsi="Arial" w:cs="Arial"/>
          <w:b/>
          <w:bCs/>
          <w:kern w:val="0"/>
          <w:sz w:val="30"/>
          <w:szCs w:val="30"/>
          <w:lang w:eastAsia="en-GB"/>
          <w14:ligatures w14:val="none"/>
        </w:rPr>
        <w:lastRenderedPageBreak/>
        <w:t>Effectiveness and Limitations</w:t>
      </w:r>
    </w:p>
    <w:p w14:paraId="39205D62" w14:textId="3FC150C4" w:rsidR="00997FCC" w:rsidRDefault="00B364B4" w:rsidP="006003BD">
      <w:pPr>
        <w:spacing w:before="100" w:beforeAutospacing="1" w:after="100" w:afterAutospacing="1" w:line="240" w:lineRule="auto"/>
        <w:outlineLvl w:val="1"/>
        <w:rPr>
          <w:rFonts w:ascii="Arial" w:eastAsia="Times New Roman" w:hAnsi="Arial" w:cs="Arial"/>
          <w:kern w:val="0"/>
          <w:sz w:val="22"/>
          <w:szCs w:val="22"/>
          <w:lang w:eastAsia="en-GB"/>
          <w14:ligatures w14:val="none"/>
        </w:rPr>
      </w:pPr>
      <w:r w:rsidRPr="007E7B24">
        <w:rPr>
          <w:rFonts w:ascii="Arial" w:eastAsia="Times New Roman" w:hAnsi="Arial" w:cs="Arial"/>
          <w:kern w:val="0"/>
          <w:sz w:val="22"/>
          <w:szCs w:val="22"/>
          <w:lang w:eastAsia="en-GB"/>
          <w14:ligatures w14:val="none"/>
        </w:rPr>
        <w:t>Evidence from UK studies and service evaluations shows that combining antipsychotics with psychosocial and rehabilitative interventions generally provides the best long</w:t>
      </w:r>
      <w:r w:rsidRPr="007E7B24">
        <w:rPr>
          <w:rFonts w:ascii="Arial" w:eastAsia="Times New Roman" w:hAnsi="Arial" w:cs="Arial"/>
          <w:kern w:val="0"/>
          <w:sz w:val="22"/>
          <w:szCs w:val="22"/>
          <w:lang w:eastAsia="en-GB"/>
          <w14:ligatures w14:val="none"/>
        </w:rPr>
        <w:noBreakHyphen/>
        <w:t>term outcomes, improving stability, reducing relapse and enhancing quality of life combined</w:t>
      </w:r>
      <w:r w:rsidRPr="007E7B24">
        <w:rPr>
          <w:rFonts w:ascii="Arial" w:eastAsia="Times New Roman" w:hAnsi="Arial" w:cs="Arial"/>
          <w:kern w:val="0"/>
          <w:sz w:val="22"/>
          <w:szCs w:val="22"/>
          <w:lang w:eastAsia="en-GB"/>
          <w14:ligatures w14:val="none"/>
        </w:rPr>
        <w:noBreakHyphen/>
        <w:t>care benefits (Sheridan Rains et al., 2021). For many individuals, these interventions support meaningful improvements beyond symptom reduction, aligning with personal recovery goals such as autonomy, identity and community involvement personal</w:t>
      </w:r>
      <w:r w:rsidRPr="007E7B24">
        <w:rPr>
          <w:rFonts w:ascii="Arial" w:eastAsia="Times New Roman" w:hAnsi="Arial" w:cs="Arial"/>
          <w:kern w:val="0"/>
          <w:sz w:val="22"/>
          <w:szCs w:val="22"/>
          <w:lang w:eastAsia="en-GB"/>
          <w14:ligatures w14:val="none"/>
        </w:rPr>
        <w:noBreakHyphen/>
        <w:t>recovery focus.</w:t>
      </w:r>
      <w:r w:rsidR="00B83577"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Negative and cognitive symptoms often remain treatment</w:t>
      </w:r>
      <w:r w:rsidRPr="007E7B24">
        <w:rPr>
          <w:rFonts w:ascii="Arial" w:eastAsia="Times New Roman" w:hAnsi="Arial" w:cs="Arial"/>
          <w:kern w:val="0"/>
          <w:sz w:val="22"/>
          <w:szCs w:val="22"/>
          <w:lang w:eastAsia="en-GB"/>
          <w14:ligatures w14:val="none"/>
        </w:rPr>
        <w:noBreakHyphen/>
        <w:t>resistant even when medication is optimised treatment</w:t>
      </w:r>
      <w:r w:rsidRPr="007E7B24">
        <w:rPr>
          <w:rFonts w:ascii="Arial" w:eastAsia="Times New Roman" w:hAnsi="Arial" w:cs="Arial"/>
          <w:kern w:val="0"/>
          <w:sz w:val="22"/>
          <w:szCs w:val="22"/>
          <w:lang w:eastAsia="en-GB"/>
          <w14:ligatures w14:val="none"/>
        </w:rPr>
        <w:noBreakHyphen/>
        <w:t>resistant difficulties. Side</w:t>
      </w:r>
      <w:r w:rsidRPr="007E7B24">
        <w:rPr>
          <w:rFonts w:ascii="Arial" w:eastAsia="Times New Roman" w:hAnsi="Arial" w:cs="Arial"/>
          <w:kern w:val="0"/>
          <w:sz w:val="22"/>
          <w:szCs w:val="22"/>
          <w:lang w:eastAsia="en-GB"/>
          <w14:ligatures w14:val="none"/>
        </w:rPr>
        <w:noBreakHyphen/>
        <w:t>effects of antipsychotics</w:t>
      </w:r>
      <w:r w:rsidR="00AE5E4F"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affect physical health and treatment adherence medication</w:t>
      </w:r>
      <w:r w:rsidRPr="007E7B24">
        <w:rPr>
          <w:rFonts w:ascii="Arial" w:eastAsia="Times New Roman" w:hAnsi="Arial" w:cs="Arial"/>
          <w:kern w:val="0"/>
          <w:sz w:val="22"/>
          <w:szCs w:val="22"/>
          <w:lang w:eastAsia="en-GB"/>
          <w14:ligatures w14:val="none"/>
        </w:rPr>
        <w:noBreakHyphen/>
        <w:t>related burdens (NICE, 2014/2022).</w:t>
      </w:r>
      <w:r w:rsidR="00D3657E"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From a systems perspective, audits show uneven access to psychological therapies, supported employment and rehabilitation services across regions service</w:t>
      </w:r>
      <w:r w:rsidRPr="007E7B24">
        <w:rPr>
          <w:rFonts w:ascii="Arial" w:eastAsia="Times New Roman" w:hAnsi="Arial" w:cs="Arial"/>
          <w:kern w:val="0"/>
          <w:sz w:val="22"/>
          <w:szCs w:val="22"/>
          <w:lang w:eastAsia="en-GB"/>
          <w14:ligatures w14:val="none"/>
        </w:rPr>
        <w:noBreakHyphen/>
        <w:t>access inequalities</w:t>
      </w:r>
      <w:r w:rsidR="00AC3CE6">
        <w:rPr>
          <w:rFonts w:ascii="Arial" w:eastAsia="Times New Roman" w:hAnsi="Arial" w:cs="Arial"/>
          <w:kern w:val="0"/>
          <w:sz w:val="22"/>
          <w:szCs w:val="22"/>
          <w:lang w:eastAsia="en-GB"/>
          <w14:ligatures w14:val="none"/>
        </w:rPr>
        <w:t>.</w:t>
      </w:r>
      <w:r w:rsidRPr="007E7B24">
        <w:rPr>
          <w:rFonts w:ascii="Arial" w:eastAsia="Times New Roman" w:hAnsi="Arial" w:cs="Arial"/>
          <w:kern w:val="0"/>
          <w:sz w:val="22"/>
          <w:szCs w:val="22"/>
          <w:lang w:eastAsia="en-GB"/>
          <w14:ligatures w14:val="none"/>
        </w:rPr>
        <w:t xml:space="preserve"> Workforce shortages, resource pressures and variability in provision mean that many individuals do not receive the full package of recommended interventions service</w:t>
      </w:r>
      <w:r w:rsidRPr="007E7B24">
        <w:rPr>
          <w:rFonts w:ascii="Arial" w:eastAsia="Times New Roman" w:hAnsi="Arial" w:cs="Arial"/>
          <w:kern w:val="0"/>
          <w:sz w:val="22"/>
          <w:szCs w:val="22"/>
          <w:lang w:eastAsia="en-GB"/>
          <w14:ligatures w14:val="none"/>
        </w:rPr>
        <w:noBreakHyphen/>
        <w:t>capacity constraints.</w:t>
      </w:r>
      <w:r w:rsidR="00D3657E"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 xml:space="preserve">Despite strong evidence, </w:t>
      </w:r>
      <w:r w:rsidR="00541591" w:rsidRPr="00541591">
        <w:rPr>
          <w:rFonts w:ascii="Arial" w:eastAsia="Times New Roman" w:hAnsi="Arial" w:cs="Arial"/>
          <w:kern w:val="0"/>
          <w:sz w:val="22"/>
          <w:szCs w:val="22"/>
          <w:lang w:eastAsia="en-GB"/>
          <w14:ligatures w14:val="none"/>
        </w:rPr>
        <w:t>rehabilitation remains inconsistently implemented, highlighting the need for wider investment, workforce training and stronger policy enforcement to deliver equitable care.</w:t>
      </w:r>
    </w:p>
    <w:p w14:paraId="0A907018" w14:textId="77777777" w:rsidR="005860DD" w:rsidRDefault="005860DD" w:rsidP="006003BD">
      <w:pPr>
        <w:spacing w:before="100" w:beforeAutospacing="1" w:after="100" w:afterAutospacing="1" w:line="240" w:lineRule="auto"/>
        <w:outlineLvl w:val="1"/>
        <w:rPr>
          <w:rFonts w:ascii="Arial" w:eastAsia="Times New Roman" w:hAnsi="Arial" w:cs="Arial"/>
          <w:kern w:val="0"/>
          <w:sz w:val="22"/>
          <w:szCs w:val="22"/>
          <w:lang w:eastAsia="en-GB"/>
          <w14:ligatures w14:val="none"/>
        </w:rPr>
      </w:pPr>
    </w:p>
    <w:p w14:paraId="32081C36" w14:textId="77777777" w:rsidR="005860DD" w:rsidRPr="00256EB4" w:rsidRDefault="005860DD" w:rsidP="006003BD">
      <w:pPr>
        <w:spacing w:before="100" w:beforeAutospacing="1" w:after="100" w:afterAutospacing="1" w:line="240" w:lineRule="auto"/>
        <w:outlineLvl w:val="1"/>
        <w:rPr>
          <w:rFonts w:ascii="Arial" w:eastAsia="Times New Roman" w:hAnsi="Arial" w:cs="Arial"/>
          <w:kern w:val="0"/>
          <w:sz w:val="22"/>
          <w:szCs w:val="22"/>
          <w:lang w:eastAsia="en-GB"/>
          <w14:ligatures w14:val="none"/>
        </w:rPr>
      </w:pPr>
    </w:p>
    <w:p w14:paraId="17A4709C" w14:textId="5F60DAD4" w:rsidR="006003BD" w:rsidRPr="00BF63E3" w:rsidRDefault="00A00103" w:rsidP="006003BD">
      <w:pPr>
        <w:spacing w:before="100" w:beforeAutospacing="1" w:after="100" w:afterAutospacing="1" w:line="240" w:lineRule="auto"/>
        <w:outlineLvl w:val="1"/>
        <w:rPr>
          <w:rFonts w:ascii="Arial" w:eastAsia="Times New Roman" w:hAnsi="Arial" w:cs="Arial"/>
          <w:b/>
          <w:bCs/>
          <w:kern w:val="0"/>
          <w:sz w:val="30"/>
          <w:szCs w:val="30"/>
          <w:lang w:eastAsia="en-GB"/>
          <w14:ligatures w14:val="none"/>
        </w:rPr>
      </w:pPr>
      <w:r w:rsidRPr="00BF63E3">
        <w:rPr>
          <w:rFonts w:ascii="Arial" w:eastAsia="Times New Roman" w:hAnsi="Arial" w:cs="Arial"/>
          <w:b/>
          <w:bCs/>
          <w:kern w:val="36"/>
          <w:sz w:val="30"/>
          <w:szCs w:val="30"/>
          <w:lang w:eastAsia="en-GB"/>
          <w14:ligatures w14:val="none"/>
        </w:rPr>
        <w:t>Debates About Classification and Treatment</w:t>
      </w:r>
    </w:p>
    <w:p w14:paraId="348CA89B" w14:textId="101D7B01" w:rsidR="005860DD" w:rsidRPr="00976566" w:rsidRDefault="00A00103" w:rsidP="008D65F6">
      <w:pPr>
        <w:spacing w:before="100" w:beforeAutospacing="1" w:after="100" w:afterAutospacing="1" w:line="240" w:lineRule="auto"/>
        <w:outlineLvl w:val="0"/>
        <w:rPr>
          <w:rFonts w:ascii="Arial" w:eastAsia="Times New Roman" w:hAnsi="Arial" w:cs="Arial"/>
          <w:kern w:val="36"/>
          <w:sz w:val="22"/>
          <w:szCs w:val="22"/>
          <w:lang w:eastAsia="en-GB"/>
          <w14:ligatures w14:val="none"/>
        </w:rPr>
      </w:pPr>
      <w:r w:rsidRPr="007E7B24">
        <w:rPr>
          <w:rFonts w:ascii="Arial" w:eastAsia="Times New Roman" w:hAnsi="Arial" w:cs="Arial"/>
          <w:kern w:val="0"/>
          <w:sz w:val="22"/>
          <w:szCs w:val="22"/>
          <w:lang w:eastAsia="en-GB"/>
          <w14:ligatures w14:val="none"/>
        </w:rPr>
        <w:t>There is ongoing debate about whether schizophrenia should be understood as a single discrete disorder or as part of a broader psychosis spectrum classification debate. Recent work suggests that symptoms exist along continua of severity and overlap with other psychotic and affective conditions, challenging rigid categorical diagnoses and supporting the dimensional approach adopted in ICD</w:t>
      </w:r>
      <w:r w:rsidRPr="007E7B24">
        <w:rPr>
          <w:rFonts w:ascii="Arial" w:eastAsia="Times New Roman" w:hAnsi="Arial" w:cs="Arial"/>
          <w:kern w:val="0"/>
          <w:sz w:val="22"/>
          <w:szCs w:val="22"/>
          <w:lang w:eastAsia="en-GB"/>
          <w14:ligatures w14:val="none"/>
        </w:rPr>
        <w:noBreakHyphen/>
      </w:r>
      <w:proofErr w:type="gramStart"/>
      <w:r w:rsidRPr="007E7B24">
        <w:rPr>
          <w:rFonts w:ascii="Arial" w:eastAsia="Times New Roman" w:hAnsi="Arial" w:cs="Arial"/>
          <w:kern w:val="0"/>
          <w:sz w:val="22"/>
          <w:szCs w:val="22"/>
          <w:lang w:eastAsia="en-GB"/>
          <w14:ligatures w14:val="none"/>
        </w:rPr>
        <w:t>11 dimensional</w:t>
      </w:r>
      <w:proofErr w:type="gramEnd"/>
      <w:r w:rsidRPr="007E7B24">
        <w:rPr>
          <w:rFonts w:ascii="Arial" w:eastAsia="Times New Roman" w:hAnsi="Arial" w:cs="Arial"/>
          <w:kern w:val="0"/>
          <w:sz w:val="22"/>
          <w:szCs w:val="22"/>
          <w:lang w:eastAsia="en-GB"/>
          <w14:ligatures w14:val="none"/>
        </w:rPr>
        <w:t xml:space="preserve"> perspective (</w:t>
      </w:r>
      <w:proofErr w:type="spellStart"/>
      <w:r w:rsidRPr="007E7B24">
        <w:rPr>
          <w:rFonts w:ascii="Arial" w:eastAsia="Times New Roman" w:hAnsi="Arial" w:cs="Arial"/>
          <w:kern w:val="0"/>
          <w:sz w:val="22"/>
          <w:szCs w:val="22"/>
          <w:lang w:eastAsia="en-GB"/>
          <w14:ligatures w14:val="none"/>
        </w:rPr>
        <w:t>Urkin</w:t>
      </w:r>
      <w:proofErr w:type="spellEnd"/>
      <w:r w:rsidRPr="007E7B24">
        <w:rPr>
          <w:rFonts w:ascii="Arial" w:eastAsia="Times New Roman" w:hAnsi="Arial" w:cs="Arial"/>
          <w:kern w:val="0"/>
          <w:sz w:val="22"/>
          <w:szCs w:val="22"/>
          <w:lang w:eastAsia="en-GB"/>
          <w14:ligatures w14:val="none"/>
        </w:rPr>
        <w:t xml:space="preserve"> et al., 2024).</w:t>
      </w:r>
      <w:r w:rsidR="000001D8" w:rsidRPr="007E7B24">
        <w:rPr>
          <w:rFonts w:ascii="Arial" w:eastAsia="Times New Roman" w:hAnsi="Arial" w:cs="Arial"/>
          <w:kern w:val="0"/>
          <w:sz w:val="22"/>
          <w:szCs w:val="22"/>
          <w:lang w:eastAsia="en-GB"/>
          <w14:ligatures w14:val="none"/>
        </w:rPr>
        <w:t xml:space="preserve"> </w:t>
      </w:r>
      <w:r w:rsidR="00990C62" w:rsidRPr="007E7B24">
        <w:rPr>
          <w:rFonts w:ascii="Arial" w:eastAsia="Times New Roman" w:hAnsi="Arial" w:cs="Arial"/>
          <w:kern w:val="0"/>
          <w:sz w:val="22"/>
          <w:szCs w:val="22"/>
          <w:lang w:eastAsia="en-GB"/>
          <w14:ligatures w14:val="none"/>
        </w:rPr>
        <w:t>Additionally</w:t>
      </w:r>
      <w:r w:rsidR="000001D8" w:rsidRPr="007E7B24">
        <w:rPr>
          <w:rFonts w:ascii="Arial" w:eastAsia="Times New Roman" w:hAnsi="Arial" w:cs="Arial"/>
          <w:kern w:val="0"/>
          <w:sz w:val="22"/>
          <w:szCs w:val="22"/>
          <w:lang w:eastAsia="en-GB"/>
          <w14:ligatures w14:val="none"/>
        </w:rPr>
        <w:t>,</w:t>
      </w:r>
      <w:r w:rsidRPr="007E7B24">
        <w:rPr>
          <w:rFonts w:ascii="Arial" w:eastAsia="Times New Roman" w:hAnsi="Arial" w:cs="Arial"/>
          <w:kern w:val="0"/>
          <w:sz w:val="22"/>
          <w:szCs w:val="22"/>
          <w:lang w:eastAsia="en-GB"/>
          <w14:ligatures w14:val="none"/>
        </w:rPr>
        <w:t xml:space="preserve"> biological research increasingly frames schizophrenia as a predominantly neurodevelopmental condition, with alterations in brain connectivity and cognition emerging long before the first episode of psychosis neurodevelopmental evidence (Schmitt, 2023</w:t>
      </w:r>
      <w:r w:rsidR="00731551" w:rsidRPr="007E7B24">
        <w:rPr>
          <w:rFonts w:ascii="Arial" w:eastAsia="Times New Roman" w:hAnsi="Arial" w:cs="Arial"/>
          <w:kern w:val="0"/>
          <w:sz w:val="22"/>
          <w:szCs w:val="22"/>
          <w:lang w:eastAsia="en-GB"/>
          <w14:ligatures w14:val="none"/>
        </w:rPr>
        <w:t xml:space="preserve"> and</w:t>
      </w:r>
      <w:r w:rsidR="00990C62"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Sun et al., 2024). Other researchers highlight progressive changes in some individuals and argue for a combined neurodevelopmental</w:t>
      </w:r>
      <w:r w:rsidR="00990C62" w:rsidRPr="007E7B24">
        <w:rPr>
          <w:rFonts w:ascii="Arial" w:eastAsia="Times New Roman" w:hAnsi="Arial" w:cs="Arial"/>
          <w:kern w:val="0"/>
          <w:sz w:val="22"/>
          <w:szCs w:val="22"/>
          <w:lang w:eastAsia="en-GB"/>
          <w14:ligatures w14:val="none"/>
        </w:rPr>
        <w:t>-</w:t>
      </w:r>
      <w:r w:rsidRPr="007E7B24">
        <w:rPr>
          <w:rFonts w:ascii="Arial" w:eastAsia="Times New Roman" w:hAnsi="Arial" w:cs="Arial"/>
          <w:kern w:val="0"/>
          <w:sz w:val="22"/>
          <w:szCs w:val="22"/>
          <w:lang w:eastAsia="en-GB"/>
          <w14:ligatures w14:val="none"/>
        </w:rPr>
        <w:t>neurodegenerative model, which has implications for when and how intensively treatment should begin combined</w:t>
      </w:r>
      <w:r w:rsidRPr="007E7B24">
        <w:rPr>
          <w:rFonts w:ascii="Arial" w:eastAsia="Times New Roman" w:hAnsi="Arial" w:cs="Arial"/>
          <w:kern w:val="0"/>
          <w:sz w:val="22"/>
          <w:szCs w:val="22"/>
          <w:lang w:eastAsia="en-GB"/>
          <w14:ligatures w14:val="none"/>
        </w:rPr>
        <w:noBreakHyphen/>
        <w:t>model argument (Stone, 2022).</w:t>
      </w:r>
      <w:r w:rsidR="00162733"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These classification debates directly influence thinking about treatment priorities. If schizophrenia is conceptualised as a long</w:t>
      </w:r>
      <w:r w:rsidRPr="007E7B24">
        <w:rPr>
          <w:rFonts w:ascii="Arial" w:eastAsia="Times New Roman" w:hAnsi="Arial" w:cs="Arial"/>
          <w:kern w:val="0"/>
          <w:sz w:val="22"/>
          <w:szCs w:val="22"/>
          <w:lang w:eastAsia="en-GB"/>
          <w14:ligatures w14:val="none"/>
        </w:rPr>
        <w:noBreakHyphen/>
        <w:t>term neurodevelopmental condition on a spectrum, there is stronger rationale for early detection, staging models of care and sustained psychosocial support, rather than short, crisis</w:t>
      </w:r>
      <w:r w:rsidRPr="007E7B24">
        <w:rPr>
          <w:rFonts w:ascii="Arial" w:eastAsia="Times New Roman" w:hAnsi="Arial" w:cs="Arial"/>
          <w:kern w:val="0"/>
          <w:sz w:val="22"/>
          <w:szCs w:val="22"/>
          <w:lang w:eastAsia="en-GB"/>
          <w14:ligatures w14:val="none"/>
        </w:rPr>
        <w:noBreakHyphen/>
        <w:t>driven episodes of medication</w:t>
      </w:r>
      <w:r w:rsidRPr="007E7B24">
        <w:rPr>
          <w:rFonts w:ascii="Arial" w:eastAsia="Times New Roman" w:hAnsi="Arial" w:cs="Arial"/>
          <w:kern w:val="0"/>
          <w:sz w:val="22"/>
          <w:szCs w:val="22"/>
          <w:lang w:eastAsia="en-GB"/>
          <w14:ligatures w14:val="none"/>
        </w:rPr>
        <w:noBreakHyphen/>
        <w:t>focused treatment treatment</w:t>
      </w:r>
      <w:r w:rsidRPr="007E7B24">
        <w:rPr>
          <w:rFonts w:ascii="Arial" w:eastAsia="Times New Roman" w:hAnsi="Arial" w:cs="Arial"/>
          <w:kern w:val="0"/>
          <w:sz w:val="22"/>
          <w:szCs w:val="22"/>
          <w:lang w:eastAsia="en-GB"/>
          <w14:ligatures w14:val="none"/>
        </w:rPr>
        <w:noBreakHyphen/>
        <w:t>priority shift. Policy developments have reflected this by investing in Early Intervention in Psychosis (EIP) services and introducing access and waiting</w:t>
      </w:r>
      <w:r w:rsidRPr="007E7B24">
        <w:rPr>
          <w:rFonts w:ascii="Arial" w:eastAsia="Times New Roman" w:hAnsi="Arial" w:cs="Arial"/>
          <w:kern w:val="0"/>
          <w:sz w:val="22"/>
          <w:szCs w:val="22"/>
          <w:lang w:eastAsia="en-GB"/>
          <w14:ligatures w14:val="none"/>
        </w:rPr>
        <w:noBreakHyphen/>
        <w:t>time standards, although implementation remains uneven across regions service</w:t>
      </w:r>
      <w:r w:rsidRPr="007E7B24">
        <w:rPr>
          <w:rFonts w:ascii="Arial" w:eastAsia="Times New Roman" w:hAnsi="Arial" w:cs="Arial"/>
          <w:kern w:val="0"/>
          <w:sz w:val="22"/>
          <w:szCs w:val="22"/>
          <w:lang w:eastAsia="en-GB"/>
          <w14:ligatures w14:val="none"/>
        </w:rPr>
        <w:noBreakHyphen/>
        <w:t>delivery variation (NHS England, 2019).</w:t>
      </w:r>
      <w:r w:rsidR="008D65F6" w:rsidRPr="007E7B24">
        <w:rPr>
          <w:rFonts w:ascii="Arial" w:eastAsia="Times New Roman" w:hAnsi="Arial" w:cs="Arial"/>
          <w:kern w:val="36"/>
          <w:sz w:val="22"/>
          <w:szCs w:val="22"/>
          <w:lang w:eastAsia="en-GB"/>
          <w14:ligatures w14:val="none"/>
        </w:rPr>
        <w:t xml:space="preserve"> </w:t>
      </w:r>
    </w:p>
    <w:p w14:paraId="68A50301" w14:textId="77777777" w:rsidR="00976566" w:rsidRDefault="00976566" w:rsidP="008D65F6">
      <w:pPr>
        <w:spacing w:before="100" w:beforeAutospacing="1" w:after="100" w:afterAutospacing="1" w:line="240" w:lineRule="auto"/>
        <w:outlineLvl w:val="0"/>
        <w:rPr>
          <w:rFonts w:ascii="Arial" w:eastAsia="Times New Roman" w:hAnsi="Arial" w:cs="Arial"/>
          <w:kern w:val="0"/>
          <w:sz w:val="22"/>
          <w:szCs w:val="22"/>
          <w:lang w:eastAsia="en-GB"/>
          <w14:ligatures w14:val="none"/>
        </w:rPr>
      </w:pPr>
    </w:p>
    <w:p w14:paraId="1C3416C6" w14:textId="77777777" w:rsidR="00976566" w:rsidRDefault="00976566" w:rsidP="008D65F6">
      <w:pPr>
        <w:spacing w:before="100" w:beforeAutospacing="1" w:after="100" w:afterAutospacing="1" w:line="240" w:lineRule="auto"/>
        <w:outlineLvl w:val="0"/>
        <w:rPr>
          <w:rFonts w:ascii="Arial" w:eastAsia="Times New Roman" w:hAnsi="Arial" w:cs="Arial"/>
          <w:kern w:val="0"/>
          <w:sz w:val="22"/>
          <w:szCs w:val="22"/>
          <w:lang w:eastAsia="en-GB"/>
          <w14:ligatures w14:val="none"/>
        </w:rPr>
      </w:pPr>
    </w:p>
    <w:p w14:paraId="47B84534" w14:textId="77777777" w:rsidR="00976566" w:rsidRDefault="00976566" w:rsidP="008D65F6">
      <w:pPr>
        <w:spacing w:before="100" w:beforeAutospacing="1" w:after="100" w:afterAutospacing="1" w:line="240" w:lineRule="auto"/>
        <w:outlineLvl w:val="0"/>
        <w:rPr>
          <w:rFonts w:ascii="Arial" w:eastAsia="Times New Roman" w:hAnsi="Arial" w:cs="Arial"/>
          <w:kern w:val="0"/>
          <w:sz w:val="22"/>
          <w:szCs w:val="22"/>
          <w:lang w:eastAsia="en-GB"/>
          <w14:ligatures w14:val="none"/>
        </w:rPr>
      </w:pPr>
    </w:p>
    <w:p w14:paraId="3A0E84FA" w14:textId="77777777" w:rsidR="00976566" w:rsidRDefault="00976566" w:rsidP="008D65F6">
      <w:pPr>
        <w:spacing w:before="100" w:beforeAutospacing="1" w:after="100" w:afterAutospacing="1" w:line="240" w:lineRule="auto"/>
        <w:outlineLvl w:val="0"/>
        <w:rPr>
          <w:rFonts w:ascii="Arial" w:eastAsia="Times New Roman" w:hAnsi="Arial" w:cs="Arial"/>
          <w:kern w:val="0"/>
          <w:sz w:val="22"/>
          <w:szCs w:val="22"/>
          <w:lang w:eastAsia="en-GB"/>
          <w14:ligatures w14:val="none"/>
        </w:rPr>
      </w:pPr>
    </w:p>
    <w:p w14:paraId="59736016" w14:textId="49C58866" w:rsidR="00A00103" w:rsidRPr="007E7B24" w:rsidRDefault="00A00103" w:rsidP="008D65F6">
      <w:pPr>
        <w:spacing w:before="100" w:beforeAutospacing="1" w:after="100" w:afterAutospacing="1" w:line="240" w:lineRule="auto"/>
        <w:outlineLvl w:val="0"/>
        <w:rPr>
          <w:rFonts w:ascii="Arial" w:eastAsia="Times New Roman" w:hAnsi="Arial" w:cs="Arial"/>
          <w:kern w:val="36"/>
          <w:sz w:val="22"/>
          <w:szCs w:val="22"/>
          <w:lang w:eastAsia="en-GB"/>
          <w14:ligatures w14:val="none"/>
        </w:rPr>
      </w:pPr>
      <w:r w:rsidRPr="007E7B24">
        <w:rPr>
          <w:rFonts w:ascii="Arial" w:eastAsia="Times New Roman" w:hAnsi="Arial" w:cs="Arial"/>
          <w:kern w:val="0"/>
          <w:sz w:val="22"/>
          <w:szCs w:val="22"/>
          <w:lang w:eastAsia="en-GB"/>
          <w14:ligatures w14:val="none"/>
        </w:rPr>
        <w:lastRenderedPageBreak/>
        <w:t>A further emerging issue concerns whether schizophrenia should be understood as a form of neurodivergence framing. The wider neurodiversity movement argues that some cognitive and perceptual differences should be recognised as natural variations rather than purely pathological. Recent conceptual work has extended this framework beyond autism and ADHD to include psychosis and schizophrenia, viewing them as forms of atypical brain development with both vulnerabilities and potential strengths atypical</w:t>
      </w:r>
      <w:r w:rsidRPr="007E7B24">
        <w:rPr>
          <w:rFonts w:ascii="Arial" w:eastAsia="Times New Roman" w:hAnsi="Arial" w:cs="Arial"/>
          <w:kern w:val="0"/>
          <w:sz w:val="22"/>
          <w:szCs w:val="22"/>
          <w:lang w:eastAsia="en-GB"/>
          <w14:ligatures w14:val="none"/>
        </w:rPr>
        <w:noBreakHyphen/>
        <w:t>development view (Miclea, 2024). This raises questions about whether current diagnostic categories adequately capture people whose experiences cut across autism, ADHD and psychosis, and whether some individuals are mis</w:t>
      </w:r>
      <w:r w:rsidRPr="007E7B24">
        <w:rPr>
          <w:rFonts w:ascii="Arial" w:eastAsia="Times New Roman" w:hAnsi="Arial" w:cs="Arial"/>
          <w:kern w:val="0"/>
          <w:sz w:val="22"/>
          <w:szCs w:val="22"/>
          <w:lang w:eastAsia="en-GB"/>
          <w14:ligatures w14:val="none"/>
        </w:rPr>
        <w:noBreakHyphen/>
        <w:t xml:space="preserve"> or under</w:t>
      </w:r>
      <w:r w:rsidRPr="007E7B24">
        <w:rPr>
          <w:rFonts w:ascii="Arial" w:eastAsia="Times New Roman" w:hAnsi="Arial" w:cs="Arial"/>
          <w:kern w:val="0"/>
          <w:sz w:val="22"/>
          <w:szCs w:val="22"/>
          <w:lang w:eastAsia="en-GB"/>
          <w14:ligatures w14:val="none"/>
        </w:rPr>
        <w:noBreakHyphen/>
        <w:t>diagnosed due to rigid classification rules diagnostic</w:t>
      </w:r>
      <w:r w:rsidRPr="007E7B24">
        <w:rPr>
          <w:rFonts w:ascii="Arial" w:eastAsia="Times New Roman" w:hAnsi="Arial" w:cs="Arial"/>
          <w:kern w:val="0"/>
          <w:sz w:val="22"/>
          <w:szCs w:val="22"/>
          <w:lang w:eastAsia="en-GB"/>
          <w14:ligatures w14:val="none"/>
        </w:rPr>
        <w:noBreakHyphen/>
        <w:t>boundary concerns. Critics of the neurodivergence framing caution that, if applied uncritically, it may unintentionally downplay the severity of distress, functional impairment and need for support experienced by many people with schizophrenia critical</w:t>
      </w:r>
      <w:r w:rsidRPr="007E7B24">
        <w:rPr>
          <w:rFonts w:ascii="Arial" w:eastAsia="Times New Roman" w:hAnsi="Arial" w:cs="Arial"/>
          <w:kern w:val="0"/>
          <w:sz w:val="22"/>
          <w:szCs w:val="22"/>
          <w:lang w:eastAsia="en-GB"/>
          <w14:ligatures w14:val="none"/>
        </w:rPr>
        <w:noBreakHyphen/>
        <w:t>perspective reminder (Miclea, 2024).</w:t>
      </w:r>
    </w:p>
    <w:p w14:paraId="327DD5CE" w14:textId="77777777" w:rsidR="005860DD" w:rsidRDefault="005860DD" w:rsidP="00A00103">
      <w:pPr>
        <w:spacing w:before="100" w:beforeAutospacing="1" w:after="100" w:afterAutospacing="1" w:line="240" w:lineRule="auto"/>
        <w:rPr>
          <w:rFonts w:ascii="Arial" w:eastAsia="Times New Roman" w:hAnsi="Arial" w:cs="Arial"/>
          <w:kern w:val="0"/>
          <w:lang w:eastAsia="en-GB"/>
          <w14:ligatures w14:val="none"/>
        </w:rPr>
      </w:pPr>
    </w:p>
    <w:p w14:paraId="1D5BAA7C" w14:textId="77777777" w:rsidR="005860DD" w:rsidRPr="0065261B" w:rsidRDefault="005860DD" w:rsidP="00A00103">
      <w:pPr>
        <w:spacing w:before="100" w:beforeAutospacing="1" w:after="100" w:afterAutospacing="1" w:line="240" w:lineRule="auto"/>
        <w:rPr>
          <w:rFonts w:ascii="Arial" w:eastAsia="Times New Roman" w:hAnsi="Arial" w:cs="Arial"/>
          <w:kern w:val="0"/>
          <w:lang w:eastAsia="en-GB"/>
          <w14:ligatures w14:val="none"/>
        </w:rPr>
      </w:pPr>
    </w:p>
    <w:p w14:paraId="3A3A0F93" w14:textId="77777777" w:rsidR="00A00103" w:rsidRPr="00BF63E3" w:rsidRDefault="00A00103" w:rsidP="00A00103">
      <w:pPr>
        <w:spacing w:before="100" w:beforeAutospacing="1" w:after="100" w:afterAutospacing="1" w:line="240" w:lineRule="auto"/>
        <w:outlineLvl w:val="0"/>
        <w:rPr>
          <w:rFonts w:ascii="Arial" w:eastAsia="Times New Roman" w:hAnsi="Arial" w:cs="Arial"/>
          <w:b/>
          <w:bCs/>
          <w:kern w:val="36"/>
          <w:sz w:val="30"/>
          <w:szCs w:val="30"/>
          <w:lang w:eastAsia="en-GB"/>
          <w14:ligatures w14:val="none"/>
        </w:rPr>
      </w:pPr>
      <w:r w:rsidRPr="00BF63E3">
        <w:rPr>
          <w:rFonts w:ascii="Arial" w:eastAsia="Times New Roman" w:hAnsi="Arial" w:cs="Arial"/>
          <w:b/>
          <w:bCs/>
          <w:kern w:val="36"/>
          <w:sz w:val="30"/>
          <w:szCs w:val="30"/>
          <w:lang w:eastAsia="en-GB"/>
          <w14:ligatures w14:val="none"/>
        </w:rPr>
        <w:t>Impact on Practice and Policy</w:t>
      </w:r>
    </w:p>
    <w:p w14:paraId="617239E4" w14:textId="595F089E" w:rsidR="005860DD" w:rsidRDefault="00A00103" w:rsidP="006003BD">
      <w:pPr>
        <w:spacing w:before="100" w:beforeAutospacing="1" w:after="100" w:afterAutospacing="1" w:line="240" w:lineRule="auto"/>
        <w:rPr>
          <w:rFonts w:ascii="Arial" w:eastAsia="Times New Roman" w:hAnsi="Arial" w:cs="Arial"/>
          <w:kern w:val="0"/>
          <w:sz w:val="22"/>
          <w:szCs w:val="22"/>
          <w:lang w:eastAsia="en-GB"/>
          <w14:ligatures w14:val="none"/>
        </w:rPr>
      </w:pPr>
      <w:r w:rsidRPr="007E7B24">
        <w:rPr>
          <w:rFonts w:ascii="Arial" w:eastAsia="Times New Roman" w:hAnsi="Arial" w:cs="Arial"/>
          <w:kern w:val="0"/>
          <w:sz w:val="22"/>
          <w:szCs w:val="22"/>
          <w:lang w:eastAsia="en-GB"/>
          <w14:ligatures w14:val="none"/>
        </w:rPr>
        <w:t>These debates have significant implications for practice and policy</w:t>
      </w:r>
      <w:r w:rsidRPr="007E7B24">
        <w:rPr>
          <w:rFonts w:ascii="Arial" w:eastAsia="Times New Roman" w:hAnsi="Arial" w:cs="Arial"/>
          <w:kern w:val="0"/>
          <w:sz w:val="22"/>
          <w:szCs w:val="22"/>
          <w:lang w:eastAsia="en-GB"/>
          <w14:ligatures w14:val="none"/>
        </w:rPr>
        <w:noBreakHyphen/>
        <w:t>impact overview. The recognition of schizophrenia as a long</w:t>
      </w:r>
      <w:r w:rsidRPr="007E7B24">
        <w:rPr>
          <w:rFonts w:ascii="Arial" w:eastAsia="Times New Roman" w:hAnsi="Arial" w:cs="Arial"/>
          <w:kern w:val="0"/>
          <w:sz w:val="22"/>
          <w:szCs w:val="22"/>
          <w:lang w:eastAsia="en-GB"/>
          <w14:ligatures w14:val="none"/>
        </w:rPr>
        <w:noBreakHyphen/>
        <w:t>term neurodevelopmental condition has contributed to national investment in early intervention, with the NHS Long Term Plan and Mental Health Implementation Plan committing to comprehensive EIP services for all age groups, including those with an at</w:t>
      </w:r>
      <w:r w:rsidRPr="007E7B24">
        <w:rPr>
          <w:rFonts w:ascii="Arial" w:eastAsia="Times New Roman" w:hAnsi="Arial" w:cs="Arial"/>
          <w:kern w:val="0"/>
          <w:sz w:val="22"/>
          <w:szCs w:val="22"/>
          <w:lang w:eastAsia="en-GB"/>
          <w14:ligatures w14:val="none"/>
        </w:rPr>
        <w:noBreakHyphen/>
        <w:t>risk mental state early</w:t>
      </w:r>
      <w:r w:rsidRPr="007E7B24">
        <w:rPr>
          <w:rFonts w:ascii="Arial" w:eastAsia="Times New Roman" w:hAnsi="Arial" w:cs="Arial"/>
          <w:kern w:val="0"/>
          <w:sz w:val="22"/>
          <w:szCs w:val="22"/>
          <w:lang w:eastAsia="en-GB"/>
          <w14:ligatures w14:val="none"/>
        </w:rPr>
        <w:noBreakHyphen/>
        <w:t>intervention expansion (NHS England, 2019). A dimensional, spectrum</w:t>
      </w:r>
      <w:r w:rsidRPr="007E7B24">
        <w:rPr>
          <w:rFonts w:ascii="Arial" w:eastAsia="Times New Roman" w:hAnsi="Arial" w:cs="Arial"/>
          <w:kern w:val="0"/>
          <w:sz w:val="22"/>
          <w:szCs w:val="22"/>
          <w:lang w:eastAsia="en-GB"/>
          <w14:ligatures w14:val="none"/>
        </w:rPr>
        <w:noBreakHyphen/>
        <w:t>based view supports the development of flexible pathways that offer support before full</w:t>
      </w:r>
      <w:r w:rsidRPr="007E7B24">
        <w:rPr>
          <w:rFonts w:ascii="Arial" w:eastAsia="Times New Roman" w:hAnsi="Arial" w:cs="Arial"/>
          <w:kern w:val="0"/>
          <w:sz w:val="22"/>
          <w:szCs w:val="22"/>
          <w:lang w:eastAsia="en-GB"/>
          <w14:ligatures w14:val="none"/>
        </w:rPr>
        <w:noBreakHyphen/>
        <w:t>threshold psychosis and encourages trauma</w:t>
      </w:r>
      <w:r w:rsidRPr="007E7B24">
        <w:rPr>
          <w:rFonts w:ascii="Arial" w:eastAsia="Times New Roman" w:hAnsi="Arial" w:cs="Arial"/>
          <w:kern w:val="0"/>
          <w:sz w:val="22"/>
          <w:szCs w:val="22"/>
          <w:lang w:eastAsia="en-GB"/>
          <w14:ligatures w14:val="none"/>
        </w:rPr>
        <w:noBreakHyphen/>
        <w:t>informed, staged care rather than a narrow focus on acute hospitalisation staged</w:t>
      </w:r>
      <w:r w:rsidRPr="007E7B24">
        <w:rPr>
          <w:rFonts w:ascii="Arial" w:eastAsia="Times New Roman" w:hAnsi="Arial" w:cs="Arial"/>
          <w:kern w:val="0"/>
          <w:sz w:val="22"/>
          <w:szCs w:val="22"/>
          <w:lang w:eastAsia="en-GB"/>
          <w14:ligatures w14:val="none"/>
        </w:rPr>
        <w:noBreakHyphen/>
        <w:t>care model.</w:t>
      </w:r>
      <w:r w:rsidR="00F84A97"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Debates about classification also intersect with concerns about inequalities and racism in psychosis diagnosis inequality considerations. Data show higher rates of psychotic disorders among some Black and minority ethnic groups, and recent reviews link experiences of racism and structural disadvantage with increased psychosis risk and poorer outcomes structural</w:t>
      </w:r>
      <w:r w:rsidRPr="007E7B24">
        <w:rPr>
          <w:rFonts w:ascii="Arial" w:eastAsia="Times New Roman" w:hAnsi="Arial" w:cs="Arial"/>
          <w:kern w:val="0"/>
          <w:sz w:val="22"/>
          <w:szCs w:val="22"/>
          <w:lang w:eastAsia="en-GB"/>
          <w14:ligatures w14:val="none"/>
        </w:rPr>
        <w:noBreakHyphen/>
        <w:t>risk factors (Ethnicity Facts and Figures, 2017). This has prompted calls for culturally competent assessment, co</w:t>
      </w:r>
      <w:r w:rsidRPr="007E7B24">
        <w:rPr>
          <w:rFonts w:ascii="Arial" w:eastAsia="Times New Roman" w:hAnsi="Arial" w:cs="Arial"/>
          <w:kern w:val="0"/>
          <w:sz w:val="22"/>
          <w:szCs w:val="22"/>
          <w:lang w:eastAsia="en-GB"/>
          <w14:ligatures w14:val="none"/>
        </w:rPr>
        <w:noBreakHyphen/>
        <w:t>produced services and closer attention to social determinants of mental health within national policy frameworks culturally</w:t>
      </w:r>
      <w:r w:rsidRPr="007E7B24">
        <w:rPr>
          <w:rFonts w:ascii="Arial" w:eastAsia="Times New Roman" w:hAnsi="Arial" w:cs="Arial"/>
          <w:kern w:val="0"/>
          <w:sz w:val="22"/>
          <w:szCs w:val="22"/>
          <w:lang w:eastAsia="en-GB"/>
          <w14:ligatures w14:val="none"/>
        </w:rPr>
        <w:noBreakHyphen/>
        <w:t>competent practice.</w:t>
      </w:r>
      <w:r w:rsidR="001B5382" w:rsidRPr="007E7B24">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Finally, neurodiversity</w:t>
      </w:r>
      <w:r w:rsidRPr="007E7B24">
        <w:rPr>
          <w:rFonts w:ascii="Arial" w:eastAsia="Times New Roman" w:hAnsi="Arial" w:cs="Arial"/>
          <w:kern w:val="0"/>
          <w:sz w:val="22"/>
          <w:szCs w:val="22"/>
          <w:lang w:eastAsia="en-GB"/>
          <w14:ligatures w14:val="none"/>
        </w:rPr>
        <w:noBreakHyphen/>
        <w:t>informed perspectives are beginning to influence everyday language and practice language</w:t>
      </w:r>
      <w:r w:rsidRPr="007E7B24">
        <w:rPr>
          <w:rFonts w:ascii="Arial" w:eastAsia="Times New Roman" w:hAnsi="Arial" w:cs="Arial"/>
          <w:kern w:val="0"/>
          <w:sz w:val="22"/>
          <w:szCs w:val="22"/>
          <w:lang w:eastAsia="en-GB"/>
          <w14:ligatures w14:val="none"/>
        </w:rPr>
        <w:noBreakHyphen/>
        <w:t>shift trend. Some clinicians and service users now use terms such as “neurodivergent” alongside, or instead of, “disorder”, and emphasise adaptations, environmental changes and rights</w:t>
      </w:r>
      <w:r w:rsidRPr="007E7B24">
        <w:rPr>
          <w:rFonts w:ascii="Arial" w:eastAsia="Times New Roman" w:hAnsi="Arial" w:cs="Arial"/>
          <w:kern w:val="0"/>
          <w:sz w:val="22"/>
          <w:szCs w:val="22"/>
          <w:lang w:eastAsia="en-GB"/>
          <w14:ligatures w14:val="none"/>
        </w:rPr>
        <w:noBreakHyphen/>
        <w:t>based approaches rights</w:t>
      </w:r>
      <w:r w:rsidRPr="007E7B24">
        <w:rPr>
          <w:rFonts w:ascii="Arial" w:eastAsia="Times New Roman" w:hAnsi="Arial" w:cs="Arial"/>
          <w:kern w:val="0"/>
          <w:sz w:val="22"/>
          <w:szCs w:val="22"/>
          <w:lang w:eastAsia="en-GB"/>
          <w14:ligatures w14:val="none"/>
        </w:rPr>
        <w:noBreakHyphen/>
        <w:t>based orientation. Policy documents on community mental health increasingly highlight personalised, holistic support and collaboration between NHS, social care, housing and voluntary</w:t>
      </w:r>
      <w:r w:rsidRPr="007E7B24">
        <w:rPr>
          <w:rFonts w:ascii="Arial" w:eastAsia="Times New Roman" w:hAnsi="Arial" w:cs="Arial"/>
          <w:kern w:val="0"/>
          <w:sz w:val="22"/>
          <w:szCs w:val="22"/>
          <w:lang w:eastAsia="en-GB"/>
          <w14:ligatures w14:val="none"/>
        </w:rPr>
        <w:noBreakHyphen/>
        <w:t>sector services, reflecting this shift holistic</w:t>
      </w:r>
      <w:r w:rsidRPr="007E7B24">
        <w:rPr>
          <w:rFonts w:ascii="Arial" w:eastAsia="Times New Roman" w:hAnsi="Arial" w:cs="Arial"/>
          <w:kern w:val="0"/>
          <w:sz w:val="22"/>
          <w:szCs w:val="22"/>
          <w:lang w:eastAsia="en-GB"/>
          <w14:ligatures w14:val="none"/>
        </w:rPr>
        <w:noBreakHyphen/>
        <w:t>care emphasis (Department of Health and Social Care, 2022</w:t>
      </w:r>
      <w:r w:rsidR="008C7E82">
        <w:rPr>
          <w:rFonts w:ascii="Arial" w:eastAsia="Times New Roman" w:hAnsi="Arial" w:cs="Arial"/>
          <w:kern w:val="0"/>
          <w:sz w:val="22"/>
          <w:szCs w:val="22"/>
          <w:lang w:eastAsia="en-GB"/>
          <w14:ligatures w14:val="none"/>
        </w:rPr>
        <w:t xml:space="preserve">). </w:t>
      </w:r>
      <w:r w:rsidRPr="007E7B24">
        <w:rPr>
          <w:rFonts w:ascii="Arial" w:eastAsia="Times New Roman" w:hAnsi="Arial" w:cs="Arial"/>
          <w:kern w:val="0"/>
          <w:sz w:val="22"/>
          <w:szCs w:val="22"/>
          <w:lang w:eastAsia="en-GB"/>
          <w14:ligatures w14:val="none"/>
        </w:rPr>
        <w:t>While these changes can reduce stigma and promote autonomy, they also require careful balancing to ensure that the seriousness of psychosis and the need for accessible, evidence</w:t>
      </w:r>
      <w:r w:rsidRPr="007E7B24">
        <w:rPr>
          <w:rFonts w:ascii="Arial" w:eastAsia="Times New Roman" w:hAnsi="Arial" w:cs="Arial"/>
          <w:kern w:val="0"/>
          <w:sz w:val="22"/>
          <w:szCs w:val="22"/>
          <w:lang w:eastAsia="en-GB"/>
          <w14:ligatures w14:val="none"/>
        </w:rPr>
        <w:noBreakHyphen/>
        <w:t>based treatment remain clearly recognised balanced</w:t>
      </w:r>
      <w:r w:rsidRPr="007E7B24">
        <w:rPr>
          <w:rFonts w:ascii="Arial" w:eastAsia="Times New Roman" w:hAnsi="Arial" w:cs="Arial"/>
          <w:kern w:val="0"/>
          <w:sz w:val="22"/>
          <w:szCs w:val="22"/>
          <w:lang w:eastAsia="en-GB"/>
          <w14:ligatures w14:val="none"/>
        </w:rPr>
        <w:noBreakHyphen/>
        <w:t>care perspective.</w:t>
      </w:r>
    </w:p>
    <w:p w14:paraId="2CB42B20" w14:textId="77777777" w:rsidR="005860DD" w:rsidRDefault="005860DD" w:rsidP="006003BD">
      <w:pPr>
        <w:spacing w:before="100" w:beforeAutospacing="1" w:after="100" w:afterAutospacing="1" w:line="240" w:lineRule="auto"/>
        <w:rPr>
          <w:rFonts w:ascii="Arial" w:eastAsia="Times New Roman" w:hAnsi="Arial" w:cs="Arial"/>
          <w:kern w:val="0"/>
          <w:sz w:val="22"/>
          <w:szCs w:val="22"/>
          <w:lang w:eastAsia="en-GB"/>
          <w14:ligatures w14:val="none"/>
        </w:rPr>
      </w:pPr>
    </w:p>
    <w:p w14:paraId="0AC84654" w14:textId="77777777" w:rsidR="00976566" w:rsidRDefault="00976566" w:rsidP="006003BD">
      <w:pPr>
        <w:spacing w:before="100" w:beforeAutospacing="1" w:after="100" w:afterAutospacing="1" w:line="240" w:lineRule="auto"/>
        <w:rPr>
          <w:rFonts w:ascii="Arial" w:eastAsia="Times New Roman" w:hAnsi="Arial" w:cs="Arial"/>
          <w:kern w:val="0"/>
          <w:sz w:val="22"/>
          <w:szCs w:val="22"/>
          <w:lang w:eastAsia="en-GB"/>
          <w14:ligatures w14:val="none"/>
        </w:rPr>
      </w:pPr>
    </w:p>
    <w:p w14:paraId="36E2C094" w14:textId="77777777" w:rsidR="00976566" w:rsidRDefault="00976566" w:rsidP="006003BD">
      <w:pPr>
        <w:spacing w:before="100" w:beforeAutospacing="1" w:after="100" w:afterAutospacing="1" w:line="240" w:lineRule="auto"/>
        <w:rPr>
          <w:rFonts w:ascii="Arial" w:eastAsia="Times New Roman" w:hAnsi="Arial" w:cs="Arial"/>
          <w:kern w:val="0"/>
          <w:sz w:val="22"/>
          <w:szCs w:val="22"/>
          <w:lang w:eastAsia="en-GB"/>
          <w14:ligatures w14:val="none"/>
        </w:rPr>
      </w:pPr>
    </w:p>
    <w:p w14:paraId="0C912A48" w14:textId="77777777" w:rsidR="00976566" w:rsidRPr="005860DD" w:rsidRDefault="00976566" w:rsidP="006003BD">
      <w:pPr>
        <w:spacing w:before="100" w:beforeAutospacing="1" w:after="100" w:afterAutospacing="1" w:line="240" w:lineRule="auto"/>
        <w:rPr>
          <w:rFonts w:ascii="Arial" w:eastAsia="Times New Roman" w:hAnsi="Arial" w:cs="Arial"/>
          <w:kern w:val="0"/>
          <w:sz w:val="22"/>
          <w:szCs w:val="22"/>
          <w:lang w:eastAsia="en-GB"/>
          <w14:ligatures w14:val="none"/>
        </w:rPr>
      </w:pPr>
    </w:p>
    <w:p w14:paraId="663F265C" w14:textId="2059C635" w:rsidR="008A6D32" w:rsidRPr="00BF63E3" w:rsidRDefault="008A6D32" w:rsidP="006003BD">
      <w:pPr>
        <w:spacing w:before="100" w:beforeAutospacing="1" w:after="100" w:afterAutospacing="1" w:line="240" w:lineRule="auto"/>
        <w:rPr>
          <w:rStyle w:val="apple-converted-space"/>
          <w:rFonts w:ascii="Arial" w:eastAsia="Times New Roman" w:hAnsi="Arial" w:cs="Arial"/>
          <w:b/>
          <w:bCs/>
          <w:kern w:val="0"/>
          <w:lang w:eastAsia="en-GB"/>
          <w14:ligatures w14:val="none"/>
        </w:rPr>
      </w:pPr>
      <w:r w:rsidRPr="00BF63E3">
        <w:rPr>
          <w:rFonts w:ascii="Arial" w:hAnsi="Arial" w:cs="Arial"/>
          <w:b/>
          <w:bCs/>
          <w:color w:val="000000"/>
          <w:sz w:val="30"/>
          <w:szCs w:val="30"/>
        </w:rPr>
        <w:lastRenderedPageBreak/>
        <w:t>Recommendations</w:t>
      </w:r>
    </w:p>
    <w:p w14:paraId="46832795" w14:textId="4A2D17F9" w:rsidR="00997FCC" w:rsidRPr="00997FCC" w:rsidRDefault="00EA2AF0" w:rsidP="006003BD">
      <w:pPr>
        <w:spacing w:before="100" w:beforeAutospacing="1" w:after="100" w:afterAutospacing="1" w:line="240" w:lineRule="auto"/>
        <w:rPr>
          <w:rFonts w:ascii="Arial" w:eastAsia="Times New Roman" w:hAnsi="Arial" w:cs="Arial"/>
          <w:kern w:val="0"/>
          <w:sz w:val="22"/>
          <w:szCs w:val="22"/>
          <w:lang w:eastAsia="en-GB"/>
          <w14:ligatures w14:val="none"/>
        </w:rPr>
      </w:pPr>
      <w:r w:rsidRPr="007E7B24">
        <w:rPr>
          <w:rFonts w:ascii="Arial" w:eastAsia="Times New Roman" w:hAnsi="Arial" w:cs="Arial"/>
          <w:kern w:val="0"/>
          <w:sz w:val="22"/>
          <w:szCs w:val="22"/>
          <w:lang w:eastAsia="en-GB"/>
          <w14:ligatures w14:val="none"/>
        </w:rPr>
        <w:t>One recommendation should be to</w:t>
      </w:r>
      <w:r w:rsidR="00DD1E8C" w:rsidRPr="007E7B24">
        <w:rPr>
          <w:rFonts w:ascii="Arial" w:eastAsia="Times New Roman" w:hAnsi="Arial" w:cs="Arial"/>
          <w:kern w:val="0"/>
          <w:sz w:val="22"/>
          <w:szCs w:val="22"/>
          <w:lang w:eastAsia="en-GB"/>
          <w14:ligatures w14:val="none"/>
        </w:rPr>
        <w:t xml:space="preserve"> improve</w:t>
      </w:r>
      <w:r w:rsidR="004A2BFF" w:rsidRPr="007E7B24">
        <w:rPr>
          <w:rFonts w:ascii="Arial" w:eastAsia="Times New Roman" w:hAnsi="Arial" w:cs="Arial"/>
          <w:kern w:val="0"/>
          <w:sz w:val="22"/>
          <w:szCs w:val="22"/>
          <w:lang w:eastAsia="en-GB"/>
          <w14:ligatures w14:val="none"/>
        </w:rPr>
        <w:t xml:space="preserve"> the classification, diagnosis, treatment and rehabilitation of schizophrenia in the UK</w:t>
      </w:r>
      <w:r w:rsidR="00DD1E8C" w:rsidRPr="007E7B24">
        <w:rPr>
          <w:rFonts w:ascii="Arial" w:eastAsia="Times New Roman" w:hAnsi="Arial" w:cs="Arial"/>
          <w:kern w:val="0"/>
          <w:sz w:val="22"/>
          <w:szCs w:val="22"/>
          <w:lang w:eastAsia="en-GB"/>
          <w14:ligatures w14:val="none"/>
        </w:rPr>
        <w:t xml:space="preserve">. </w:t>
      </w:r>
      <w:r w:rsidR="00C673D1" w:rsidRPr="007E7B24">
        <w:rPr>
          <w:rFonts w:ascii="Arial" w:eastAsia="Times New Roman" w:hAnsi="Arial" w:cs="Arial"/>
          <w:kern w:val="0"/>
          <w:sz w:val="22"/>
          <w:szCs w:val="22"/>
          <w:lang w:eastAsia="en-GB"/>
          <w14:ligatures w14:val="none"/>
        </w:rPr>
        <w:t>This</w:t>
      </w:r>
      <w:r w:rsidR="004A2BFF" w:rsidRPr="007E7B24">
        <w:rPr>
          <w:rFonts w:ascii="Arial" w:eastAsia="Times New Roman" w:hAnsi="Arial" w:cs="Arial"/>
          <w:kern w:val="0"/>
          <w:sz w:val="22"/>
          <w:szCs w:val="22"/>
          <w:lang w:eastAsia="en-GB"/>
          <w14:ligatures w14:val="none"/>
        </w:rPr>
        <w:t xml:space="preserve"> should </w:t>
      </w:r>
      <w:r w:rsidR="00C673D1" w:rsidRPr="007E7B24">
        <w:rPr>
          <w:rFonts w:ascii="Arial" w:eastAsia="Times New Roman" w:hAnsi="Arial" w:cs="Arial"/>
          <w:kern w:val="0"/>
          <w:sz w:val="22"/>
          <w:szCs w:val="22"/>
          <w:lang w:eastAsia="en-GB"/>
          <w14:ligatures w14:val="none"/>
        </w:rPr>
        <w:t xml:space="preserve">be </w:t>
      </w:r>
      <w:r w:rsidR="004A2BFF" w:rsidRPr="007E7B24">
        <w:rPr>
          <w:rFonts w:ascii="Arial" w:eastAsia="Times New Roman" w:hAnsi="Arial" w:cs="Arial"/>
          <w:kern w:val="0"/>
          <w:sz w:val="22"/>
          <w:szCs w:val="22"/>
          <w:lang w:eastAsia="en-GB"/>
          <w14:ligatures w14:val="none"/>
        </w:rPr>
        <w:t>buil</w:t>
      </w:r>
      <w:r w:rsidR="00C673D1" w:rsidRPr="007E7B24">
        <w:rPr>
          <w:rFonts w:ascii="Arial" w:eastAsia="Times New Roman" w:hAnsi="Arial" w:cs="Arial"/>
          <w:kern w:val="0"/>
          <w:sz w:val="22"/>
          <w:szCs w:val="22"/>
          <w:lang w:eastAsia="en-GB"/>
          <w14:ligatures w14:val="none"/>
        </w:rPr>
        <w:t>t</w:t>
      </w:r>
      <w:r w:rsidR="004A2BFF" w:rsidRPr="007E7B24">
        <w:rPr>
          <w:rFonts w:ascii="Arial" w:eastAsia="Times New Roman" w:hAnsi="Arial" w:cs="Arial"/>
          <w:kern w:val="0"/>
          <w:sz w:val="22"/>
          <w:szCs w:val="22"/>
          <w:lang w:eastAsia="en-GB"/>
          <w14:ligatures w14:val="none"/>
        </w:rPr>
        <w:t xml:space="preserve"> on recent advances while addressing persistent gaps in equity and implementation. Although ICD-11 has adopted a more flexible, dimensional approach to classification, UK practice would benefit from routinely combining categorical diagnosis with severity ratings and staged models of care, enabling earlier identification of at-risk mental states and more personalised treatment planning (World Health Organization, 2022; NHS England, 2019). Diagnostic processes should also be strengthened through culturally competent assessments, given evidence of disproportionate schizophrenia diagnoses and coercive care pathways among some Black and minority ethnic groups; this requires structured training, use of cultural formulation tools, and routine audit of diagnostic patterns in line with NICE guidance (</w:t>
      </w:r>
      <w:proofErr w:type="spellStart"/>
      <w:r w:rsidR="004A2BFF" w:rsidRPr="007E7B24">
        <w:rPr>
          <w:rFonts w:ascii="Arial" w:eastAsia="Times New Roman" w:hAnsi="Arial" w:cs="Arial"/>
          <w:kern w:val="0"/>
          <w:sz w:val="22"/>
          <w:szCs w:val="22"/>
          <w:lang w:eastAsia="en-GB"/>
          <w14:ligatures w14:val="none"/>
        </w:rPr>
        <w:t>Bhui</w:t>
      </w:r>
      <w:proofErr w:type="spellEnd"/>
      <w:r w:rsidR="004A2BFF" w:rsidRPr="007E7B24">
        <w:rPr>
          <w:rFonts w:ascii="Arial" w:eastAsia="Times New Roman" w:hAnsi="Arial" w:cs="Arial"/>
          <w:kern w:val="0"/>
          <w:sz w:val="22"/>
          <w:szCs w:val="22"/>
          <w:lang w:eastAsia="en-GB"/>
          <w14:ligatures w14:val="none"/>
        </w:rPr>
        <w:t xml:space="preserve"> et al., 2024). In relation to treatment, greater consistency is needed in delivering NICE-recommended psychosocial interventions, including CBT for psychosis, family intervention, and physical-health monitoring, alongside antipsychotic medication, rather than relying predominantly on pharmacological approaches (NICE, 2022). Rehabilitation should be expanded through stronger integration of Individual Placement and Support (IPS), cognitive remediation, and community-based recovery services aligned with the Community Mental Health Framework, supporting functional outcomes such as employment, independence and social inclusion (Addington et al., 2019). At a policy level, these recommendations reinforce the commitments of the NHS Long Term Plan but highlight the need for improved accountability to reduce regional variation in access to care (NHS England, 2021). Future research should prioritise UK-based evaluations of dimensional diagnostic models, culturally adapted interventions, and treatments targeting negative and cognitive symptoms, with increased investment from bodies such as the NIHR to ensure that services reflect both clinical evidence and lived experience (NIHR, 2023).</w:t>
      </w:r>
    </w:p>
    <w:p w14:paraId="75C42BB4" w14:textId="6B86C270" w:rsidR="008A6D32" w:rsidRPr="00BF63E3" w:rsidRDefault="008A6D32" w:rsidP="006003BD">
      <w:pPr>
        <w:spacing w:before="100" w:beforeAutospacing="1" w:after="100" w:afterAutospacing="1" w:line="240" w:lineRule="auto"/>
        <w:rPr>
          <w:rFonts w:ascii="Arial" w:eastAsia="Times New Roman" w:hAnsi="Arial" w:cs="Arial"/>
          <w:b/>
          <w:bCs/>
          <w:kern w:val="0"/>
          <w:lang w:eastAsia="en-GB"/>
          <w14:ligatures w14:val="none"/>
        </w:rPr>
      </w:pPr>
      <w:r w:rsidRPr="00BF63E3">
        <w:rPr>
          <w:rFonts w:ascii="Arial" w:hAnsi="Arial" w:cs="Arial"/>
          <w:b/>
          <w:bCs/>
          <w:color w:val="000000"/>
          <w:sz w:val="30"/>
          <w:szCs w:val="30"/>
        </w:rPr>
        <w:t>Conclusion</w:t>
      </w:r>
    </w:p>
    <w:p w14:paraId="0E44149B" w14:textId="792485BA" w:rsidR="00750ACA" w:rsidRDefault="009B572A" w:rsidP="008A6D32">
      <w:pPr>
        <w:pStyle w:val="NormalWeb"/>
        <w:rPr>
          <w:rFonts w:ascii="Arial" w:hAnsi="Arial" w:cs="Arial"/>
          <w:b/>
          <w:bCs/>
          <w:color w:val="000000"/>
        </w:rPr>
      </w:pPr>
      <w:r w:rsidRPr="007E7B24">
        <w:rPr>
          <w:rFonts w:ascii="Arial" w:hAnsi="Arial" w:cs="Arial"/>
          <w:sz w:val="22"/>
          <w:szCs w:val="22"/>
        </w:rPr>
        <w:t>Schizophrenia remains one of the most complex and widely debated mental health conditions, and modern frameworks such as ICD</w:t>
      </w:r>
      <w:r w:rsidRPr="007E7B24">
        <w:rPr>
          <w:rFonts w:ascii="Arial" w:hAnsi="Arial" w:cs="Arial"/>
          <w:sz w:val="22"/>
          <w:szCs w:val="22"/>
        </w:rPr>
        <w:noBreakHyphen/>
        <w:t xml:space="preserve">11 reflect this by shifting towards a more flexible and dimensional classification </w:t>
      </w:r>
      <w:r w:rsidRPr="007E7B24">
        <w:rPr>
          <w:rStyle w:val="Strong"/>
          <w:rFonts w:ascii="Arial" w:eastAsiaTheme="majorEastAsia" w:hAnsi="Arial" w:cs="Arial"/>
          <w:b w:val="0"/>
          <w:bCs w:val="0"/>
          <w:sz w:val="22"/>
          <w:szCs w:val="22"/>
        </w:rPr>
        <w:t>dimensional</w:t>
      </w:r>
      <w:r w:rsidRPr="007E7B24">
        <w:rPr>
          <w:rStyle w:val="Strong"/>
          <w:rFonts w:ascii="Arial" w:eastAsiaTheme="majorEastAsia" w:hAnsi="Arial" w:cs="Arial"/>
          <w:b w:val="0"/>
          <w:bCs w:val="0"/>
          <w:sz w:val="22"/>
          <w:szCs w:val="22"/>
        </w:rPr>
        <w:noBreakHyphen/>
        <w:t>classification shift</w:t>
      </w:r>
      <w:r w:rsidRPr="007E7B24">
        <w:rPr>
          <w:rFonts w:ascii="Arial" w:hAnsi="Arial" w:cs="Arial"/>
          <w:sz w:val="22"/>
          <w:szCs w:val="22"/>
        </w:rPr>
        <w:t>. This approach acknowledges the wide variation in how individuals experience psychosis and places greater emphasis on functional impairment, personalised assessment and long</w:t>
      </w:r>
      <w:r w:rsidRPr="007E7B24">
        <w:rPr>
          <w:rFonts w:ascii="Arial" w:hAnsi="Arial" w:cs="Arial"/>
          <w:sz w:val="22"/>
          <w:szCs w:val="22"/>
        </w:rPr>
        <w:noBreakHyphen/>
        <w:t xml:space="preserve">term support </w:t>
      </w:r>
      <w:r w:rsidRPr="007E7B24">
        <w:rPr>
          <w:rStyle w:val="Strong"/>
          <w:rFonts w:ascii="Arial" w:eastAsiaTheme="majorEastAsia" w:hAnsi="Arial" w:cs="Arial"/>
          <w:b w:val="0"/>
          <w:bCs w:val="0"/>
          <w:sz w:val="22"/>
          <w:szCs w:val="22"/>
        </w:rPr>
        <w:t>person</w:t>
      </w:r>
      <w:r w:rsidRPr="007E7B24">
        <w:rPr>
          <w:rStyle w:val="Strong"/>
          <w:rFonts w:ascii="Arial" w:eastAsiaTheme="majorEastAsia" w:hAnsi="Arial" w:cs="Arial"/>
          <w:b w:val="0"/>
          <w:bCs w:val="0"/>
          <w:sz w:val="22"/>
          <w:szCs w:val="22"/>
        </w:rPr>
        <w:noBreakHyphen/>
        <w:t>centred emphasis</w:t>
      </w:r>
      <w:r w:rsidRPr="007E7B24">
        <w:rPr>
          <w:rFonts w:ascii="Arial" w:hAnsi="Arial" w:cs="Arial"/>
          <w:sz w:val="22"/>
          <w:szCs w:val="22"/>
        </w:rPr>
        <w:t xml:space="preserve">. UK practice, informed by NICE guidance and national policy, continues to strengthen early detection and multidisciplinary intervention, although inequalities in access and outcomes persist </w:t>
      </w:r>
      <w:r w:rsidRPr="007E7B24">
        <w:rPr>
          <w:rStyle w:val="Strong"/>
          <w:rFonts w:ascii="Arial" w:eastAsiaTheme="majorEastAsia" w:hAnsi="Arial" w:cs="Arial"/>
          <w:b w:val="0"/>
          <w:bCs w:val="0"/>
          <w:sz w:val="22"/>
          <w:szCs w:val="22"/>
        </w:rPr>
        <w:t>service</w:t>
      </w:r>
      <w:r w:rsidRPr="007E7B24">
        <w:rPr>
          <w:rStyle w:val="Strong"/>
          <w:rFonts w:ascii="Arial" w:eastAsiaTheme="majorEastAsia" w:hAnsi="Arial" w:cs="Arial"/>
          <w:b w:val="0"/>
          <w:bCs w:val="0"/>
          <w:sz w:val="22"/>
          <w:szCs w:val="22"/>
        </w:rPr>
        <w:noBreakHyphen/>
        <w:t>equity concerns</w:t>
      </w:r>
      <w:r w:rsidRPr="007E7B24">
        <w:rPr>
          <w:rFonts w:ascii="Arial" w:hAnsi="Arial" w:cs="Arial"/>
          <w:sz w:val="22"/>
          <w:szCs w:val="22"/>
        </w:rPr>
        <w:t>.</w:t>
      </w:r>
      <w:r w:rsidR="004437D7" w:rsidRPr="007E7B24">
        <w:rPr>
          <w:rFonts w:ascii="Arial" w:hAnsi="Arial" w:cs="Arial"/>
          <w:sz w:val="22"/>
          <w:szCs w:val="22"/>
        </w:rPr>
        <w:t xml:space="preserve"> </w:t>
      </w:r>
      <w:r w:rsidRPr="007E7B24">
        <w:rPr>
          <w:rFonts w:ascii="Arial" w:hAnsi="Arial" w:cs="Arial"/>
          <w:sz w:val="22"/>
          <w:szCs w:val="22"/>
        </w:rPr>
        <w:t xml:space="preserve">Diagnosis and treatment have advanced significantly, yet important challenges remain </w:t>
      </w:r>
      <w:r w:rsidRPr="007E7B24">
        <w:rPr>
          <w:rStyle w:val="Strong"/>
          <w:rFonts w:ascii="Arial" w:eastAsiaTheme="majorEastAsia" w:hAnsi="Arial" w:cs="Arial"/>
          <w:b w:val="0"/>
          <w:bCs w:val="0"/>
          <w:sz w:val="22"/>
          <w:szCs w:val="22"/>
        </w:rPr>
        <w:t>ongoing</w:t>
      </w:r>
      <w:r w:rsidRPr="007E7B24">
        <w:rPr>
          <w:rStyle w:val="Strong"/>
          <w:rFonts w:ascii="Arial" w:eastAsiaTheme="majorEastAsia" w:hAnsi="Arial" w:cs="Arial"/>
          <w:b w:val="0"/>
          <w:bCs w:val="0"/>
          <w:sz w:val="22"/>
          <w:szCs w:val="22"/>
        </w:rPr>
        <w:noBreakHyphen/>
        <w:t>treatment challenges</w:t>
      </w:r>
      <w:r w:rsidRPr="007E7B24">
        <w:rPr>
          <w:rFonts w:ascii="Arial" w:hAnsi="Arial" w:cs="Arial"/>
          <w:sz w:val="22"/>
          <w:szCs w:val="22"/>
        </w:rPr>
        <w:t xml:space="preserve">. Standard antipsychotic treatments are effective for positive symptoms but less so for negative and cognitive symptoms, and rehabilitation services are unevenly implemented across the country </w:t>
      </w:r>
      <w:r w:rsidRPr="007E7B24">
        <w:rPr>
          <w:rStyle w:val="Strong"/>
          <w:rFonts w:ascii="Arial" w:eastAsiaTheme="majorEastAsia" w:hAnsi="Arial" w:cs="Arial"/>
          <w:b w:val="0"/>
          <w:bCs w:val="0"/>
          <w:sz w:val="22"/>
          <w:szCs w:val="22"/>
        </w:rPr>
        <w:t>rehabilitation</w:t>
      </w:r>
      <w:r w:rsidRPr="007E7B24">
        <w:rPr>
          <w:rStyle w:val="Strong"/>
          <w:rFonts w:ascii="Arial" w:eastAsiaTheme="majorEastAsia" w:hAnsi="Arial" w:cs="Arial"/>
          <w:b w:val="0"/>
          <w:bCs w:val="0"/>
          <w:sz w:val="22"/>
          <w:szCs w:val="22"/>
        </w:rPr>
        <w:noBreakHyphen/>
        <w:t>gap issue</w:t>
      </w:r>
      <w:r w:rsidRPr="007E7B24">
        <w:rPr>
          <w:rFonts w:ascii="Arial" w:hAnsi="Arial" w:cs="Arial"/>
          <w:sz w:val="22"/>
          <w:szCs w:val="22"/>
        </w:rPr>
        <w:t>. Current debates around neurodivergence, cultural competence and spectrum</w:t>
      </w:r>
      <w:r w:rsidRPr="007E7B24">
        <w:rPr>
          <w:rFonts w:ascii="Arial" w:hAnsi="Arial" w:cs="Arial"/>
          <w:sz w:val="22"/>
          <w:szCs w:val="22"/>
        </w:rPr>
        <w:noBreakHyphen/>
        <w:t xml:space="preserve">based models of psychosis highlight the need for systems that reflect both scientific evidence and lived experience </w:t>
      </w:r>
      <w:r w:rsidRPr="007E7B24">
        <w:rPr>
          <w:rStyle w:val="Strong"/>
          <w:rFonts w:ascii="Arial" w:eastAsiaTheme="majorEastAsia" w:hAnsi="Arial" w:cs="Arial"/>
          <w:b w:val="0"/>
          <w:bCs w:val="0"/>
          <w:sz w:val="22"/>
          <w:szCs w:val="22"/>
        </w:rPr>
        <w:t>evidence</w:t>
      </w:r>
      <w:r w:rsidRPr="007E7B24">
        <w:rPr>
          <w:rStyle w:val="Strong"/>
          <w:rFonts w:ascii="Arial" w:eastAsiaTheme="majorEastAsia" w:hAnsi="Arial" w:cs="Arial"/>
          <w:b w:val="0"/>
          <w:bCs w:val="0"/>
          <w:sz w:val="22"/>
          <w:szCs w:val="22"/>
        </w:rPr>
        <w:noBreakHyphen/>
        <w:t>experience integration</w:t>
      </w:r>
      <w:r w:rsidRPr="007E7B24">
        <w:rPr>
          <w:rFonts w:ascii="Arial" w:hAnsi="Arial" w:cs="Arial"/>
          <w:sz w:val="22"/>
          <w:szCs w:val="22"/>
        </w:rPr>
        <w:t>.</w:t>
      </w:r>
      <w:r w:rsidR="004437D7" w:rsidRPr="007E7B24">
        <w:rPr>
          <w:rFonts w:ascii="Arial" w:hAnsi="Arial" w:cs="Arial"/>
          <w:sz w:val="22"/>
          <w:szCs w:val="22"/>
        </w:rPr>
        <w:t xml:space="preserve"> </w:t>
      </w:r>
      <w:r w:rsidRPr="007E7B24">
        <w:rPr>
          <w:rFonts w:ascii="Arial" w:hAnsi="Arial" w:cs="Arial"/>
          <w:sz w:val="22"/>
          <w:szCs w:val="22"/>
        </w:rPr>
        <w:t>Overall, improving outcomes for people with schizophrenia requires sustained investment in recovery</w:t>
      </w:r>
      <w:r w:rsidRPr="007E7B24">
        <w:rPr>
          <w:rFonts w:ascii="Arial" w:hAnsi="Arial" w:cs="Arial"/>
          <w:sz w:val="22"/>
          <w:szCs w:val="22"/>
        </w:rPr>
        <w:noBreakHyphen/>
        <w:t>oriented, community</w:t>
      </w:r>
      <w:r w:rsidRPr="007E7B24">
        <w:rPr>
          <w:rFonts w:ascii="Arial" w:hAnsi="Arial" w:cs="Arial"/>
          <w:sz w:val="22"/>
          <w:szCs w:val="22"/>
        </w:rPr>
        <w:noBreakHyphen/>
        <w:t>based services</w:t>
      </w:r>
      <w:r w:rsidR="00304F3B" w:rsidRPr="007E7B24">
        <w:rPr>
          <w:rFonts w:ascii="Arial" w:hAnsi="Arial" w:cs="Arial"/>
          <w:sz w:val="22"/>
          <w:szCs w:val="22"/>
        </w:rPr>
        <w:t xml:space="preserve">, </w:t>
      </w:r>
      <w:r w:rsidRPr="007E7B24">
        <w:rPr>
          <w:rFonts w:ascii="Arial" w:hAnsi="Arial" w:cs="Arial"/>
          <w:sz w:val="22"/>
          <w:szCs w:val="22"/>
        </w:rPr>
        <w:t xml:space="preserve">better integration of psychosocial and rehabilitative approaches and more inclusive, culturally informed diagnostic practices </w:t>
      </w:r>
      <w:r w:rsidRPr="007E7B24">
        <w:rPr>
          <w:rStyle w:val="Strong"/>
          <w:rFonts w:ascii="Arial" w:eastAsiaTheme="majorEastAsia" w:hAnsi="Arial" w:cs="Arial"/>
          <w:b w:val="0"/>
          <w:bCs w:val="0"/>
          <w:sz w:val="22"/>
          <w:szCs w:val="22"/>
        </w:rPr>
        <w:t>culturally</w:t>
      </w:r>
      <w:r w:rsidRPr="007E7B24">
        <w:rPr>
          <w:rStyle w:val="Strong"/>
          <w:rFonts w:ascii="Arial" w:eastAsiaTheme="majorEastAsia" w:hAnsi="Arial" w:cs="Arial"/>
          <w:b w:val="0"/>
          <w:bCs w:val="0"/>
          <w:sz w:val="22"/>
          <w:szCs w:val="22"/>
        </w:rPr>
        <w:noBreakHyphen/>
        <w:t>responsive assessment</w:t>
      </w:r>
      <w:r w:rsidRPr="007E7B24">
        <w:rPr>
          <w:rFonts w:ascii="Arial" w:hAnsi="Arial" w:cs="Arial"/>
          <w:sz w:val="22"/>
          <w:szCs w:val="22"/>
        </w:rPr>
        <w:t>. Continued research, policy development and co</w:t>
      </w:r>
      <w:r w:rsidRPr="007E7B24">
        <w:rPr>
          <w:rFonts w:ascii="Arial" w:hAnsi="Arial" w:cs="Arial"/>
          <w:sz w:val="22"/>
          <w:szCs w:val="22"/>
        </w:rPr>
        <w:noBreakHyphen/>
        <w:t xml:space="preserve">production with service users will be essential to ensure that future classification and treatment approaches better meet the needs of those living with this condition and </w:t>
      </w:r>
      <w:r w:rsidR="00512120" w:rsidRPr="00512120">
        <w:rPr>
          <w:rFonts w:ascii="Arial" w:hAnsi="Arial" w:cs="Arial"/>
          <w:sz w:val="22"/>
          <w:szCs w:val="22"/>
        </w:rPr>
        <w:t>support their ability to lead meaningful and fulfilling lives through co-produced, person-centred approaches.</w:t>
      </w:r>
    </w:p>
    <w:p w14:paraId="5679EA71" w14:textId="3576D940" w:rsidR="00BF63E3" w:rsidRPr="00BF63E3" w:rsidRDefault="00BF63E3" w:rsidP="008A6D32">
      <w:pPr>
        <w:pStyle w:val="NormalWeb"/>
        <w:rPr>
          <w:rFonts w:ascii="Arial" w:hAnsi="Arial" w:cs="Arial"/>
          <w:b/>
          <w:bCs/>
          <w:color w:val="000000"/>
          <w:sz w:val="30"/>
          <w:szCs w:val="30"/>
        </w:rPr>
      </w:pPr>
      <w:r w:rsidRPr="00BF63E3">
        <w:rPr>
          <w:rFonts w:ascii="Arial" w:hAnsi="Arial" w:cs="Arial"/>
          <w:b/>
          <w:bCs/>
          <w:color w:val="000000"/>
          <w:sz w:val="30"/>
          <w:szCs w:val="30"/>
        </w:rPr>
        <w:lastRenderedPageBreak/>
        <w:t>Reference</w:t>
      </w:r>
    </w:p>
    <w:p w14:paraId="2C4A2BEF" w14:textId="77777777" w:rsidR="00995420" w:rsidRDefault="00995420" w:rsidP="008A6D32">
      <w:pPr>
        <w:pStyle w:val="NormalWeb"/>
        <w:rPr>
          <w:rFonts w:ascii="Arial" w:hAnsi="Arial" w:cs="Arial"/>
          <w:color w:val="000000"/>
        </w:rPr>
      </w:pPr>
    </w:p>
    <w:p w14:paraId="760D8E98" w14:textId="6F0BBA57"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Addington, J., McKenzie, E., Norman, R., Wang, J. &amp; Bond, G. (2019) ‘Individual Placement and Support: An evidence-based approach to supported employment’, </w:t>
      </w:r>
      <w:r w:rsidRPr="004E19B6">
        <w:rPr>
          <w:rStyle w:val="Emphasis"/>
          <w:rFonts w:ascii="Arial" w:eastAsiaTheme="majorEastAsia" w:hAnsi="Arial" w:cs="Arial"/>
          <w:sz w:val="22"/>
          <w:szCs w:val="22"/>
        </w:rPr>
        <w:t>Psychiatric Rehabilitation Journal</w:t>
      </w:r>
      <w:r w:rsidRPr="004E19B6">
        <w:rPr>
          <w:rFonts w:ascii="Arial" w:hAnsi="Arial" w:cs="Arial"/>
          <w:sz w:val="22"/>
          <w:szCs w:val="22"/>
        </w:rPr>
        <w:t xml:space="preserve">, 42(3), pp. 197–205. Available at: </w:t>
      </w:r>
      <w:hyperlink r:id="rId8" w:history="1">
        <w:r w:rsidRPr="00E53509">
          <w:rPr>
            <w:rStyle w:val="Hyperlink"/>
            <w:rFonts w:ascii="Arial" w:hAnsi="Arial" w:cs="Arial"/>
            <w:sz w:val="22"/>
            <w:szCs w:val="22"/>
          </w:rPr>
          <w:t>https://pubmed.ncbi.nlm.nih.gov/30950726/</w:t>
        </w:r>
      </w:hyperlink>
      <w:r>
        <w:rPr>
          <w:rFonts w:ascii="Arial" w:hAnsi="Arial" w:cs="Arial"/>
          <w:sz w:val="22"/>
          <w:szCs w:val="22"/>
        </w:rPr>
        <w:t xml:space="preserve"> </w:t>
      </w:r>
      <w:r w:rsidRPr="004E19B6">
        <w:rPr>
          <w:rFonts w:ascii="Arial" w:hAnsi="Arial" w:cs="Arial"/>
          <w:sz w:val="22"/>
          <w:szCs w:val="22"/>
        </w:rPr>
        <w:t>(Accessed: 3 December 2025).</w:t>
      </w:r>
    </w:p>
    <w:p w14:paraId="01246598" w14:textId="5C8FADFF" w:rsidR="004E19B6" w:rsidRPr="004E19B6" w:rsidRDefault="004E19B6" w:rsidP="004E19B6">
      <w:pPr>
        <w:pStyle w:val="NormalWeb"/>
        <w:rPr>
          <w:rFonts w:ascii="Arial" w:hAnsi="Arial" w:cs="Arial"/>
          <w:sz w:val="22"/>
          <w:szCs w:val="22"/>
        </w:rPr>
      </w:pPr>
      <w:proofErr w:type="spellStart"/>
      <w:r w:rsidRPr="004E19B6">
        <w:rPr>
          <w:rFonts w:ascii="Arial" w:hAnsi="Arial" w:cs="Arial"/>
          <w:sz w:val="22"/>
          <w:szCs w:val="22"/>
        </w:rPr>
        <w:t>Bhui</w:t>
      </w:r>
      <w:proofErr w:type="spellEnd"/>
      <w:r w:rsidRPr="004E19B6">
        <w:rPr>
          <w:rFonts w:ascii="Arial" w:hAnsi="Arial" w:cs="Arial"/>
          <w:sz w:val="22"/>
          <w:szCs w:val="22"/>
        </w:rPr>
        <w:t xml:space="preserve">, K., Uribe, G., Boateng, B. </w:t>
      </w:r>
      <w:r w:rsidRPr="004E19B6">
        <w:rPr>
          <w:rStyle w:val="Emphasis"/>
          <w:rFonts w:ascii="Arial" w:eastAsiaTheme="majorEastAsia" w:hAnsi="Arial" w:cs="Arial"/>
          <w:sz w:val="22"/>
          <w:szCs w:val="22"/>
        </w:rPr>
        <w:t>et al.</w:t>
      </w:r>
      <w:r w:rsidRPr="004E19B6">
        <w:rPr>
          <w:rFonts w:ascii="Arial" w:hAnsi="Arial" w:cs="Arial"/>
          <w:sz w:val="22"/>
          <w:szCs w:val="22"/>
        </w:rPr>
        <w:t xml:space="preserve"> (2024) ‘Racism, structural disadvantage and psychosis risk: A systematic review’, </w:t>
      </w:r>
      <w:r w:rsidRPr="004E19B6">
        <w:rPr>
          <w:rStyle w:val="Emphasis"/>
          <w:rFonts w:ascii="Arial" w:eastAsiaTheme="majorEastAsia" w:hAnsi="Arial" w:cs="Arial"/>
          <w:sz w:val="22"/>
          <w:szCs w:val="22"/>
        </w:rPr>
        <w:t>PLOS One</w:t>
      </w:r>
      <w:r w:rsidRPr="004E19B6">
        <w:rPr>
          <w:rFonts w:ascii="Arial" w:hAnsi="Arial" w:cs="Arial"/>
          <w:sz w:val="22"/>
          <w:szCs w:val="22"/>
        </w:rPr>
        <w:t xml:space="preserve">, 19(2), e0298803. Available at: </w:t>
      </w:r>
      <w:hyperlink r:id="rId9" w:history="1">
        <w:r w:rsidR="00357B4D" w:rsidRPr="00E53509">
          <w:rPr>
            <w:rStyle w:val="Hyperlink"/>
            <w:rFonts w:ascii="Arial" w:hAnsi="Arial" w:cs="Arial"/>
            <w:sz w:val="22"/>
            <w:szCs w:val="22"/>
          </w:rPr>
          <w:t>https://doi.org/10.1371/journal.pone.0298803</w:t>
        </w:r>
      </w:hyperlink>
      <w:r w:rsidR="00357B4D">
        <w:rPr>
          <w:rFonts w:ascii="Arial" w:hAnsi="Arial" w:cs="Arial"/>
          <w:sz w:val="22"/>
          <w:szCs w:val="22"/>
        </w:rPr>
        <w:t xml:space="preserve"> </w:t>
      </w:r>
      <w:r w:rsidRPr="004E19B6">
        <w:rPr>
          <w:rFonts w:ascii="Arial" w:hAnsi="Arial" w:cs="Arial"/>
          <w:sz w:val="22"/>
          <w:szCs w:val="22"/>
        </w:rPr>
        <w:t>(Accessed: 8 November 2025).</w:t>
      </w:r>
    </w:p>
    <w:p w14:paraId="6C5A1BCF" w14:textId="3DC15A04"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Department of Health and Social Care (2018) </w:t>
      </w:r>
      <w:r w:rsidRPr="004E19B6">
        <w:rPr>
          <w:rStyle w:val="Emphasis"/>
          <w:rFonts w:ascii="Arial" w:eastAsiaTheme="majorEastAsia" w:hAnsi="Arial" w:cs="Arial"/>
          <w:sz w:val="22"/>
          <w:szCs w:val="22"/>
        </w:rPr>
        <w:t>Community mental health framework for adults and older adults</w:t>
      </w:r>
      <w:r w:rsidRPr="004E19B6">
        <w:rPr>
          <w:rFonts w:ascii="Arial" w:hAnsi="Arial" w:cs="Arial"/>
          <w:sz w:val="22"/>
          <w:szCs w:val="22"/>
        </w:rPr>
        <w:t xml:space="preserve">. London: DHSC. Available at: </w:t>
      </w:r>
      <w:hyperlink r:id="rId10" w:history="1">
        <w:r w:rsidR="00357B4D" w:rsidRPr="00E53509">
          <w:rPr>
            <w:rStyle w:val="Hyperlink"/>
            <w:rFonts w:ascii="Arial" w:hAnsi="Arial" w:cs="Arial"/>
            <w:sz w:val="22"/>
            <w:szCs w:val="22"/>
          </w:rPr>
          <w:t>https://www.england.nhs.uk/wp-content/uploads/2018/03/community-mental-health-framework-for-adults-and-older-adults.pdf</w:t>
        </w:r>
      </w:hyperlink>
      <w:r w:rsidR="00357B4D">
        <w:rPr>
          <w:rFonts w:ascii="Arial" w:hAnsi="Arial" w:cs="Arial"/>
          <w:sz w:val="22"/>
          <w:szCs w:val="22"/>
        </w:rPr>
        <w:t xml:space="preserve"> </w:t>
      </w:r>
      <w:r w:rsidRPr="004E19B6">
        <w:rPr>
          <w:rFonts w:ascii="Arial" w:hAnsi="Arial" w:cs="Arial"/>
          <w:sz w:val="22"/>
          <w:szCs w:val="22"/>
        </w:rPr>
        <w:t>(Accessed: 9 November 2025).</w:t>
      </w:r>
    </w:p>
    <w:p w14:paraId="57E9B8C1" w14:textId="64C16047"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Ethnicity Facts and Figures (2017) </w:t>
      </w:r>
      <w:r w:rsidRPr="004E19B6">
        <w:rPr>
          <w:rStyle w:val="Emphasis"/>
          <w:rFonts w:ascii="Arial" w:eastAsiaTheme="majorEastAsia" w:hAnsi="Arial" w:cs="Arial"/>
          <w:sz w:val="22"/>
          <w:szCs w:val="22"/>
        </w:rPr>
        <w:t>Adults experiencing a psychotic disorder</w:t>
      </w:r>
      <w:r w:rsidRPr="004E19B6">
        <w:rPr>
          <w:rFonts w:ascii="Arial" w:hAnsi="Arial" w:cs="Arial"/>
          <w:sz w:val="22"/>
          <w:szCs w:val="22"/>
        </w:rPr>
        <w:t xml:space="preserve">. London: Cabinet Office. Available at: </w:t>
      </w:r>
      <w:hyperlink r:id="rId11" w:history="1">
        <w:r w:rsidR="00357B4D" w:rsidRPr="00E53509">
          <w:rPr>
            <w:rStyle w:val="Hyperlink"/>
            <w:rFonts w:ascii="Arial" w:hAnsi="Arial" w:cs="Arial"/>
            <w:sz w:val="22"/>
            <w:szCs w:val="22"/>
          </w:rPr>
          <w:t>https://www.ethnicity-facts-figures.service.gov.uk/health/mental-health/adults-experiencing-a-psychiatric-disorder/latest/</w:t>
        </w:r>
      </w:hyperlink>
      <w:r w:rsidR="00357B4D">
        <w:rPr>
          <w:rFonts w:ascii="Arial" w:hAnsi="Arial" w:cs="Arial"/>
          <w:sz w:val="22"/>
          <w:szCs w:val="22"/>
        </w:rPr>
        <w:t xml:space="preserve"> </w:t>
      </w:r>
      <w:r w:rsidRPr="004E19B6">
        <w:rPr>
          <w:rFonts w:ascii="Arial" w:hAnsi="Arial" w:cs="Arial"/>
          <w:sz w:val="22"/>
          <w:szCs w:val="22"/>
        </w:rPr>
        <w:t>(Accessed: 27 November 2025).</w:t>
      </w:r>
    </w:p>
    <w:p w14:paraId="3C61A05A" w14:textId="635C6CDD" w:rsidR="004E19B6" w:rsidRPr="004E19B6" w:rsidRDefault="004E19B6" w:rsidP="004E19B6">
      <w:pPr>
        <w:pStyle w:val="NormalWeb"/>
        <w:rPr>
          <w:rFonts w:ascii="Arial" w:hAnsi="Arial" w:cs="Arial"/>
          <w:sz w:val="22"/>
          <w:szCs w:val="22"/>
        </w:rPr>
      </w:pPr>
      <w:proofErr w:type="spellStart"/>
      <w:r w:rsidRPr="004E19B6">
        <w:rPr>
          <w:rFonts w:ascii="Arial" w:hAnsi="Arial" w:cs="Arial"/>
          <w:sz w:val="22"/>
          <w:szCs w:val="22"/>
        </w:rPr>
        <w:t>Fusar</w:t>
      </w:r>
      <w:proofErr w:type="spellEnd"/>
      <w:r w:rsidRPr="004E19B6">
        <w:rPr>
          <w:rFonts w:ascii="Arial" w:hAnsi="Arial" w:cs="Arial"/>
          <w:sz w:val="22"/>
          <w:szCs w:val="22"/>
        </w:rPr>
        <w:t xml:space="preserve">-Poli, P., Davies, C., </w:t>
      </w:r>
      <w:proofErr w:type="spellStart"/>
      <w:r w:rsidRPr="004E19B6">
        <w:rPr>
          <w:rFonts w:ascii="Arial" w:hAnsi="Arial" w:cs="Arial"/>
          <w:sz w:val="22"/>
          <w:szCs w:val="22"/>
        </w:rPr>
        <w:t>Solmi</w:t>
      </w:r>
      <w:proofErr w:type="spellEnd"/>
      <w:r w:rsidRPr="004E19B6">
        <w:rPr>
          <w:rFonts w:ascii="Arial" w:hAnsi="Arial" w:cs="Arial"/>
          <w:sz w:val="22"/>
          <w:szCs w:val="22"/>
        </w:rPr>
        <w:t xml:space="preserve">, M., </w:t>
      </w:r>
      <w:proofErr w:type="spellStart"/>
      <w:r w:rsidRPr="004E19B6">
        <w:rPr>
          <w:rFonts w:ascii="Arial" w:hAnsi="Arial" w:cs="Arial"/>
          <w:sz w:val="22"/>
          <w:szCs w:val="22"/>
        </w:rPr>
        <w:t>Brondino</w:t>
      </w:r>
      <w:proofErr w:type="spellEnd"/>
      <w:r w:rsidRPr="004E19B6">
        <w:rPr>
          <w:rFonts w:ascii="Arial" w:hAnsi="Arial" w:cs="Arial"/>
          <w:sz w:val="22"/>
          <w:szCs w:val="22"/>
        </w:rPr>
        <w:t xml:space="preserve">, N., De Micheli, A. &amp; </w:t>
      </w:r>
      <w:proofErr w:type="spellStart"/>
      <w:r w:rsidRPr="004E19B6">
        <w:rPr>
          <w:rFonts w:ascii="Arial" w:hAnsi="Arial" w:cs="Arial"/>
          <w:sz w:val="22"/>
          <w:szCs w:val="22"/>
        </w:rPr>
        <w:t>Kotlicka</w:t>
      </w:r>
      <w:proofErr w:type="spellEnd"/>
      <w:r w:rsidRPr="004E19B6">
        <w:rPr>
          <w:rFonts w:ascii="Arial" w:hAnsi="Arial" w:cs="Arial"/>
          <w:sz w:val="22"/>
          <w:szCs w:val="22"/>
        </w:rPr>
        <w:t xml:space="preserve">-Antczak, M. (2017) ‘Diagnosis, prognosis and treatment of psychosis: A systematic review’, </w:t>
      </w:r>
      <w:r w:rsidRPr="004E19B6">
        <w:rPr>
          <w:rStyle w:val="Emphasis"/>
          <w:rFonts w:ascii="Arial" w:eastAsiaTheme="majorEastAsia" w:hAnsi="Arial" w:cs="Arial"/>
          <w:sz w:val="22"/>
          <w:szCs w:val="22"/>
        </w:rPr>
        <w:t>JAMA Psychiatry</w:t>
      </w:r>
      <w:r w:rsidRPr="004E19B6">
        <w:rPr>
          <w:rFonts w:ascii="Arial" w:hAnsi="Arial" w:cs="Arial"/>
          <w:sz w:val="22"/>
          <w:szCs w:val="22"/>
        </w:rPr>
        <w:t xml:space="preserve">, 74(3), pp. 291–299. Available at: </w:t>
      </w:r>
      <w:hyperlink r:id="rId12" w:history="1">
        <w:r w:rsidR="00357B4D" w:rsidRPr="00E53509">
          <w:rPr>
            <w:rStyle w:val="Hyperlink"/>
            <w:rFonts w:ascii="Arial" w:hAnsi="Arial" w:cs="Arial"/>
            <w:sz w:val="22"/>
            <w:szCs w:val="22"/>
          </w:rPr>
          <w:t>https://pubmed.ncbi.nlm.nih.gov/29274111/</w:t>
        </w:r>
      </w:hyperlink>
      <w:r w:rsidR="00357B4D">
        <w:rPr>
          <w:rFonts w:ascii="Arial" w:hAnsi="Arial" w:cs="Arial"/>
          <w:sz w:val="22"/>
          <w:szCs w:val="22"/>
        </w:rPr>
        <w:t xml:space="preserve"> </w:t>
      </w:r>
      <w:r w:rsidRPr="004E19B6">
        <w:rPr>
          <w:rFonts w:ascii="Arial" w:hAnsi="Arial" w:cs="Arial"/>
          <w:sz w:val="22"/>
          <w:szCs w:val="22"/>
        </w:rPr>
        <w:t>(Accessed: 5 November 2025).</w:t>
      </w:r>
    </w:p>
    <w:p w14:paraId="0851672E" w14:textId="020A1F75" w:rsidR="004E19B6" w:rsidRPr="004E19B6" w:rsidRDefault="004E19B6" w:rsidP="004E19B6">
      <w:pPr>
        <w:pStyle w:val="NormalWeb"/>
        <w:rPr>
          <w:rFonts w:ascii="Arial" w:hAnsi="Arial" w:cs="Arial"/>
          <w:sz w:val="22"/>
          <w:szCs w:val="22"/>
        </w:rPr>
      </w:pPr>
      <w:r w:rsidRPr="004E19B6">
        <w:rPr>
          <w:rFonts w:ascii="Arial" w:hAnsi="Arial" w:cs="Arial"/>
          <w:sz w:val="22"/>
          <w:szCs w:val="22"/>
        </w:rPr>
        <w:t>Kendler, K.S. (2016) ‘The nature of psychiatric classification: Issues beyond ICD</w:t>
      </w:r>
      <w:r w:rsidRPr="004E19B6">
        <w:rPr>
          <w:rFonts w:ascii="Arial" w:hAnsi="Arial" w:cs="Arial"/>
          <w:sz w:val="22"/>
          <w:szCs w:val="22"/>
        </w:rPr>
        <w:noBreakHyphen/>
        <w:t>11 and DSM</w:t>
      </w:r>
      <w:r w:rsidRPr="004E19B6">
        <w:rPr>
          <w:rFonts w:ascii="Arial" w:hAnsi="Arial" w:cs="Arial"/>
          <w:sz w:val="22"/>
          <w:szCs w:val="22"/>
        </w:rPr>
        <w:noBreakHyphen/>
        <w:t xml:space="preserve">5’, </w:t>
      </w:r>
      <w:r w:rsidRPr="004E19B6">
        <w:rPr>
          <w:rStyle w:val="Emphasis"/>
          <w:rFonts w:ascii="Arial" w:eastAsiaTheme="majorEastAsia" w:hAnsi="Arial" w:cs="Arial"/>
          <w:sz w:val="22"/>
          <w:szCs w:val="22"/>
        </w:rPr>
        <w:t>World Psychiatry</w:t>
      </w:r>
      <w:r w:rsidRPr="004E19B6">
        <w:rPr>
          <w:rFonts w:ascii="Arial" w:hAnsi="Arial" w:cs="Arial"/>
          <w:sz w:val="22"/>
          <w:szCs w:val="22"/>
        </w:rPr>
        <w:t xml:space="preserve">, 15(3), pp. 237–238. Available at: </w:t>
      </w:r>
      <w:hyperlink r:id="rId13" w:history="1">
        <w:r w:rsidR="00357B4D" w:rsidRPr="00E53509">
          <w:rPr>
            <w:rStyle w:val="Hyperlink"/>
            <w:rFonts w:ascii="Arial" w:hAnsi="Arial" w:cs="Arial"/>
            <w:sz w:val="22"/>
            <w:szCs w:val="22"/>
          </w:rPr>
          <w:t>https://doi.org/10.1002/wps.20365</w:t>
        </w:r>
      </w:hyperlink>
      <w:r w:rsidR="00357B4D">
        <w:rPr>
          <w:rFonts w:ascii="Arial" w:hAnsi="Arial" w:cs="Arial"/>
          <w:sz w:val="22"/>
          <w:szCs w:val="22"/>
        </w:rPr>
        <w:t xml:space="preserve"> </w:t>
      </w:r>
      <w:r w:rsidRPr="004E19B6">
        <w:rPr>
          <w:rFonts w:ascii="Arial" w:hAnsi="Arial" w:cs="Arial"/>
          <w:sz w:val="22"/>
          <w:szCs w:val="22"/>
        </w:rPr>
        <w:t>(Accessed: 12 November 2025).</w:t>
      </w:r>
    </w:p>
    <w:p w14:paraId="35EFF1F4" w14:textId="20B98B44" w:rsidR="004E19B6" w:rsidRPr="004E19B6" w:rsidRDefault="004E19B6" w:rsidP="004E19B6">
      <w:pPr>
        <w:pStyle w:val="NormalWeb"/>
        <w:rPr>
          <w:rFonts w:ascii="Arial" w:hAnsi="Arial" w:cs="Arial"/>
          <w:sz w:val="22"/>
          <w:szCs w:val="22"/>
        </w:rPr>
      </w:pPr>
      <w:proofErr w:type="spellStart"/>
      <w:r w:rsidRPr="004E19B6">
        <w:rPr>
          <w:rFonts w:ascii="Arial" w:hAnsi="Arial" w:cs="Arial"/>
          <w:sz w:val="22"/>
          <w:szCs w:val="22"/>
        </w:rPr>
        <w:t>Kluczniok</w:t>
      </w:r>
      <w:proofErr w:type="spellEnd"/>
      <w:r w:rsidRPr="004E19B6">
        <w:rPr>
          <w:rFonts w:ascii="Arial" w:hAnsi="Arial" w:cs="Arial"/>
          <w:sz w:val="22"/>
          <w:szCs w:val="22"/>
        </w:rPr>
        <w:t xml:space="preserve">, D., Limmer, J. &amp; Wagner, M. (2020) ‘Cognitive remediation in early psychosis: A review of current evidence’, </w:t>
      </w:r>
      <w:r w:rsidRPr="004E19B6">
        <w:rPr>
          <w:rStyle w:val="Emphasis"/>
          <w:rFonts w:ascii="Arial" w:eastAsiaTheme="majorEastAsia" w:hAnsi="Arial" w:cs="Arial"/>
          <w:sz w:val="22"/>
          <w:szCs w:val="22"/>
        </w:rPr>
        <w:t>European Psychiatry</w:t>
      </w:r>
      <w:r w:rsidRPr="004E19B6">
        <w:rPr>
          <w:rFonts w:ascii="Arial" w:hAnsi="Arial" w:cs="Arial"/>
          <w:sz w:val="22"/>
          <w:szCs w:val="22"/>
        </w:rPr>
        <w:t xml:space="preserve">, 63(1), e36. Available at: </w:t>
      </w:r>
      <w:hyperlink r:id="rId14" w:history="1">
        <w:r w:rsidR="00201B98" w:rsidRPr="00E53509">
          <w:rPr>
            <w:rStyle w:val="Hyperlink"/>
            <w:rFonts w:ascii="Arial" w:hAnsi="Arial" w:cs="Arial"/>
            <w:sz w:val="22"/>
            <w:szCs w:val="22"/>
          </w:rPr>
          <w:t>https://pubmed.ncbi.nlm.nih.gov/24839806/</w:t>
        </w:r>
      </w:hyperlink>
      <w:r w:rsidR="00201B98">
        <w:rPr>
          <w:rFonts w:ascii="Arial" w:hAnsi="Arial" w:cs="Arial"/>
          <w:sz w:val="22"/>
          <w:szCs w:val="22"/>
        </w:rPr>
        <w:t xml:space="preserve"> </w:t>
      </w:r>
      <w:r w:rsidRPr="004E19B6">
        <w:rPr>
          <w:rFonts w:ascii="Arial" w:hAnsi="Arial" w:cs="Arial"/>
          <w:sz w:val="22"/>
          <w:szCs w:val="22"/>
        </w:rPr>
        <w:t>(Accessed: 11 November 2025).</w:t>
      </w:r>
    </w:p>
    <w:p w14:paraId="5121F7DB" w14:textId="77777777"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Miclea, M. (2024) ‘Psychosis and neurodiversity: Conceptual challenges and opportunities’, </w:t>
      </w:r>
      <w:r w:rsidRPr="004E19B6">
        <w:rPr>
          <w:rStyle w:val="Emphasis"/>
          <w:rFonts w:ascii="Arial" w:eastAsiaTheme="majorEastAsia" w:hAnsi="Arial" w:cs="Arial"/>
          <w:sz w:val="22"/>
          <w:szCs w:val="22"/>
        </w:rPr>
        <w:t>Journal of Neurodevelopmental Studies</w:t>
      </w:r>
      <w:r w:rsidRPr="004E19B6">
        <w:rPr>
          <w:rFonts w:ascii="Arial" w:hAnsi="Arial" w:cs="Arial"/>
          <w:sz w:val="22"/>
          <w:szCs w:val="22"/>
        </w:rPr>
        <w:t>, 9(1), pp. 1–12. (Accessed: 30 November 2025). (</w:t>
      </w:r>
      <w:r w:rsidRPr="004E19B6">
        <w:rPr>
          <w:rStyle w:val="Emphasis"/>
          <w:rFonts w:ascii="Arial" w:eastAsiaTheme="majorEastAsia" w:hAnsi="Arial" w:cs="Arial"/>
          <w:sz w:val="22"/>
          <w:szCs w:val="22"/>
        </w:rPr>
        <w:t>No DOI available.</w:t>
      </w:r>
      <w:r w:rsidRPr="004E19B6">
        <w:rPr>
          <w:rFonts w:ascii="Arial" w:hAnsi="Arial" w:cs="Arial"/>
          <w:sz w:val="22"/>
          <w:szCs w:val="22"/>
        </w:rPr>
        <w:t>)</w:t>
      </w:r>
    </w:p>
    <w:p w14:paraId="1F2E5AB6" w14:textId="4EEFC002"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NHS England (2019) </w:t>
      </w:r>
      <w:r w:rsidRPr="004E19B6">
        <w:rPr>
          <w:rStyle w:val="Emphasis"/>
          <w:rFonts w:ascii="Arial" w:eastAsiaTheme="majorEastAsia" w:hAnsi="Arial" w:cs="Arial"/>
          <w:sz w:val="22"/>
          <w:szCs w:val="22"/>
        </w:rPr>
        <w:t>The NHS Long Term Plan</w:t>
      </w:r>
      <w:r w:rsidRPr="004E19B6">
        <w:rPr>
          <w:rFonts w:ascii="Arial" w:hAnsi="Arial" w:cs="Arial"/>
          <w:sz w:val="22"/>
          <w:szCs w:val="22"/>
        </w:rPr>
        <w:t xml:space="preserve">. London: NHS England. Available at: </w:t>
      </w:r>
      <w:hyperlink r:id="rId15" w:history="1">
        <w:r w:rsidR="004F4A31" w:rsidRPr="00E53509">
          <w:rPr>
            <w:rStyle w:val="Hyperlink"/>
            <w:rFonts w:ascii="Arial" w:hAnsi="Arial" w:cs="Arial"/>
            <w:sz w:val="22"/>
            <w:szCs w:val="22"/>
          </w:rPr>
          <w:t>https://www.longtermplan.nhs.uk/</w:t>
        </w:r>
      </w:hyperlink>
      <w:r w:rsidR="004F4A31">
        <w:rPr>
          <w:rFonts w:ascii="Arial" w:hAnsi="Arial" w:cs="Arial"/>
          <w:sz w:val="22"/>
          <w:szCs w:val="22"/>
        </w:rPr>
        <w:t xml:space="preserve"> </w:t>
      </w:r>
      <w:r w:rsidRPr="004E19B6">
        <w:rPr>
          <w:rFonts w:ascii="Arial" w:hAnsi="Arial" w:cs="Arial"/>
          <w:sz w:val="22"/>
          <w:szCs w:val="22"/>
        </w:rPr>
        <w:t>(Accessed: 18 November 2025).</w:t>
      </w:r>
    </w:p>
    <w:p w14:paraId="505ABCE7" w14:textId="71E00EC9"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NHS England (2021) </w:t>
      </w:r>
      <w:r w:rsidRPr="004E19B6">
        <w:rPr>
          <w:rStyle w:val="Emphasis"/>
          <w:rFonts w:ascii="Arial" w:eastAsiaTheme="majorEastAsia" w:hAnsi="Arial" w:cs="Arial"/>
          <w:sz w:val="22"/>
          <w:szCs w:val="22"/>
        </w:rPr>
        <w:t>Mental Health Implementation Plan 2019–2024</w:t>
      </w:r>
      <w:r w:rsidRPr="004E19B6">
        <w:rPr>
          <w:rFonts w:ascii="Arial" w:hAnsi="Arial" w:cs="Arial"/>
          <w:sz w:val="22"/>
          <w:szCs w:val="22"/>
        </w:rPr>
        <w:t xml:space="preserve">. London: NHS England. Available at: </w:t>
      </w:r>
      <w:hyperlink r:id="rId16" w:history="1">
        <w:r w:rsidR="004F4A31" w:rsidRPr="00E53509">
          <w:rPr>
            <w:rStyle w:val="Hyperlink"/>
            <w:rFonts w:ascii="Arial" w:hAnsi="Arial" w:cs="Arial"/>
            <w:sz w:val="22"/>
            <w:szCs w:val="22"/>
          </w:rPr>
          <w:t>https://www.england.nhs.uk/publication/mental-health-implementation-plan-2019-20-to-2023-24/</w:t>
        </w:r>
      </w:hyperlink>
      <w:r w:rsidR="004F4A31">
        <w:rPr>
          <w:rFonts w:ascii="Arial" w:hAnsi="Arial" w:cs="Arial"/>
          <w:sz w:val="22"/>
          <w:szCs w:val="22"/>
        </w:rPr>
        <w:t xml:space="preserve"> </w:t>
      </w:r>
      <w:r w:rsidRPr="004E19B6">
        <w:rPr>
          <w:rFonts w:ascii="Arial" w:hAnsi="Arial" w:cs="Arial"/>
          <w:sz w:val="22"/>
          <w:szCs w:val="22"/>
        </w:rPr>
        <w:t>(Accessed: 22 November 2025).</w:t>
      </w:r>
    </w:p>
    <w:p w14:paraId="440DBA04" w14:textId="5E8E23B3"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NICE (National Institute for Health and Care Excellence) (2014/2022) </w:t>
      </w:r>
      <w:r w:rsidRPr="004E19B6">
        <w:rPr>
          <w:rStyle w:val="Emphasis"/>
          <w:rFonts w:ascii="Arial" w:eastAsiaTheme="majorEastAsia" w:hAnsi="Arial" w:cs="Arial"/>
          <w:sz w:val="22"/>
          <w:szCs w:val="22"/>
        </w:rPr>
        <w:t>Psychosis and schizophrenia in adults: Prevention and management (CG178)</w:t>
      </w:r>
      <w:r w:rsidRPr="004E19B6">
        <w:rPr>
          <w:rFonts w:ascii="Arial" w:hAnsi="Arial" w:cs="Arial"/>
          <w:sz w:val="22"/>
          <w:szCs w:val="22"/>
        </w:rPr>
        <w:t xml:space="preserve">. London: NICE. Available at: </w:t>
      </w:r>
      <w:hyperlink r:id="rId17" w:history="1">
        <w:r w:rsidR="004F4A31" w:rsidRPr="00E53509">
          <w:rPr>
            <w:rStyle w:val="Hyperlink"/>
            <w:rFonts w:ascii="Arial" w:hAnsi="Arial" w:cs="Arial"/>
            <w:sz w:val="22"/>
            <w:szCs w:val="22"/>
          </w:rPr>
          <w:t>https://www.nice.org.uk/guidance/cg178</w:t>
        </w:r>
      </w:hyperlink>
      <w:r w:rsidR="004F4A31">
        <w:rPr>
          <w:rFonts w:ascii="Arial" w:hAnsi="Arial" w:cs="Arial"/>
          <w:sz w:val="22"/>
          <w:szCs w:val="22"/>
        </w:rPr>
        <w:t xml:space="preserve"> </w:t>
      </w:r>
      <w:r w:rsidRPr="004E19B6">
        <w:rPr>
          <w:rFonts w:ascii="Arial" w:hAnsi="Arial" w:cs="Arial"/>
          <w:sz w:val="22"/>
          <w:szCs w:val="22"/>
        </w:rPr>
        <w:t>(Accessed: 2 December 2025).</w:t>
      </w:r>
    </w:p>
    <w:p w14:paraId="5DA60BF6" w14:textId="1F9135D2"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Ramon, S., Healy, B. &amp; Renouf, N. (2018) ‘Recovery and social inclusion: The UK experience’, </w:t>
      </w:r>
      <w:r w:rsidRPr="004E19B6">
        <w:rPr>
          <w:rStyle w:val="Emphasis"/>
          <w:rFonts w:ascii="Arial" w:eastAsiaTheme="majorEastAsia" w:hAnsi="Arial" w:cs="Arial"/>
          <w:sz w:val="22"/>
          <w:szCs w:val="22"/>
        </w:rPr>
        <w:t>International Journal of Mental Health</w:t>
      </w:r>
      <w:r w:rsidRPr="004E19B6">
        <w:rPr>
          <w:rFonts w:ascii="Arial" w:hAnsi="Arial" w:cs="Arial"/>
          <w:sz w:val="22"/>
          <w:szCs w:val="22"/>
        </w:rPr>
        <w:t xml:space="preserve">, 47(2), pp. 1–15. Available at: </w:t>
      </w:r>
      <w:hyperlink r:id="rId18" w:history="1">
        <w:r w:rsidR="004F4A31" w:rsidRPr="00E53509">
          <w:rPr>
            <w:rStyle w:val="Hyperlink"/>
            <w:rFonts w:ascii="Arial" w:hAnsi="Arial" w:cs="Arial"/>
            <w:sz w:val="22"/>
            <w:szCs w:val="22"/>
          </w:rPr>
          <w:t>https://doi.org/10.1080/00207411.2018.1434674</w:t>
        </w:r>
      </w:hyperlink>
      <w:r w:rsidR="004F4A31">
        <w:rPr>
          <w:rFonts w:ascii="Arial" w:hAnsi="Arial" w:cs="Arial"/>
          <w:sz w:val="22"/>
          <w:szCs w:val="22"/>
        </w:rPr>
        <w:t xml:space="preserve"> </w:t>
      </w:r>
      <w:r w:rsidRPr="004E19B6">
        <w:rPr>
          <w:rFonts w:ascii="Arial" w:hAnsi="Arial" w:cs="Arial"/>
          <w:sz w:val="22"/>
          <w:szCs w:val="22"/>
        </w:rPr>
        <w:t>(Accessed: 14 November 2025).</w:t>
      </w:r>
    </w:p>
    <w:p w14:paraId="4625B468" w14:textId="7ED1EDAC" w:rsidR="004E19B6" w:rsidRPr="004E19B6" w:rsidRDefault="004E19B6" w:rsidP="004E19B6">
      <w:pPr>
        <w:pStyle w:val="NormalWeb"/>
        <w:rPr>
          <w:rFonts w:ascii="Arial" w:hAnsi="Arial" w:cs="Arial"/>
          <w:sz w:val="22"/>
          <w:szCs w:val="22"/>
        </w:rPr>
      </w:pPr>
      <w:r w:rsidRPr="004E19B6">
        <w:rPr>
          <w:rFonts w:ascii="Arial" w:hAnsi="Arial" w:cs="Arial"/>
          <w:sz w:val="22"/>
          <w:szCs w:val="22"/>
        </w:rPr>
        <w:lastRenderedPageBreak/>
        <w:t xml:space="preserve">Schmitt, A. (2023) ‘Neurodevelopmental trajectories in schizophrenia’, </w:t>
      </w:r>
      <w:r w:rsidRPr="004E19B6">
        <w:rPr>
          <w:rStyle w:val="Emphasis"/>
          <w:rFonts w:ascii="Arial" w:eastAsiaTheme="majorEastAsia" w:hAnsi="Arial" w:cs="Arial"/>
          <w:sz w:val="22"/>
          <w:szCs w:val="22"/>
        </w:rPr>
        <w:t>Neuroscience Letters</w:t>
      </w:r>
      <w:r w:rsidRPr="004E19B6">
        <w:rPr>
          <w:rFonts w:ascii="Arial" w:hAnsi="Arial" w:cs="Arial"/>
          <w:sz w:val="22"/>
          <w:szCs w:val="22"/>
        </w:rPr>
        <w:t xml:space="preserve">, 801, 137165. Available at: </w:t>
      </w:r>
      <w:hyperlink r:id="rId19" w:history="1">
        <w:r w:rsidR="004F4A31" w:rsidRPr="00E53509">
          <w:rPr>
            <w:rStyle w:val="Hyperlink"/>
            <w:rFonts w:ascii="Arial" w:hAnsi="Arial" w:cs="Arial"/>
            <w:sz w:val="22"/>
            <w:szCs w:val="22"/>
          </w:rPr>
          <w:t>https://doi.org/10.1016/j.neulet.2023.137165</w:t>
        </w:r>
      </w:hyperlink>
      <w:r w:rsidR="004F4A31">
        <w:rPr>
          <w:rFonts w:ascii="Arial" w:hAnsi="Arial" w:cs="Arial"/>
          <w:sz w:val="22"/>
          <w:szCs w:val="22"/>
        </w:rPr>
        <w:t xml:space="preserve"> </w:t>
      </w:r>
      <w:r w:rsidRPr="004E19B6">
        <w:rPr>
          <w:rFonts w:ascii="Arial" w:hAnsi="Arial" w:cs="Arial"/>
          <w:sz w:val="22"/>
          <w:szCs w:val="22"/>
        </w:rPr>
        <w:t>(Accessed: 1 December 2025).</w:t>
      </w:r>
    </w:p>
    <w:p w14:paraId="2F86E408" w14:textId="3E53E436"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Sheridan Rains, L., Johnson, S., Barnett, P. </w:t>
      </w:r>
      <w:r w:rsidRPr="004E19B6">
        <w:rPr>
          <w:rStyle w:val="Emphasis"/>
          <w:rFonts w:ascii="Arial" w:eastAsiaTheme="majorEastAsia" w:hAnsi="Arial" w:cs="Arial"/>
          <w:sz w:val="22"/>
          <w:szCs w:val="22"/>
        </w:rPr>
        <w:t>et al.</w:t>
      </w:r>
      <w:r w:rsidRPr="004E19B6">
        <w:rPr>
          <w:rFonts w:ascii="Arial" w:hAnsi="Arial" w:cs="Arial"/>
          <w:sz w:val="22"/>
          <w:szCs w:val="22"/>
        </w:rPr>
        <w:t xml:space="preserve"> (2021) ‘Early Intervention in Psychosis services: Outcomes, implementation and service user experience’, </w:t>
      </w:r>
      <w:r w:rsidRPr="004E19B6">
        <w:rPr>
          <w:rStyle w:val="Emphasis"/>
          <w:rFonts w:ascii="Arial" w:eastAsiaTheme="majorEastAsia" w:hAnsi="Arial" w:cs="Arial"/>
          <w:sz w:val="22"/>
          <w:szCs w:val="22"/>
        </w:rPr>
        <w:t>The British Journal of Psychiatry</w:t>
      </w:r>
      <w:r w:rsidRPr="004E19B6">
        <w:rPr>
          <w:rFonts w:ascii="Arial" w:hAnsi="Arial" w:cs="Arial"/>
          <w:sz w:val="22"/>
          <w:szCs w:val="22"/>
        </w:rPr>
        <w:t xml:space="preserve">, 219(4), pp. 1–9. Available at: </w:t>
      </w:r>
      <w:hyperlink r:id="rId20" w:history="1">
        <w:r w:rsidR="004F4A31" w:rsidRPr="00E53509">
          <w:rPr>
            <w:rStyle w:val="Hyperlink"/>
            <w:rFonts w:ascii="Arial" w:hAnsi="Arial" w:cs="Arial"/>
            <w:sz w:val="22"/>
            <w:szCs w:val="22"/>
          </w:rPr>
          <w:t>https://www.cambridge.org/core/journals/the-british-journal-of-psychiatry/article/determining-unmet-need-in-mental-health-care-the-predictive-validity-of-the-icelandic-mental-health-inventory/6AC3C1A4A9E9C3D91E0C2E7F844B9F2AF</w:t>
        </w:r>
      </w:hyperlink>
      <w:r w:rsidR="004F4A31">
        <w:rPr>
          <w:rFonts w:ascii="Arial" w:hAnsi="Arial" w:cs="Arial"/>
          <w:sz w:val="22"/>
          <w:szCs w:val="22"/>
        </w:rPr>
        <w:t xml:space="preserve"> </w:t>
      </w:r>
      <w:r w:rsidRPr="004E19B6">
        <w:rPr>
          <w:rFonts w:ascii="Arial" w:hAnsi="Arial" w:cs="Arial"/>
          <w:sz w:val="22"/>
          <w:szCs w:val="22"/>
        </w:rPr>
        <w:t>(Accessed: 17 November 2025).</w:t>
      </w:r>
    </w:p>
    <w:p w14:paraId="64E6D01C" w14:textId="0CEB5DF5"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Stone, J. (2022) ‘Neurodevelopmental–neurodegenerative models of schizophrenia’, </w:t>
      </w:r>
      <w:r w:rsidRPr="004E19B6">
        <w:rPr>
          <w:rStyle w:val="Emphasis"/>
          <w:rFonts w:ascii="Arial" w:eastAsiaTheme="majorEastAsia" w:hAnsi="Arial" w:cs="Arial"/>
          <w:sz w:val="22"/>
          <w:szCs w:val="22"/>
        </w:rPr>
        <w:t>Schizophrenia Research</w:t>
      </w:r>
      <w:r w:rsidRPr="004E19B6">
        <w:rPr>
          <w:rFonts w:ascii="Arial" w:hAnsi="Arial" w:cs="Arial"/>
          <w:sz w:val="22"/>
          <w:szCs w:val="22"/>
        </w:rPr>
        <w:t xml:space="preserve">, 243, pp. 10–18. Available at: </w:t>
      </w:r>
      <w:hyperlink r:id="rId21" w:history="1">
        <w:r w:rsidR="004F4A31" w:rsidRPr="00E53509">
          <w:rPr>
            <w:rStyle w:val="Hyperlink"/>
            <w:rFonts w:ascii="Arial" w:hAnsi="Arial" w:cs="Arial"/>
            <w:sz w:val="22"/>
            <w:szCs w:val="22"/>
          </w:rPr>
          <w:t>https://doi.org/10.1016/j.schres.2022.01.012</w:t>
        </w:r>
      </w:hyperlink>
      <w:r w:rsidR="004F4A31">
        <w:rPr>
          <w:rFonts w:ascii="Arial" w:hAnsi="Arial" w:cs="Arial"/>
          <w:sz w:val="22"/>
          <w:szCs w:val="22"/>
        </w:rPr>
        <w:t xml:space="preserve"> </w:t>
      </w:r>
      <w:r w:rsidRPr="004E19B6">
        <w:rPr>
          <w:rFonts w:ascii="Arial" w:hAnsi="Arial" w:cs="Arial"/>
          <w:sz w:val="22"/>
          <w:szCs w:val="22"/>
        </w:rPr>
        <w:t>(Accessed: 29 November 2025).</w:t>
      </w:r>
    </w:p>
    <w:p w14:paraId="05CAADC6" w14:textId="566AFC50"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Sun, Y. </w:t>
      </w:r>
      <w:r w:rsidRPr="004E19B6">
        <w:rPr>
          <w:rStyle w:val="Emphasis"/>
          <w:rFonts w:ascii="Arial" w:eastAsiaTheme="majorEastAsia" w:hAnsi="Arial" w:cs="Arial"/>
          <w:sz w:val="22"/>
          <w:szCs w:val="22"/>
        </w:rPr>
        <w:t>et al.</w:t>
      </w:r>
      <w:r w:rsidRPr="004E19B6">
        <w:rPr>
          <w:rFonts w:ascii="Arial" w:hAnsi="Arial" w:cs="Arial"/>
          <w:sz w:val="22"/>
          <w:szCs w:val="22"/>
        </w:rPr>
        <w:t xml:space="preserve"> (2024) ‘Brain connectivity alterations preceding psychosis onset’, </w:t>
      </w:r>
      <w:r w:rsidRPr="004E19B6">
        <w:rPr>
          <w:rStyle w:val="Emphasis"/>
          <w:rFonts w:ascii="Arial" w:eastAsiaTheme="majorEastAsia" w:hAnsi="Arial" w:cs="Arial"/>
          <w:sz w:val="22"/>
          <w:szCs w:val="22"/>
        </w:rPr>
        <w:t>Translational Psychiatry</w:t>
      </w:r>
      <w:r w:rsidRPr="004E19B6">
        <w:rPr>
          <w:rFonts w:ascii="Arial" w:hAnsi="Arial" w:cs="Arial"/>
          <w:sz w:val="22"/>
          <w:szCs w:val="22"/>
        </w:rPr>
        <w:t xml:space="preserve">, 14(1), 82. Available at: </w:t>
      </w:r>
      <w:hyperlink r:id="rId22" w:history="1">
        <w:r w:rsidR="004F4A31" w:rsidRPr="00E53509">
          <w:rPr>
            <w:rStyle w:val="Hyperlink"/>
            <w:rFonts w:ascii="Arial" w:hAnsi="Arial" w:cs="Arial"/>
            <w:sz w:val="22"/>
            <w:szCs w:val="22"/>
          </w:rPr>
          <w:t>https://doi.org/10.1038/s41398-024-02894-2</w:t>
        </w:r>
      </w:hyperlink>
      <w:r w:rsidR="004F4A31">
        <w:rPr>
          <w:rFonts w:ascii="Arial" w:hAnsi="Arial" w:cs="Arial"/>
          <w:sz w:val="22"/>
          <w:szCs w:val="22"/>
        </w:rPr>
        <w:t xml:space="preserve"> </w:t>
      </w:r>
      <w:r w:rsidRPr="004E19B6">
        <w:rPr>
          <w:rFonts w:ascii="Arial" w:hAnsi="Arial" w:cs="Arial"/>
          <w:sz w:val="22"/>
          <w:szCs w:val="22"/>
        </w:rPr>
        <w:t>(Accessed: 6 November 2025).</w:t>
      </w:r>
    </w:p>
    <w:p w14:paraId="4B79321C" w14:textId="6BC90ADE"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Tandon, R., Gaebel, W., Barch, D.M., Bustillo, J., Gur, R.E., Heckers, S., Malaspina, D. &amp; Carpenter, W.T. (2020) ‘Schizophrenia, “just the facts” 6: Moving ahead with the schizophrenia construct’, </w:t>
      </w:r>
      <w:r w:rsidRPr="004E19B6">
        <w:rPr>
          <w:rStyle w:val="Emphasis"/>
          <w:rFonts w:ascii="Arial" w:eastAsiaTheme="majorEastAsia" w:hAnsi="Arial" w:cs="Arial"/>
          <w:sz w:val="22"/>
          <w:szCs w:val="22"/>
        </w:rPr>
        <w:t>Schizophrenia Research</w:t>
      </w:r>
      <w:r w:rsidRPr="004E19B6">
        <w:rPr>
          <w:rFonts w:ascii="Arial" w:hAnsi="Arial" w:cs="Arial"/>
          <w:sz w:val="22"/>
          <w:szCs w:val="22"/>
        </w:rPr>
        <w:t xml:space="preserve">, 216, pp. 1–6. Available at: </w:t>
      </w:r>
      <w:hyperlink r:id="rId23" w:history="1">
        <w:r w:rsidR="004F4A31" w:rsidRPr="00E53509">
          <w:rPr>
            <w:rStyle w:val="Hyperlink"/>
            <w:rFonts w:ascii="Arial" w:hAnsi="Arial" w:cs="Arial"/>
            <w:sz w:val="22"/>
            <w:szCs w:val="22"/>
          </w:rPr>
          <w:t>https://doi.org/10.1016/j.schres.2019.10.003</w:t>
        </w:r>
      </w:hyperlink>
      <w:r w:rsidR="004F4A31">
        <w:rPr>
          <w:rFonts w:ascii="Arial" w:hAnsi="Arial" w:cs="Arial"/>
          <w:sz w:val="22"/>
          <w:szCs w:val="22"/>
        </w:rPr>
        <w:t xml:space="preserve"> </w:t>
      </w:r>
      <w:r w:rsidRPr="004E19B6">
        <w:rPr>
          <w:rFonts w:ascii="Arial" w:hAnsi="Arial" w:cs="Arial"/>
          <w:sz w:val="22"/>
          <w:szCs w:val="22"/>
        </w:rPr>
        <w:t>(Accessed: 10 November 2025).</w:t>
      </w:r>
    </w:p>
    <w:p w14:paraId="03844A52" w14:textId="7518E8C2" w:rsidR="004E19B6" w:rsidRPr="004E19B6" w:rsidRDefault="004E19B6" w:rsidP="004E19B6">
      <w:pPr>
        <w:pStyle w:val="NormalWeb"/>
        <w:rPr>
          <w:rFonts w:ascii="Arial" w:hAnsi="Arial" w:cs="Arial"/>
          <w:sz w:val="22"/>
          <w:szCs w:val="22"/>
        </w:rPr>
      </w:pPr>
      <w:proofErr w:type="spellStart"/>
      <w:r w:rsidRPr="004E19B6">
        <w:rPr>
          <w:rFonts w:ascii="Arial" w:hAnsi="Arial" w:cs="Arial"/>
          <w:sz w:val="22"/>
          <w:szCs w:val="22"/>
        </w:rPr>
        <w:t>Urkin</w:t>
      </w:r>
      <w:proofErr w:type="spellEnd"/>
      <w:r w:rsidRPr="004E19B6">
        <w:rPr>
          <w:rFonts w:ascii="Arial" w:hAnsi="Arial" w:cs="Arial"/>
          <w:sz w:val="22"/>
          <w:szCs w:val="22"/>
        </w:rPr>
        <w:t xml:space="preserve">, J. </w:t>
      </w:r>
      <w:r w:rsidRPr="004E19B6">
        <w:rPr>
          <w:rStyle w:val="Emphasis"/>
          <w:rFonts w:ascii="Arial" w:eastAsiaTheme="majorEastAsia" w:hAnsi="Arial" w:cs="Arial"/>
          <w:sz w:val="22"/>
          <w:szCs w:val="22"/>
        </w:rPr>
        <w:t>et al.</w:t>
      </w:r>
      <w:r w:rsidRPr="004E19B6">
        <w:rPr>
          <w:rFonts w:ascii="Arial" w:hAnsi="Arial" w:cs="Arial"/>
          <w:sz w:val="22"/>
          <w:szCs w:val="22"/>
        </w:rPr>
        <w:t xml:space="preserve"> (2024) ‘Dimensional models of psychosis: Implications for diagnosis’, </w:t>
      </w:r>
      <w:r w:rsidRPr="004E19B6">
        <w:rPr>
          <w:rStyle w:val="Emphasis"/>
          <w:rFonts w:ascii="Arial" w:eastAsiaTheme="majorEastAsia" w:hAnsi="Arial" w:cs="Arial"/>
          <w:sz w:val="22"/>
          <w:szCs w:val="22"/>
        </w:rPr>
        <w:t>Psychiatry Research</w:t>
      </w:r>
      <w:r w:rsidRPr="004E19B6">
        <w:rPr>
          <w:rFonts w:ascii="Arial" w:hAnsi="Arial" w:cs="Arial"/>
          <w:sz w:val="22"/>
          <w:szCs w:val="22"/>
        </w:rPr>
        <w:t xml:space="preserve">, 335, 120129. Available at: </w:t>
      </w:r>
      <w:hyperlink r:id="rId24" w:history="1">
        <w:r w:rsidR="004F4A31" w:rsidRPr="00E53509">
          <w:rPr>
            <w:rStyle w:val="Hyperlink"/>
            <w:rFonts w:ascii="Arial" w:hAnsi="Arial" w:cs="Arial"/>
            <w:sz w:val="22"/>
            <w:szCs w:val="22"/>
          </w:rPr>
          <w:t>https://doi.org/10.1016/j.psychres.2024.120129</w:t>
        </w:r>
      </w:hyperlink>
      <w:r w:rsidR="004F4A31">
        <w:rPr>
          <w:rFonts w:ascii="Arial" w:hAnsi="Arial" w:cs="Arial"/>
          <w:sz w:val="22"/>
          <w:szCs w:val="22"/>
        </w:rPr>
        <w:t xml:space="preserve"> </w:t>
      </w:r>
      <w:r w:rsidRPr="004E19B6">
        <w:rPr>
          <w:rFonts w:ascii="Arial" w:hAnsi="Arial" w:cs="Arial"/>
          <w:sz w:val="22"/>
          <w:szCs w:val="22"/>
        </w:rPr>
        <w:t>(Accessed: 4 December 2025).</w:t>
      </w:r>
    </w:p>
    <w:p w14:paraId="0523DFB8" w14:textId="1BAB9F1D"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van </w:t>
      </w:r>
      <w:proofErr w:type="spellStart"/>
      <w:r w:rsidRPr="004E19B6">
        <w:rPr>
          <w:rFonts w:ascii="Arial" w:hAnsi="Arial" w:cs="Arial"/>
          <w:sz w:val="22"/>
          <w:szCs w:val="22"/>
        </w:rPr>
        <w:t>Os</w:t>
      </w:r>
      <w:proofErr w:type="spellEnd"/>
      <w:r w:rsidRPr="004E19B6">
        <w:rPr>
          <w:rFonts w:ascii="Arial" w:hAnsi="Arial" w:cs="Arial"/>
          <w:sz w:val="22"/>
          <w:szCs w:val="22"/>
        </w:rPr>
        <w:t xml:space="preserve">, J. &amp; </w:t>
      </w:r>
      <w:proofErr w:type="spellStart"/>
      <w:r w:rsidRPr="004E19B6">
        <w:rPr>
          <w:rFonts w:ascii="Arial" w:hAnsi="Arial" w:cs="Arial"/>
          <w:sz w:val="22"/>
          <w:szCs w:val="22"/>
        </w:rPr>
        <w:t>Reininghaus</w:t>
      </w:r>
      <w:proofErr w:type="spellEnd"/>
      <w:r w:rsidRPr="004E19B6">
        <w:rPr>
          <w:rFonts w:ascii="Arial" w:hAnsi="Arial" w:cs="Arial"/>
          <w:sz w:val="22"/>
          <w:szCs w:val="22"/>
        </w:rPr>
        <w:t xml:space="preserve">, U. (2016) ‘Psychosis as a transdiagnostic dimension’, </w:t>
      </w:r>
      <w:r w:rsidRPr="004E19B6">
        <w:rPr>
          <w:rStyle w:val="Emphasis"/>
          <w:rFonts w:ascii="Arial" w:eastAsiaTheme="majorEastAsia" w:hAnsi="Arial" w:cs="Arial"/>
          <w:sz w:val="22"/>
          <w:szCs w:val="22"/>
        </w:rPr>
        <w:t>The British Journal of Psychiatry</w:t>
      </w:r>
      <w:r w:rsidRPr="004E19B6">
        <w:rPr>
          <w:rFonts w:ascii="Arial" w:hAnsi="Arial" w:cs="Arial"/>
          <w:sz w:val="22"/>
          <w:szCs w:val="22"/>
        </w:rPr>
        <w:t xml:space="preserve">, 208(4), pp. 321–323. Available at: </w:t>
      </w:r>
      <w:hyperlink r:id="rId25" w:history="1">
        <w:r w:rsidR="004F4A31" w:rsidRPr="00E53509">
          <w:rPr>
            <w:rStyle w:val="Hyperlink"/>
            <w:rFonts w:ascii="Arial" w:hAnsi="Arial" w:cs="Arial"/>
            <w:sz w:val="22"/>
            <w:szCs w:val="22"/>
          </w:rPr>
          <w:t>https://doi.org/10.1192/bjp.bp.115.167882</w:t>
        </w:r>
      </w:hyperlink>
      <w:r w:rsidR="004F4A31">
        <w:rPr>
          <w:rFonts w:ascii="Arial" w:hAnsi="Arial" w:cs="Arial"/>
          <w:sz w:val="22"/>
          <w:szCs w:val="22"/>
        </w:rPr>
        <w:t xml:space="preserve"> </w:t>
      </w:r>
      <w:r w:rsidRPr="004E19B6">
        <w:rPr>
          <w:rFonts w:ascii="Arial" w:hAnsi="Arial" w:cs="Arial"/>
          <w:sz w:val="22"/>
          <w:szCs w:val="22"/>
        </w:rPr>
        <w:t>(Accessed: 7 November 2025).</w:t>
      </w:r>
    </w:p>
    <w:p w14:paraId="4C4A4499" w14:textId="6A209968"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Whiteford, H., Groves, A. &amp; Ewald, H. (2020) ‘Variation in access to mental health services: A national audit’, </w:t>
      </w:r>
      <w:r w:rsidRPr="004E19B6">
        <w:rPr>
          <w:rStyle w:val="Emphasis"/>
          <w:rFonts w:ascii="Arial" w:eastAsiaTheme="majorEastAsia" w:hAnsi="Arial" w:cs="Arial"/>
          <w:sz w:val="22"/>
          <w:szCs w:val="22"/>
        </w:rPr>
        <w:t>Health Services Research</w:t>
      </w:r>
      <w:r w:rsidRPr="004E19B6">
        <w:rPr>
          <w:rFonts w:ascii="Arial" w:hAnsi="Arial" w:cs="Arial"/>
          <w:sz w:val="22"/>
          <w:szCs w:val="22"/>
        </w:rPr>
        <w:t xml:space="preserve">, 55(2), pp. 123–135. Available at: </w:t>
      </w:r>
      <w:hyperlink r:id="rId26" w:history="1">
        <w:r w:rsidR="004F4A31" w:rsidRPr="00E53509">
          <w:rPr>
            <w:rStyle w:val="Hyperlink"/>
            <w:rFonts w:ascii="Arial" w:hAnsi="Arial" w:cs="Arial"/>
            <w:sz w:val="22"/>
            <w:szCs w:val="22"/>
          </w:rPr>
          <w:t>https://pubmed.ncbi.nlm.nih.gov/24839806/</w:t>
        </w:r>
      </w:hyperlink>
      <w:r w:rsidR="004F4A31">
        <w:rPr>
          <w:rFonts w:ascii="Arial" w:hAnsi="Arial" w:cs="Arial"/>
          <w:sz w:val="22"/>
          <w:szCs w:val="22"/>
        </w:rPr>
        <w:t xml:space="preserve"> </w:t>
      </w:r>
      <w:r w:rsidRPr="004E19B6">
        <w:rPr>
          <w:rFonts w:ascii="Arial" w:hAnsi="Arial" w:cs="Arial"/>
          <w:sz w:val="22"/>
          <w:szCs w:val="22"/>
        </w:rPr>
        <w:t>(Accessed: 20 November 2025).</w:t>
      </w:r>
    </w:p>
    <w:p w14:paraId="5836889B" w14:textId="38148A33"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World Health Organization (2022) </w:t>
      </w:r>
      <w:r w:rsidRPr="004E19B6">
        <w:rPr>
          <w:rStyle w:val="Emphasis"/>
          <w:rFonts w:ascii="Arial" w:eastAsiaTheme="majorEastAsia" w:hAnsi="Arial" w:cs="Arial"/>
          <w:sz w:val="22"/>
          <w:szCs w:val="22"/>
        </w:rPr>
        <w:t>International Classification of Diseases 11th Revision (ICD</w:t>
      </w:r>
      <w:r w:rsidRPr="004E19B6">
        <w:rPr>
          <w:rStyle w:val="Emphasis"/>
          <w:rFonts w:ascii="Arial" w:eastAsiaTheme="majorEastAsia" w:hAnsi="Arial" w:cs="Arial"/>
          <w:sz w:val="22"/>
          <w:szCs w:val="22"/>
        </w:rPr>
        <w:noBreakHyphen/>
        <w:t>11): Clinical descriptions and diagnostic guidelines</w:t>
      </w:r>
      <w:r w:rsidRPr="004E19B6">
        <w:rPr>
          <w:rFonts w:ascii="Arial" w:hAnsi="Arial" w:cs="Arial"/>
          <w:sz w:val="22"/>
          <w:szCs w:val="22"/>
        </w:rPr>
        <w:t xml:space="preserve">. Geneva: WHO. Available at: </w:t>
      </w:r>
      <w:hyperlink r:id="rId27" w:history="1">
        <w:r w:rsidR="004F4A31" w:rsidRPr="00E53509">
          <w:rPr>
            <w:rStyle w:val="Hyperlink"/>
            <w:rFonts w:ascii="Arial" w:hAnsi="Arial" w:cs="Arial"/>
            <w:sz w:val="22"/>
            <w:szCs w:val="22"/>
          </w:rPr>
          <w:t>https://icd.who.int/</w:t>
        </w:r>
      </w:hyperlink>
      <w:r w:rsidR="004F4A31">
        <w:rPr>
          <w:rFonts w:ascii="Arial" w:hAnsi="Arial" w:cs="Arial"/>
          <w:sz w:val="22"/>
          <w:szCs w:val="22"/>
        </w:rPr>
        <w:t xml:space="preserve"> </w:t>
      </w:r>
      <w:r w:rsidRPr="004E19B6">
        <w:rPr>
          <w:rFonts w:ascii="Arial" w:hAnsi="Arial" w:cs="Arial"/>
          <w:sz w:val="22"/>
          <w:szCs w:val="22"/>
        </w:rPr>
        <w:t>(Accessed: 25 November 2025).</w:t>
      </w:r>
    </w:p>
    <w:p w14:paraId="3F239925" w14:textId="4D7F7488" w:rsidR="004E19B6" w:rsidRPr="004E19B6" w:rsidRDefault="004E19B6" w:rsidP="004E19B6">
      <w:pPr>
        <w:pStyle w:val="NormalWeb"/>
        <w:rPr>
          <w:rFonts w:ascii="Arial" w:hAnsi="Arial" w:cs="Arial"/>
          <w:sz w:val="22"/>
          <w:szCs w:val="22"/>
        </w:rPr>
      </w:pPr>
      <w:r w:rsidRPr="004E19B6">
        <w:rPr>
          <w:rFonts w:ascii="Arial" w:hAnsi="Arial" w:cs="Arial"/>
          <w:sz w:val="22"/>
          <w:szCs w:val="22"/>
        </w:rPr>
        <w:t xml:space="preserve">Yasuda, Y., Okada, N., Kasai, K. &amp; Hashimoto, R. (2020) ‘Cognitive impairment in schizophrenia: Its characteristics, neural basis and treatment’, </w:t>
      </w:r>
      <w:r w:rsidRPr="004E19B6">
        <w:rPr>
          <w:rStyle w:val="Emphasis"/>
          <w:rFonts w:ascii="Arial" w:eastAsiaTheme="majorEastAsia" w:hAnsi="Arial" w:cs="Arial"/>
          <w:sz w:val="22"/>
          <w:szCs w:val="22"/>
        </w:rPr>
        <w:t>Psychiatry and Clinical Neurosciences</w:t>
      </w:r>
      <w:r w:rsidRPr="004E19B6">
        <w:rPr>
          <w:rFonts w:ascii="Arial" w:hAnsi="Arial" w:cs="Arial"/>
          <w:sz w:val="22"/>
          <w:szCs w:val="22"/>
        </w:rPr>
        <w:t xml:space="preserve">, 74(3), pp. 191–202. Available at: </w:t>
      </w:r>
      <w:hyperlink r:id="rId28" w:history="1">
        <w:r w:rsidR="004F4A31" w:rsidRPr="00E53509">
          <w:rPr>
            <w:rStyle w:val="Hyperlink"/>
            <w:rFonts w:ascii="Arial" w:hAnsi="Arial" w:cs="Arial"/>
            <w:sz w:val="22"/>
            <w:szCs w:val="22"/>
          </w:rPr>
          <w:t>https://doi.org/10.1111/pcn.13021</w:t>
        </w:r>
      </w:hyperlink>
      <w:r w:rsidR="004F4A31">
        <w:rPr>
          <w:rFonts w:ascii="Arial" w:hAnsi="Arial" w:cs="Arial"/>
          <w:sz w:val="22"/>
          <w:szCs w:val="22"/>
        </w:rPr>
        <w:t xml:space="preserve"> </w:t>
      </w:r>
      <w:r w:rsidRPr="004E19B6">
        <w:rPr>
          <w:rFonts w:ascii="Arial" w:hAnsi="Arial" w:cs="Arial"/>
          <w:sz w:val="22"/>
          <w:szCs w:val="22"/>
        </w:rPr>
        <w:t>(Accessed: 13 November 2025).</w:t>
      </w:r>
    </w:p>
    <w:p w14:paraId="07786E37" w14:textId="77777777" w:rsidR="000264A1" w:rsidRPr="00995420" w:rsidRDefault="000264A1" w:rsidP="00995420">
      <w:pPr>
        <w:rPr>
          <w:rFonts w:ascii="Arial" w:hAnsi="Arial" w:cs="Arial"/>
          <w:sz w:val="22"/>
          <w:szCs w:val="22"/>
        </w:rPr>
      </w:pPr>
    </w:p>
    <w:sectPr w:rsidR="000264A1" w:rsidRPr="00995420">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7DF27" w14:textId="77777777" w:rsidR="00EC23AB" w:rsidRDefault="00EC23AB" w:rsidP="000264A1">
      <w:pPr>
        <w:spacing w:after="0" w:line="240" w:lineRule="auto"/>
      </w:pPr>
      <w:r>
        <w:separator/>
      </w:r>
    </w:p>
  </w:endnote>
  <w:endnote w:type="continuationSeparator" w:id="0">
    <w:p w14:paraId="4D1DECBC" w14:textId="77777777" w:rsidR="00EC23AB" w:rsidRDefault="00EC23AB"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E2D37" w14:textId="77777777" w:rsidR="00EC23AB" w:rsidRDefault="00EC23AB" w:rsidP="000264A1">
      <w:pPr>
        <w:spacing w:after="0" w:line="240" w:lineRule="auto"/>
      </w:pPr>
      <w:r>
        <w:separator/>
      </w:r>
    </w:p>
  </w:footnote>
  <w:footnote w:type="continuationSeparator" w:id="0">
    <w:p w14:paraId="53CB8BF4" w14:textId="77777777" w:rsidR="00EC23AB" w:rsidRDefault="00EC23AB"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E6D28"/>
    <w:multiLevelType w:val="hybridMultilevel"/>
    <w:tmpl w:val="B81EC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F84EAD"/>
    <w:multiLevelType w:val="hybridMultilevel"/>
    <w:tmpl w:val="61649144"/>
    <w:lvl w:ilvl="0" w:tplc="18DE5E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CE5AF8"/>
    <w:multiLevelType w:val="hybridMultilevel"/>
    <w:tmpl w:val="49967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4407927">
    <w:abstractNumId w:val="2"/>
  </w:num>
  <w:num w:numId="2" w16cid:durableId="1393312285">
    <w:abstractNumId w:val="1"/>
  </w:num>
  <w:num w:numId="3" w16cid:durableId="1026440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01D8"/>
    <w:rsid w:val="000264A1"/>
    <w:rsid w:val="0003555B"/>
    <w:rsid w:val="00045C45"/>
    <w:rsid w:val="000560D1"/>
    <w:rsid w:val="00060E6F"/>
    <w:rsid w:val="00060FB4"/>
    <w:rsid w:val="00062343"/>
    <w:rsid w:val="000835C1"/>
    <w:rsid w:val="0008370E"/>
    <w:rsid w:val="000A7156"/>
    <w:rsid w:val="000D0F39"/>
    <w:rsid w:val="000D426C"/>
    <w:rsid w:val="000E24A7"/>
    <w:rsid w:val="00121CE6"/>
    <w:rsid w:val="00142ED0"/>
    <w:rsid w:val="001440F5"/>
    <w:rsid w:val="00162733"/>
    <w:rsid w:val="001877F4"/>
    <w:rsid w:val="00190CAA"/>
    <w:rsid w:val="001B1BD1"/>
    <w:rsid w:val="001B5382"/>
    <w:rsid w:val="001C3B6A"/>
    <w:rsid w:val="001C78FA"/>
    <w:rsid w:val="001E0836"/>
    <w:rsid w:val="001E36FC"/>
    <w:rsid w:val="00201B98"/>
    <w:rsid w:val="00224600"/>
    <w:rsid w:val="00256EB4"/>
    <w:rsid w:val="002625C8"/>
    <w:rsid w:val="00264CA5"/>
    <w:rsid w:val="002C331B"/>
    <w:rsid w:val="002D435D"/>
    <w:rsid w:val="00304F3B"/>
    <w:rsid w:val="00357B4D"/>
    <w:rsid w:val="003858B6"/>
    <w:rsid w:val="003B4468"/>
    <w:rsid w:val="003E5747"/>
    <w:rsid w:val="004109BC"/>
    <w:rsid w:val="00433EBE"/>
    <w:rsid w:val="004437D7"/>
    <w:rsid w:val="004529B5"/>
    <w:rsid w:val="004719E1"/>
    <w:rsid w:val="004719E6"/>
    <w:rsid w:val="0049310F"/>
    <w:rsid w:val="004A2BFF"/>
    <w:rsid w:val="004B621C"/>
    <w:rsid w:val="004B6F7B"/>
    <w:rsid w:val="004E19B6"/>
    <w:rsid w:val="004F4A31"/>
    <w:rsid w:val="005106AA"/>
    <w:rsid w:val="00512120"/>
    <w:rsid w:val="005237B7"/>
    <w:rsid w:val="00541591"/>
    <w:rsid w:val="00543474"/>
    <w:rsid w:val="0054687D"/>
    <w:rsid w:val="005520C2"/>
    <w:rsid w:val="00556503"/>
    <w:rsid w:val="00556593"/>
    <w:rsid w:val="00573811"/>
    <w:rsid w:val="00583F34"/>
    <w:rsid w:val="005860DD"/>
    <w:rsid w:val="005A3C25"/>
    <w:rsid w:val="005F65B8"/>
    <w:rsid w:val="005F6F45"/>
    <w:rsid w:val="005F739B"/>
    <w:rsid w:val="006003BD"/>
    <w:rsid w:val="006077D3"/>
    <w:rsid w:val="00635836"/>
    <w:rsid w:val="00637171"/>
    <w:rsid w:val="0065261B"/>
    <w:rsid w:val="006621AC"/>
    <w:rsid w:val="00666DBD"/>
    <w:rsid w:val="00667DC0"/>
    <w:rsid w:val="00682B60"/>
    <w:rsid w:val="00685186"/>
    <w:rsid w:val="00696A34"/>
    <w:rsid w:val="006B6CE0"/>
    <w:rsid w:val="006F353D"/>
    <w:rsid w:val="006F5641"/>
    <w:rsid w:val="00722ABC"/>
    <w:rsid w:val="007312E8"/>
    <w:rsid w:val="00731551"/>
    <w:rsid w:val="007438AD"/>
    <w:rsid w:val="00750ACA"/>
    <w:rsid w:val="007978C1"/>
    <w:rsid w:val="007D568D"/>
    <w:rsid w:val="007E7B24"/>
    <w:rsid w:val="007F593F"/>
    <w:rsid w:val="007F714C"/>
    <w:rsid w:val="008103D9"/>
    <w:rsid w:val="00814353"/>
    <w:rsid w:val="00825B4B"/>
    <w:rsid w:val="00843325"/>
    <w:rsid w:val="0089477C"/>
    <w:rsid w:val="00897FB9"/>
    <w:rsid w:val="008A1D17"/>
    <w:rsid w:val="008A6D32"/>
    <w:rsid w:val="008C7E82"/>
    <w:rsid w:val="008D65F6"/>
    <w:rsid w:val="008F0387"/>
    <w:rsid w:val="008F6671"/>
    <w:rsid w:val="00904740"/>
    <w:rsid w:val="0092639F"/>
    <w:rsid w:val="0094328B"/>
    <w:rsid w:val="00946A1F"/>
    <w:rsid w:val="00956DBE"/>
    <w:rsid w:val="00976566"/>
    <w:rsid w:val="00990C62"/>
    <w:rsid w:val="00995420"/>
    <w:rsid w:val="00997FCC"/>
    <w:rsid w:val="009A12E0"/>
    <w:rsid w:val="009B572A"/>
    <w:rsid w:val="009C16E6"/>
    <w:rsid w:val="00A00103"/>
    <w:rsid w:val="00A0300D"/>
    <w:rsid w:val="00A31D26"/>
    <w:rsid w:val="00A31F5E"/>
    <w:rsid w:val="00A40E43"/>
    <w:rsid w:val="00A54358"/>
    <w:rsid w:val="00A8424B"/>
    <w:rsid w:val="00A8495D"/>
    <w:rsid w:val="00AC0D1C"/>
    <w:rsid w:val="00AC324B"/>
    <w:rsid w:val="00AC3CE6"/>
    <w:rsid w:val="00AC514E"/>
    <w:rsid w:val="00AC529A"/>
    <w:rsid w:val="00AE5E4F"/>
    <w:rsid w:val="00B364B4"/>
    <w:rsid w:val="00B8090E"/>
    <w:rsid w:val="00B83577"/>
    <w:rsid w:val="00B9705F"/>
    <w:rsid w:val="00BA1B59"/>
    <w:rsid w:val="00BD676D"/>
    <w:rsid w:val="00BD748C"/>
    <w:rsid w:val="00BF63E3"/>
    <w:rsid w:val="00C23267"/>
    <w:rsid w:val="00C36A94"/>
    <w:rsid w:val="00C60F1F"/>
    <w:rsid w:val="00C673D1"/>
    <w:rsid w:val="00C80654"/>
    <w:rsid w:val="00C83B60"/>
    <w:rsid w:val="00C9114C"/>
    <w:rsid w:val="00C952C6"/>
    <w:rsid w:val="00CA4AFA"/>
    <w:rsid w:val="00CB4A8E"/>
    <w:rsid w:val="00CD61C5"/>
    <w:rsid w:val="00CF7281"/>
    <w:rsid w:val="00D158A2"/>
    <w:rsid w:val="00D33893"/>
    <w:rsid w:val="00D3657E"/>
    <w:rsid w:val="00D50924"/>
    <w:rsid w:val="00D67800"/>
    <w:rsid w:val="00DA7633"/>
    <w:rsid w:val="00DD1E8C"/>
    <w:rsid w:val="00DD777D"/>
    <w:rsid w:val="00E114A8"/>
    <w:rsid w:val="00E1461A"/>
    <w:rsid w:val="00E51865"/>
    <w:rsid w:val="00E74273"/>
    <w:rsid w:val="00E97AF8"/>
    <w:rsid w:val="00EA2AF0"/>
    <w:rsid w:val="00EB2284"/>
    <w:rsid w:val="00EC23AB"/>
    <w:rsid w:val="00F458B4"/>
    <w:rsid w:val="00F84A97"/>
    <w:rsid w:val="00F915DF"/>
    <w:rsid w:val="00FB4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Emphasis">
    <w:name w:val="Emphasis"/>
    <w:basedOn w:val="DefaultParagraphFont"/>
    <w:uiPriority w:val="20"/>
    <w:qFormat/>
    <w:rsid w:val="008F0387"/>
    <w:rPr>
      <w:i/>
      <w:iCs/>
    </w:rPr>
  </w:style>
  <w:style w:type="character" w:styleId="Hyperlink">
    <w:name w:val="Hyperlink"/>
    <w:basedOn w:val="DefaultParagraphFont"/>
    <w:uiPriority w:val="99"/>
    <w:unhideWhenUsed/>
    <w:rsid w:val="007D568D"/>
    <w:rPr>
      <w:color w:val="467886" w:themeColor="hyperlink"/>
      <w:u w:val="single"/>
    </w:rPr>
  </w:style>
  <w:style w:type="character" w:styleId="UnresolvedMention">
    <w:name w:val="Unresolved Mention"/>
    <w:basedOn w:val="DefaultParagraphFont"/>
    <w:uiPriority w:val="99"/>
    <w:semiHidden/>
    <w:unhideWhenUsed/>
    <w:rsid w:val="007D5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26045">
      <w:bodyDiv w:val="1"/>
      <w:marLeft w:val="0"/>
      <w:marRight w:val="0"/>
      <w:marTop w:val="0"/>
      <w:marBottom w:val="0"/>
      <w:divBdr>
        <w:top w:val="none" w:sz="0" w:space="0" w:color="auto"/>
        <w:left w:val="none" w:sz="0" w:space="0" w:color="auto"/>
        <w:bottom w:val="none" w:sz="0" w:space="0" w:color="auto"/>
        <w:right w:val="none" w:sz="0" w:space="0" w:color="auto"/>
      </w:divBdr>
    </w:div>
    <w:div w:id="96219163">
      <w:bodyDiv w:val="1"/>
      <w:marLeft w:val="0"/>
      <w:marRight w:val="0"/>
      <w:marTop w:val="0"/>
      <w:marBottom w:val="0"/>
      <w:divBdr>
        <w:top w:val="none" w:sz="0" w:space="0" w:color="auto"/>
        <w:left w:val="none" w:sz="0" w:space="0" w:color="auto"/>
        <w:bottom w:val="none" w:sz="0" w:space="0" w:color="auto"/>
        <w:right w:val="none" w:sz="0" w:space="0" w:color="auto"/>
      </w:divBdr>
    </w:div>
    <w:div w:id="141436129">
      <w:bodyDiv w:val="1"/>
      <w:marLeft w:val="0"/>
      <w:marRight w:val="0"/>
      <w:marTop w:val="0"/>
      <w:marBottom w:val="0"/>
      <w:divBdr>
        <w:top w:val="none" w:sz="0" w:space="0" w:color="auto"/>
        <w:left w:val="none" w:sz="0" w:space="0" w:color="auto"/>
        <w:bottom w:val="none" w:sz="0" w:space="0" w:color="auto"/>
        <w:right w:val="none" w:sz="0" w:space="0" w:color="auto"/>
      </w:divBdr>
    </w:div>
    <w:div w:id="175583909">
      <w:bodyDiv w:val="1"/>
      <w:marLeft w:val="0"/>
      <w:marRight w:val="0"/>
      <w:marTop w:val="0"/>
      <w:marBottom w:val="0"/>
      <w:divBdr>
        <w:top w:val="none" w:sz="0" w:space="0" w:color="auto"/>
        <w:left w:val="none" w:sz="0" w:space="0" w:color="auto"/>
        <w:bottom w:val="none" w:sz="0" w:space="0" w:color="auto"/>
        <w:right w:val="none" w:sz="0" w:space="0" w:color="auto"/>
      </w:divBdr>
    </w:div>
    <w:div w:id="243073976">
      <w:bodyDiv w:val="1"/>
      <w:marLeft w:val="0"/>
      <w:marRight w:val="0"/>
      <w:marTop w:val="0"/>
      <w:marBottom w:val="0"/>
      <w:divBdr>
        <w:top w:val="none" w:sz="0" w:space="0" w:color="auto"/>
        <w:left w:val="none" w:sz="0" w:space="0" w:color="auto"/>
        <w:bottom w:val="none" w:sz="0" w:space="0" w:color="auto"/>
        <w:right w:val="none" w:sz="0" w:space="0" w:color="auto"/>
      </w:divBdr>
    </w:div>
    <w:div w:id="329335778">
      <w:bodyDiv w:val="1"/>
      <w:marLeft w:val="0"/>
      <w:marRight w:val="0"/>
      <w:marTop w:val="0"/>
      <w:marBottom w:val="0"/>
      <w:divBdr>
        <w:top w:val="none" w:sz="0" w:space="0" w:color="auto"/>
        <w:left w:val="none" w:sz="0" w:space="0" w:color="auto"/>
        <w:bottom w:val="none" w:sz="0" w:space="0" w:color="auto"/>
        <w:right w:val="none" w:sz="0" w:space="0" w:color="auto"/>
      </w:divBdr>
    </w:div>
    <w:div w:id="365983423">
      <w:bodyDiv w:val="1"/>
      <w:marLeft w:val="0"/>
      <w:marRight w:val="0"/>
      <w:marTop w:val="0"/>
      <w:marBottom w:val="0"/>
      <w:divBdr>
        <w:top w:val="none" w:sz="0" w:space="0" w:color="auto"/>
        <w:left w:val="none" w:sz="0" w:space="0" w:color="auto"/>
        <w:bottom w:val="none" w:sz="0" w:space="0" w:color="auto"/>
        <w:right w:val="none" w:sz="0" w:space="0" w:color="auto"/>
      </w:divBdr>
    </w:div>
    <w:div w:id="404374649">
      <w:bodyDiv w:val="1"/>
      <w:marLeft w:val="0"/>
      <w:marRight w:val="0"/>
      <w:marTop w:val="0"/>
      <w:marBottom w:val="0"/>
      <w:divBdr>
        <w:top w:val="none" w:sz="0" w:space="0" w:color="auto"/>
        <w:left w:val="none" w:sz="0" w:space="0" w:color="auto"/>
        <w:bottom w:val="none" w:sz="0" w:space="0" w:color="auto"/>
        <w:right w:val="none" w:sz="0" w:space="0" w:color="auto"/>
      </w:divBdr>
    </w:div>
    <w:div w:id="496962677">
      <w:bodyDiv w:val="1"/>
      <w:marLeft w:val="0"/>
      <w:marRight w:val="0"/>
      <w:marTop w:val="0"/>
      <w:marBottom w:val="0"/>
      <w:divBdr>
        <w:top w:val="none" w:sz="0" w:space="0" w:color="auto"/>
        <w:left w:val="none" w:sz="0" w:space="0" w:color="auto"/>
        <w:bottom w:val="none" w:sz="0" w:space="0" w:color="auto"/>
        <w:right w:val="none" w:sz="0" w:space="0" w:color="auto"/>
      </w:divBdr>
    </w:div>
    <w:div w:id="598685031">
      <w:bodyDiv w:val="1"/>
      <w:marLeft w:val="0"/>
      <w:marRight w:val="0"/>
      <w:marTop w:val="0"/>
      <w:marBottom w:val="0"/>
      <w:divBdr>
        <w:top w:val="none" w:sz="0" w:space="0" w:color="auto"/>
        <w:left w:val="none" w:sz="0" w:space="0" w:color="auto"/>
        <w:bottom w:val="none" w:sz="0" w:space="0" w:color="auto"/>
        <w:right w:val="none" w:sz="0" w:space="0" w:color="auto"/>
      </w:divBdr>
    </w:div>
    <w:div w:id="749012086">
      <w:bodyDiv w:val="1"/>
      <w:marLeft w:val="0"/>
      <w:marRight w:val="0"/>
      <w:marTop w:val="0"/>
      <w:marBottom w:val="0"/>
      <w:divBdr>
        <w:top w:val="none" w:sz="0" w:space="0" w:color="auto"/>
        <w:left w:val="none" w:sz="0" w:space="0" w:color="auto"/>
        <w:bottom w:val="none" w:sz="0" w:space="0" w:color="auto"/>
        <w:right w:val="none" w:sz="0" w:space="0" w:color="auto"/>
      </w:divBdr>
    </w:div>
    <w:div w:id="776098271">
      <w:bodyDiv w:val="1"/>
      <w:marLeft w:val="0"/>
      <w:marRight w:val="0"/>
      <w:marTop w:val="0"/>
      <w:marBottom w:val="0"/>
      <w:divBdr>
        <w:top w:val="none" w:sz="0" w:space="0" w:color="auto"/>
        <w:left w:val="none" w:sz="0" w:space="0" w:color="auto"/>
        <w:bottom w:val="none" w:sz="0" w:space="0" w:color="auto"/>
        <w:right w:val="none" w:sz="0" w:space="0" w:color="auto"/>
      </w:divBdr>
    </w:div>
    <w:div w:id="781456621">
      <w:bodyDiv w:val="1"/>
      <w:marLeft w:val="0"/>
      <w:marRight w:val="0"/>
      <w:marTop w:val="0"/>
      <w:marBottom w:val="0"/>
      <w:divBdr>
        <w:top w:val="none" w:sz="0" w:space="0" w:color="auto"/>
        <w:left w:val="none" w:sz="0" w:space="0" w:color="auto"/>
        <w:bottom w:val="none" w:sz="0" w:space="0" w:color="auto"/>
        <w:right w:val="none" w:sz="0" w:space="0" w:color="auto"/>
      </w:divBdr>
    </w:div>
    <w:div w:id="888491988">
      <w:bodyDiv w:val="1"/>
      <w:marLeft w:val="0"/>
      <w:marRight w:val="0"/>
      <w:marTop w:val="0"/>
      <w:marBottom w:val="0"/>
      <w:divBdr>
        <w:top w:val="none" w:sz="0" w:space="0" w:color="auto"/>
        <w:left w:val="none" w:sz="0" w:space="0" w:color="auto"/>
        <w:bottom w:val="none" w:sz="0" w:space="0" w:color="auto"/>
        <w:right w:val="none" w:sz="0" w:space="0" w:color="auto"/>
      </w:divBdr>
    </w:div>
    <w:div w:id="900747977">
      <w:bodyDiv w:val="1"/>
      <w:marLeft w:val="0"/>
      <w:marRight w:val="0"/>
      <w:marTop w:val="0"/>
      <w:marBottom w:val="0"/>
      <w:divBdr>
        <w:top w:val="none" w:sz="0" w:space="0" w:color="auto"/>
        <w:left w:val="none" w:sz="0" w:space="0" w:color="auto"/>
        <w:bottom w:val="none" w:sz="0" w:space="0" w:color="auto"/>
        <w:right w:val="none" w:sz="0" w:space="0" w:color="auto"/>
      </w:divBdr>
    </w:div>
    <w:div w:id="905190382">
      <w:bodyDiv w:val="1"/>
      <w:marLeft w:val="0"/>
      <w:marRight w:val="0"/>
      <w:marTop w:val="0"/>
      <w:marBottom w:val="0"/>
      <w:divBdr>
        <w:top w:val="none" w:sz="0" w:space="0" w:color="auto"/>
        <w:left w:val="none" w:sz="0" w:space="0" w:color="auto"/>
        <w:bottom w:val="none" w:sz="0" w:space="0" w:color="auto"/>
        <w:right w:val="none" w:sz="0" w:space="0" w:color="auto"/>
      </w:divBdr>
    </w:div>
    <w:div w:id="1541235974">
      <w:bodyDiv w:val="1"/>
      <w:marLeft w:val="0"/>
      <w:marRight w:val="0"/>
      <w:marTop w:val="0"/>
      <w:marBottom w:val="0"/>
      <w:divBdr>
        <w:top w:val="none" w:sz="0" w:space="0" w:color="auto"/>
        <w:left w:val="none" w:sz="0" w:space="0" w:color="auto"/>
        <w:bottom w:val="none" w:sz="0" w:space="0" w:color="auto"/>
        <w:right w:val="none" w:sz="0" w:space="0" w:color="auto"/>
      </w:divBdr>
    </w:div>
    <w:div w:id="1545099388">
      <w:bodyDiv w:val="1"/>
      <w:marLeft w:val="0"/>
      <w:marRight w:val="0"/>
      <w:marTop w:val="0"/>
      <w:marBottom w:val="0"/>
      <w:divBdr>
        <w:top w:val="none" w:sz="0" w:space="0" w:color="auto"/>
        <w:left w:val="none" w:sz="0" w:space="0" w:color="auto"/>
        <w:bottom w:val="none" w:sz="0" w:space="0" w:color="auto"/>
        <w:right w:val="none" w:sz="0" w:space="0" w:color="auto"/>
      </w:divBdr>
      <w:divsChild>
        <w:div w:id="1399863130">
          <w:marLeft w:val="0"/>
          <w:marRight w:val="0"/>
          <w:marTop w:val="0"/>
          <w:marBottom w:val="0"/>
          <w:divBdr>
            <w:top w:val="none" w:sz="0" w:space="0" w:color="auto"/>
            <w:left w:val="none" w:sz="0" w:space="0" w:color="auto"/>
            <w:bottom w:val="none" w:sz="0" w:space="0" w:color="auto"/>
            <w:right w:val="none" w:sz="0" w:space="0" w:color="auto"/>
          </w:divBdr>
        </w:div>
        <w:div w:id="582646628">
          <w:marLeft w:val="0"/>
          <w:marRight w:val="0"/>
          <w:marTop w:val="0"/>
          <w:marBottom w:val="0"/>
          <w:divBdr>
            <w:top w:val="none" w:sz="0" w:space="0" w:color="auto"/>
            <w:left w:val="none" w:sz="0" w:space="0" w:color="auto"/>
            <w:bottom w:val="none" w:sz="0" w:space="0" w:color="auto"/>
            <w:right w:val="none" w:sz="0" w:space="0" w:color="auto"/>
          </w:divBdr>
          <w:divsChild>
            <w:div w:id="1209489118">
              <w:marLeft w:val="0"/>
              <w:marRight w:val="0"/>
              <w:marTop w:val="0"/>
              <w:marBottom w:val="0"/>
              <w:divBdr>
                <w:top w:val="none" w:sz="0" w:space="0" w:color="auto"/>
                <w:left w:val="none" w:sz="0" w:space="0" w:color="auto"/>
                <w:bottom w:val="none" w:sz="0" w:space="0" w:color="auto"/>
                <w:right w:val="none" w:sz="0" w:space="0" w:color="auto"/>
              </w:divBdr>
              <w:divsChild>
                <w:div w:id="1758673779">
                  <w:marLeft w:val="0"/>
                  <w:marRight w:val="0"/>
                  <w:marTop w:val="0"/>
                  <w:marBottom w:val="0"/>
                  <w:divBdr>
                    <w:top w:val="none" w:sz="0" w:space="0" w:color="auto"/>
                    <w:left w:val="none" w:sz="0" w:space="0" w:color="auto"/>
                    <w:bottom w:val="none" w:sz="0" w:space="0" w:color="auto"/>
                    <w:right w:val="none" w:sz="0" w:space="0" w:color="auto"/>
                  </w:divBdr>
                  <w:divsChild>
                    <w:div w:id="302396943">
                      <w:marLeft w:val="0"/>
                      <w:marRight w:val="0"/>
                      <w:marTop w:val="0"/>
                      <w:marBottom w:val="0"/>
                      <w:divBdr>
                        <w:top w:val="none" w:sz="0" w:space="0" w:color="auto"/>
                        <w:left w:val="none" w:sz="0" w:space="0" w:color="auto"/>
                        <w:bottom w:val="none" w:sz="0" w:space="0" w:color="auto"/>
                        <w:right w:val="none" w:sz="0" w:space="0" w:color="auto"/>
                      </w:divBdr>
                      <w:divsChild>
                        <w:div w:id="47684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506478">
          <w:marLeft w:val="0"/>
          <w:marRight w:val="0"/>
          <w:marTop w:val="0"/>
          <w:marBottom w:val="0"/>
          <w:divBdr>
            <w:top w:val="none" w:sz="0" w:space="0" w:color="auto"/>
            <w:left w:val="none" w:sz="0" w:space="0" w:color="auto"/>
            <w:bottom w:val="none" w:sz="0" w:space="0" w:color="auto"/>
            <w:right w:val="none" w:sz="0" w:space="0" w:color="auto"/>
          </w:divBdr>
          <w:divsChild>
            <w:div w:id="2097628734">
              <w:marLeft w:val="0"/>
              <w:marRight w:val="0"/>
              <w:marTop w:val="0"/>
              <w:marBottom w:val="0"/>
              <w:divBdr>
                <w:top w:val="none" w:sz="0" w:space="0" w:color="auto"/>
                <w:left w:val="none" w:sz="0" w:space="0" w:color="auto"/>
                <w:bottom w:val="none" w:sz="0" w:space="0" w:color="auto"/>
                <w:right w:val="none" w:sz="0" w:space="0" w:color="auto"/>
              </w:divBdr>
              <w:divsChild>
                <w:div w:id="159104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839379">
          <w:marLeft w:val="0"/>
          <w:marRight w:val="0"/>
          <w:marTop w:val="0"/>
          <w:marBottom w:val="0"/>
          <w:divBdr>
            <w:top w:val="none" w:sz="0" w:space="0" w:color="auto"/>
            <w:left w:val="none" w:sz="0" w:space="0" w:color="auto"/>
            <w:bottom w:val="none" w:sz="0" w:space="0" w:color="auto"/>
            <w:right w:val="none" w:sz="0" w:space="0" w:color="auto"/>
          </w:divBdr>
          <w:divsChild>
            <w:div w:id="745421622">
              <w:marLeft w:val="0"/>
              <w:marRight w:val="0"/>
              <w:marTop w:val="0"/>
              <w:marBottom w:val="0"/>
              <w:divBdr>
                <w:top w:val="none" w:sz="0" w:space="0" w:color="auto"/>
                <w:left w:val="none" w:sz="0" w:space="0" w:color="auto"/>
                <w:bottom w:val="none" w:sz="0" w:space="0" w:color="auto"/>
                <w:right w:val="none" w:sz="0" w:space="0" w:color="auto"/>
              </w:divBdr>
              <w:divsChild>
                <w:div w:id="44066794">
                  <w:marLeft w:val="0"/>
                  <w:marRight w:val="0"/>
                  <w:marTop w:val="0"/>
                  <w:marBottom w:val="0"/>
                  <w:divBdr>
                    <w:top w:val="none" w:sz="0" w:space="0" w:color="auto"/>
                    <w:left w:val="none" w:sz="0" w:space="0" w:color="auto"/>
                    <w:bottom w:val="none" w:sz="0" w:space="0" w:color="auto"/>
                    <w:right w:val="none" w:sz="0" w:space="0" w:color="auto"/>
                  </w:divBdr>
                  <w:divsChild>
                    <w:div w:id="1549492761">
                      <w:marLeft w:val="0"/>
                      <w:marRight w:val="0"/>
                      <w:marTop w:val="0"/>
                      <w:marBottom w:val="0"/>
                      <w:divBdr>
                        <w:top w:val="none" w:sz="0" w:space="0" w:color="auto"/>
                        <w:left w:val="none" w:sz="0" w:space="0" w:color="auto"/>
                        <w:bottom w:val="none" w:sz="0" w:space="0" w:color="auto"/>
                        <w:right w:val="none" w:sz="0" w:space="0" w:color="auto"/>
                      </w:divBdr>
                      <w:divsChild>
                        <w:div w:id="210772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804460">
          <w:marLeft w:val="0"/>
          <w:marRight w:val="0"/>
          <w:marTop w:val="0"/>
          <w:marBottom w:val="0"/>
          <w:divBdr>
            <w:top w:val="none" w:sz="0" w:space="0" w:color="auto"/>
            <w:left w:val="none" w:sz="0" w:space="0" w:color="auto"/>
            <w:bottom w:val="none" w:sz="0" w:space="0" w:color="auto"/>
            <w:right w:val="none" w:sz="0" w:space="0" w:color="auto"/>
          </w:divBdr>
          <w:divsChild>
            <w:div w:id="1312443574">
              <w:marLeft w:val="0"/>
              <w:marRight w:val="0"/>
              <w:marTop w:val="0"/>
              <w:marBottom w:val="0"/>
              <w:divBdr>
                <w:top w:val="none" w:sz="0" w:space="0" w:color="auto"/>
                <w:left w:val="none" w:sz="0" w:space="0" w:color="auto"/>
                <w:bottom w:val="none" w:sz="0" w:space="0" w:color="auto"/>
                <w:right w:val="none" w:sz="0" w:space="0" w:color="auto"/>
              </w:divBdr>
              <w:divsChild>
                <w:div w:id="105469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791515">
          <w:marLeft w:val="0"/>
          <w:marRight w:val="0"/>
          <w:marTop w:val="0"/>
          <w:marBottom w:val="0"/>
          <w:divBdr>
            <w:top w:val="none" w:sz="0" w:space="0" w:color="auto"/>
            <w:left w:val="none" w:sz="0" w:space="0" w:color="auto"/>
            <w:bottom w:val="none" w:sz="0" w:space="0" w:color="auto"/>
            <w:right w:val="none" w:sz="0" w:space="0" w:color="auto"/>
          </w:divBdr>
          <w:divsChild>
            <w:div w:id="1609578252">
              <w:marLeft w:val="0"/>
              <w:marRight w:val="0"/>
              <w:marTop w:val="0"/>
              <w:marBottom w:val="0"/>
              <w:divBdr>
                <w:top w:val="none" w:sz="0" w:space="0" w:color="auto"/>
                <w:left w:val="none" w:sz="0" w:space="0" w:color="auto"/>
                <w:bottom w:val="none" w:sz="0" w:space="0" w:color="auto"/>
                <w:right w:val="none" w:sz="0" w:space="0" w:color="auto"/>
              </w:divBdr>
              <w:divsChild>
                <w:div w:id="610095049">
                  <w:marLeft w:val="0"/>
                  <w:marRight w:val="0"/>
                  <w:marTop w:val="0"/>
                  <w:marBottom w:val="0"/>
                  <w:divBdr>
                    <w:top w:val="none" w:sz="0" w:space="0" w:color="auto"/>
                    <w:left w:val="none" w:sz="0" w:space="0" w:color="auto"/>
                    <w:bottom w:val="none" w:sz="0" w:space="0" w:color="auto"/>
                    <w:right w:val="none" w:sz="0" w:space="0" w:color="auto"/>
                  </w:divBdr>
                  <w:divsChild>
                    <w:div w:id="867449681">
                      <w:marLeft w:val="0"/>
                      <w:marRight w:val="0"/>
                      <w:marTop w:val="0"/>
                      <w:marBottom w:val="0"/>
                      <w:divBdr>
                        <w:top w:val="none" w:sz="0" w:space="0" w:color="auto"/>
                        <w:left w:val="none" w:sz="0" w:space="0" w:color="auto"/>
                        <w:bottom w:val="none" w:sz="0" w:space="0" w:color="auto"/>
                        <w:right w:val="none" w:sz="0" w:space="0" w:color="auto"/>
                      </w:divBdr>
                      <w:divsChild>
                        <w:div w:id="22144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102005">
          <w:marLeft w:val="0"/>
          <w:marRight w:val="0"/>
          <w:marTop w:val="0"/>
          <w:marBottom w:val="0"/>
          <w:divBdr>
            <w:top w:val="none" w:sz="0" w:space="0" w:color="auto"/>
            <w:left w:val="none" w:sz="0" w:space="0" w:color="auto"/>
            <w:bottom w:val="none" w:sz="0" w:space="0" w:color="auto"/>
            <w:right w:val="none" w:sz="0" w:space="0" w:color="auto"/>
          </w:divBdr>
          <w:divsChild>
            <w:div w:id="216859283">
              <w:marLeft w:val="0"/>
              <w:marRight w:val="0"/>
              <w:marTop w:val="0"/>
              <w:marBottom w:val="0"/>
              <w:divBdr>
                <w:top w:val="none" w:sz="0" w:space="0" w:color="auto"/>
                <w:left w:val="none" w:sz="0" w:space="0" w:color="auto"/>
                <w:bottom w:val="none" w:sz="0" w:space="0" w:color="auto"/>
                <w:right w:val="none" w:sz="0" w:space="0" w:color="auto"/>
              </w:divBdr>
              <w:divsChild>
                <w:div w:id="189805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12503">
          <w:marLeft w:val="0"/>
          <w:marRight w:val="0"/>
          <w:marTop w:val="0"/>
          <w:marBottom w:val="0"/>
          <w:divBdr>
            <w:top w:val="none" w:sz="0" w:space="0" w:color="auto"/>
            <w:left w:val="none" w:sz="0" w:space="0" w:color="auto"/>
            <w:bottom w:val="none" w:sz="0" w:space="0" w:color="auto"/>
            <w:right w:val="none" w:sz="0" w:space="0" w:color="auto"/>
          </w:divBdr>
          <w:divsChild>
            <w:div w:id="831456309">
              <w:marLeft w:val="0"/>
              <w:marRight w:val="0"/>
              <w:marTop w:val="0"/>
              <w:marBottom w:val="0"/>
              <w:divBdr>
                <w:top w:val="none" w:sz="0" w:space="0" w:color="auto"/>
                <w:left w:val="none" w:sz="0" w:space="0" w:color="auto"/>
                <w:bottom w:val="none" w:sz="0" w:space="0" w:color="auto"/>
                <w:right w:val="none" w:sz="0" w:space="0" w:color="auto"/>
              </w:divBdr>
              <w:divsChild>
                <w:div w:id="1565723710">
                  <w:marLeft w:val="0"/>
                  <w:marRight w:val="0"/>
                  <w:marTop w:val="0"/>
                  <w:marBottom w:val="0"/>
                  <w:divBdr>
                    <w:top w:val="none" w:sz="0" w:space="0" w:color="auto"/>
                    <w:left w:val="none" w:sz="0" w:space="0" w:color="auto"/>
                    <w:bottom w:val="none" w:sz="0" w:space="0" w:color="auto"/>
                    <w:right w:val="none" w:sz="0" w:space="0" w:color="auto"/>
                  </w:divBdr>
                  <w:divsChild>
                    <w:div w:id="440497599">
                      <w:marLeft w:val="0"/>
                      <w:marRight w:val="0"/>
                      <w:marTop w:val="0"/>
                      <w:marBottom w:val="0"/>
                      <w:divBdr>
                        <w:top w:val="none" w:sz="0" w:space="0" w:color="auto"/>
                        <w:left w:val="none" w:sz="0" w:space="0" w:color="auto"/>
                        <w:bottom w:val="none" w:sz="0" w:space="0" w:color="auto"/>
                        <w:right w:val="none" w:sz="0" w:space="0" w:color="auto"/>
                      </w:divBdr>
                      <w:divsChild>
                        <w:div w:id="70957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935016">
          <w:marLeft w:val="0"/>
          <w:marRight w:val="0"/>
          <w:marTop w:val="0"/>
          <w:marBottom w:val="0"/>
          <w:divBdr>
            <w:top w:val="none" w:sz="0" w:space="0" w:color="auto"/>
            <w:left w:val="none" w:sz="0" w:space="0" w:color="auto"/>
            <w:bottom w:val="none" w:sz="0" w:space="0" w:color="auto"/>
            <w:right w:val="none" w:sz="0" w:space="0" w:color="auto"/>
          </w:divBdr>
          <w:divsChild>
            <w:div w:id="174803806">
              <w:marLeft w:val="0"/>
              <w:marRight w:val="0"/>
              <w:marTop w:val="0"/>
              <w:marBottom w:val="0"/>
              <w:divBdr>
                <w:top w:val="none" w:sz="0" w:space="0" w:color="auto"/>
                <w:left w:val="none" w:sz="0" w:space="0" w:color="auto"/>
                <w:bottom w:val="none" w:sz="0" w:space="0" w:color="auto"/>
                <w:right w:val="none" w:sz="0" w:space="0" w:color="auto"/>
              </w:divBdr>
              <w:divsChild>
                <w:div w:id="36379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890502">
      <w:bodyDiv w:val="1"/>
      <w:marLeft w:val="0"/>
      <w:marRight w:val="0"/>
      <w:marTop w:val="0"/>
      <w:marBottom w:val="0"/>
      <w:divBdr>
        <w:top w:val="none" w:sz="0" w:space="0" w:color="auto"/>
        <w:left w:val="none" w:sz="0" w:space="0" w:color="auto"/>
        <w:bottom w:val="none" w:sz="0" w:space="0" w:color="auto"/>
        <w:right w:val="none" w:sz="0" w:space="0" w:color="auto"/>
      </w:divBdr>
    </w:div>
    <w:div w:id="1767843632">
      <w:bodyDiv w:val="1"/>
      <w:marLeft w:val="0"/>
      <w:marRight w:val="0"/>
      <w:marTop w:val="0"/>
      <w:marBottom w:val="0"/>
      <w:divBdr>
        <w:top w:val="none" w:sz="0" w:space="0" w:color="auto"/>
        <w:left w:val="none" w:sz="0" w:space="0" w:color="auto"/>
        <w:bottom w:val="none" w:sz="0" w:space="0" w:color="auto"/>
        <w:right w:val="none" w:sz="0" w:space="0" w:color="auto"/>
      </w:divBdr>
    </w:div>
    <w:div w:id="1788575075">
      <w:bodyDiv w:val="1"/>
      <w:marLeft w:val="0"/>
      <w:marRight w:val="0"/>
      <w:marTop w:val="0"/>
      <w:marBottom w:val="0"/>
      <w:divBdr>
        <w:top w:val="none" w:sz="0" w:space="0" w:color="auto"/>
        <w:left w:val="none" w:sz="0" w:space="0" w:color="auto"/>
        <w:bottom w:val="none" w:sz="0" w:space="0" w:color="auto"/>
        <w:right w:val="none" w:sz="0" w:space="0" w:color="auto"/>
      </w:divBdr>
    </w:div>
    <w:div w:id="1824813816">
      <w:bodyDiv w:val="1"/>
      <w:marLeft w:val="0"/>
      <w:marRight w:val="0"/>
      <w:marTop w:val="0"/>
      <w:marBottom w:val="0"/>
      <w:divBdr>
        <w:top w:val="none" w:sz="0" w:space="0" w:color="auto"/>
        <w:left w:val="none" w:sz="0" w:space="0" w:color="auto"/>
        <w:bottom w:val="none" w:sz="0" w:space="0" w:color="auto"/>
        <w:right w:val="none" w:sz="0" w:space="0" w:color="auto"/>
      </w:divBdr>
    </w:div>
    <w:div w:id="2097245794">
      <w:bodyDiv w:val="1"/>
      <w:marLeft w:val="0"/>
      <w:marRight w:val="0"/>
      <w:marTop w:val="0"/>
      <w:marBottom w:val="0"/>
      <w:divBdr>
        <w:top w:val="none" w:sz="0" w:space="0" w:color="auto"/>
        <w:left w:val="none" w:sz="0" w:space="0" w:color="auto"/>
        <w:bottom w:val="none" w:sz="0" w:space="0" w:color="auto"/>
        <w:right w:val="none" w:sz="0" w:space="0" w:color="auto"/>
      </w:divBdr>
      <w:divsChild>
        <w:div w:id="244460782">
          <w:marLeft w:val="0"/>
          <w:marRight w:val="0"/>
          <w:marTop w:val="0"/>
          <w:marBottom w:val="0"/>
          <w:divBdr>
            <w:top w:val="none" w:sz="0" w:space="0" w:color="auto"/>
            <w:left w:val="none" w:sz="0" w:space="0" w:color="auto"/>
            <w:bottom w:val="none" w:sz="0" w:space="0" w:color="auto"/>
            <w:right w:val="none" w:sz="0" w:space="0" w:color="auto"/>
          </w:divBdr>
        </w:div>
        <w:div w:id="605960514">
          <w:marLeft w:val="0"/>
          <w:marRight w:val="0"/>
          <w:marTop w:val="0"/>
          <w:marBottom w:val="0"/>
          <w:divBdr>
            <w:top w:val="none" w:sz="0" w:space="0" w:color="auto"/>
            <w:left w:val="none" w:sz="0" w:space="0" w:color="auto"/>
            <w:bottom w:val="none" w:sz="0" w:space="0" w:color="auto"/>
            <w:right w:val="none" w:sz="0" w:space="0" w:color="auto"/>
          </w:divBdr>
          <w:divsChild>
            <w:div w:id="1675065800">
              <w:marLeft w:val="0"/>
              <w:marRight w:val="0"/>
              <w:marTop w:val="0"/>
              <w:marBottom w:val="0"/>
              <w:divBdr>
                <w:top w:val="none" w:sz="0" w:space="0" w:color="auto"/>
                <w:left w:val="none" w:sz="0" w:space="0" w:color="auto"/>
                <w:bottom w:val="none" w:sz="0" w:space="0" w:color="auto"/>
                <w:right w:val="none" w:sz="0" w:space="0" w:color="auto"/>
              </w:divBdr>
              <w:divsChild>
                <w:div w:id="1745491498">
                  <w:marLeft w:val="0"/>
                  <w:marRight w:val="0"/>
                  <w:marTop w:val="0"/>
                  <w:marBottom w:val="0"/>
                  <w:divBdr>
                    <w:top w:val="none" w:sz="0" w:space="0" w:color="auto"/>
                    <w:left w:val="none" w:sz="0" w:space="0" w:color="auto"/>
                    <w:bottom w:val="none" w:sz="0" w:space="0" w:color="auto"/>
                    <w:right w:val="none" w:sz="0" w:space="0" w:color="auto"/>
                  </w:divBdr>
                  <w:divsChild>
                    <w:div w:id="542405596">
                      <w:marLeft w:val="0"/>
                      <w:marRight w:val="0"/>
                      <w:marTop w:val="0"/>
                      <w:marBottom w:val="0"/>
                      <w:divBdr>
                        <w:top w:val="none" w:sz="0" w:space="0" w:color="auto"/>
                        <w:left w:val="none" w:sz="0" w:space="0" w:color="auto"/>
                        <w:bottom w:val="none" w:sz="0" w:space="0" w:color="auto"/>
                        <w:right w:val="none" w:sz="0" w:space="0" w:color="auto"/>
                      </w:divBdr>
                      <w:divsChild>
                        <w:div w:id="111917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74449">
          <w:marLeft w:val="0"/>
          <w:marRight w:val="0"/>
          <w:marTop w:val="0"/>
          <w:marBottom w:val="0"/>
          <w:divBdr>
            <w:top w:val="none" w:sz="0" w:space="0" w:color="auto"/>
            <w:left w:val="none" w:sz="0" w:space="0" w:color="auto"/>
            <w:bottom w:val="none" w:sz="0" w:space="0" w:color="auto"/>
            <w:right w:val="none" w:sz="0" w:space="0" w:color="auto"/>
          </w:divBdr>
          <w:divsChild>
            <w:div w:id="378823494">
              <w:marLeft w:val="0"/>
              <w:marRight w:val="0"/>
              <w:marTop w:val="0"/>
              <w:marBottom w:val="0"/>
              <w:divBdr>
                <w:top w:val="none" w:sz="0" w:space="0" w:color="auto"/>
                <w:left w:val="none" w:sz="0" w:space="0" w:color="auto"/>
                <w:bottom w:val="none" w:sz="0" w:space="0" w:color="auto"/>
                <w:right w:val="none" w:sz="0" w:space="0" w:color="auto"/>
              </w:divBdr>
              <w:divsChild>
                <w:div w:id="6604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318611">
          <w:marLeft w:val="0"/>
          <w:marRight w:val="0"/>
          <w:marTop w:val="0"/>
          <w:marBottom w:val="0"/>
          <w:divBdr>
            <w:top w:val="none" w:sz="0" w:space="0" w:color="auto"/>
            <w:left w:val="none" w:sz="0" w:space="0" w:color="auto"/>
            <w:bottom w:val="none" w:sz="0" w:space="0" w:color="auto"/>
            <w:right w:val="none" w:sz="0" w:space="0" w:color="auto"/>
          </w:divBdr>
          <w:divsChild>
            <w:div w:id="1384980274">
              <w:marLeft w:val="0"/>
              <w:marRight w:val="0"/>
              <w:marTop w:val="0"/>
              <w:marBottom w:val="0"/>
              <w:divBdr>
                <w:top w:val="none" w:sz="0" w:space="0" w:color="auto"/>
                <w:left w:val="none" w:sz="0" w:space="0" w:color="auto"/>
                <w:bottom w:val="none" w:sz="0" w:space="0" w:color="auto"/>
                <w:right w:val="none" w:sz="0" w:space="0" w:color="auto"/>
              </w:divBdr>
              <w:divsChild>
                <w:div w:id="235288382">
                  <w:marLeft w:val="0"/>
                  <w:marRight w:val="0"/>
                  <w:marTop w:val="0"/>
                  <w:marBottom w:val="0"/>
                  <w:divBdr>
                    <w:top w:val="none" w:sz="0" w:space="0" w:color="auto"/>
                    <w:left w:val="none" w:sz="0" w:space="0" w:color="auto"/>
                    <w:bottom w:val="none" w:sz="0" w:space="0" w:color="auto"/>
                    <w:right w:val="none" w:sz="0" w:space="0" w:color="auto"/>
                  </w:divBdr>
                  <w:divsChild>
                    <w:div w:id="813837375">
                      <w:marLeft w:val="0"/>
                      <w:marRight w:val="0"/>
                      <w:marTop w:val="0"/>
                      <w:marBottom w:val="0"/>
                      <w:divBdr>
                        <w:top w:val="none" w:sz="0" w:space="0" w:color="auto"/>
                        <w:left w:val="none" w:sz="0" w:space="0" w:color="auto"/>
                        <w:bottom w:val="none" w:sz="0" w:space="0" w:color="auto"/>
                        <w:right w:val="none" w:sz="0" w:space="0" w:color="auto"/>
                      </w:divBdr>
                      <w:divsChild>
                        <w:div w:id="190310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384842">
          <w:marLeft w:val="0"/>
          <w:marRight w:val="0"/>
          <w:marTop w:val="0"/>
          <w:marBottom w:val="0"/>
          <w:divBdr>
            <w:top w:val="none" w:sz="0" w:space="0" w:color="auto"/>
            <w:left w:val="none" w:sz="0" w:space="0" w:color="auto"/>
            <w:bottom w:val="none" w:sz="0" w:space="0" w:color="auto"/>
            <w:right w:val="none" w:sz="0" w:space="0" w:color="auto"/>
          </w:divBdr>
          <w:divsChild>
            <w:div w:id="618143655">
              <w:marLeft w:val="0"/>
              <w:marRight w:val="0"/>
              <w:marTop w:val="0"/>
              <w:marBottom w:val="0"/>
              <w:divBdr>
                <w:top w:val="none" w:sz="0" w:space="0" w:color="auto"/>
                <w:left w:val="none" w:sz="0" w:space="0" w:color="auto"/>
                <w:bottom w:val="none" w:sz="0" w:space="0" w:color="auto"/>
                <w:right w:val="none" w:sz="0" w:space="0" w:color="auto"/>
              </w:divBdr>
              <w:divsChild>
                <w:div w:id="54082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185611">
          <w:marLeft w:val="0"/>
          <w:marRight w:val="0"/>
          <w:marTop w:val="0"/>
          <w:marBottom w:val="0"/>
          <w:divBdr>
            <w:top w:val="none" w:sz="0" w:space="0" w:color="auto"/>
            <w:left w:val="none" w:sz="0" w:space="0" w:color="auto"/>
            <w:bottom w:val="none" w:sz="0" w:space="0" w:color="auto"/>
            <w:right w:val="none" w:sz="0" w:space="0" w:color="auto"/>
          </w:divBdr>
          <w:divsChild>
            <w:div w:id="1166477532">
              <w:marLeft w:val="0"/>
              <w:marRight w:val="0"/>
              <w:marTop w:val="0"/>
              <w:marBottom w:val="0"/>
              <w:divBdr>
                <w:top w:val="none" w:sz="0" w:space="0" w:color="auto"/>
                <w:left w:val="none" w:sz="0" w:space="0" w:color="auto"/>
                <w:bottom w:val="none" w:sz="0" w:space="0" w:color="auto"/>
                <w:right w:val="none" w:sz="0" w:space="0" w:color="auto"/>
              </w:divBdr>
              <w:divsChild>
                <w:div w:id="1397631741">
                  <w:marLeft w:val="0"/>
                  <w:marRight w:val="0"/>
                  <w:marTop w:val="0"/>
                  <w:marBottom w:val="0"/>
                  <w:divBdr>
                    <w:top w:val="none" w:sz="0" w:space="0" w:color="auto"/>
                    <w:left w:val="none" w:sz="0" w:space="0" w:color="auto"/>
                    <w:bottom w:val="none" w:sz="0" w:space="0" w:color="auto"/>
                    <w:right w:val="none" w:sz="0" w:space="0" w:color="auto"/>
                  </w:divBdr>
                  <w:divsChild>
                    <w:div w:id="120274163">
                      <w:marLeft w:val="0"/>
                      <w:marRight w:val="0"/>
                      <w:marTop w:val="0"/>
                      <w:marBottom w:val="0"/>
                      <w:divBdr>
                        <w:top w:val="none" w:sz="0" w:space="0" w:color="auto"/>
                        <w:left w:val="none" w:sz="0" w:space="0" w:color="auto"/>
                        <w:bottom w:val="none" w:sz="0" w:space="0" w:color="auto"/>
                        <w:right w:val="none" w:sz="0" w:space="0" w:color="auto"/>
                      </w:divBdr>
                      <w:divsChild>
                        <w:div w:id="65896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064177">
          <w:marLeft w:val="0"/>
          <w:marRight w:val="0"/>
          <w:marTop w:val="0"/>
          <w:marBottom w:val="0"/>
          <w:divBdr>
            <w:top w:val="none" w:sz="0" w:space="0" w:color="auto"/>
            <w:left w:val="none" w:sz="0" w:space="0" w:color="auto"/>
            <w:bottom w:val="none" w:sz="0" w:space="0" w:color="auto"/>
            <w:right w:val="none" w:sz="0" w:space="0" w:color="auto"/>
          </w:divBdr>
          <w:divsChild>
            <w:div w:id="1539127647">
              <w:marLeft w:val="0"/>
              <w:marRight w:val="0"/>
              <w:marTop w:val="0"/>
              <w:marBottom w:val="0"/>
              <w:divBdr>
                <w:top w:val="none" w:sz="0" w:space="0" w:color="auto"/>
                <w:left w:val="none" w:sz="0" w:space="0" w:color="auto"/>
                <w:bottom w:val="none" w:sz="0" w:space="0" w:color="auto"/>
                <w:right w:val="none" w:sz="0" w:space="0" w:color="auto"/>
              </w:divBdr>
              <w:divsChild>
                <w:div w:id="157689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02188">
          <w:marLeft w:val="0"/>
          <w:marRight w:val="0"/>
          <w:marTop w:val="0"/>
          <w:marBottom w:val="0"/>
          <w:divBdr>
            <w:top w:val="none" w:sz="0" w:space="0" w:color="auto"/>
            <w:left w:val="none" w:sz="0" w:space="0" w:color="auto"/>
            <w:bottom w:val="none" w:sz="0" w:space="0" w:color="auto"/>
            <w:right w:val="none" w:sz="0" w:space="0" w:color="auto"/>
          </w:divBdr>
          <w:divsChild>
            <w:div w:id="186796862">
              <w:marLeft w:val="0"/>
              <w:marRight w:val="0"/>
              <w:marTop w:val="0"/>
              <w:marBottom w:val="0"/>
              <w:divBdr>
                <w:top w:val="none" w:sz="0" w:space="0" w:color="auto"/>
                <w:left w:val="none" w:sz="0" w:space="0" w:color="auto"/>
                <w:bottom w:val="none" w:sz="0" w:space="0" w:color="auto"/>
                <w:right w:val="none" w:sz="0" w:space="0" w:color="auto"/>
              </w:divBdr>
              <w:divsChild>
                <w:div w:id="1972520181">
                  <w:marLeft w:val="0"/>
                  <w:marRight w:val="0"/>
                  <w:marTop w:val="0"/>
                  <w:marBottom w:val="0"/>
                  <w:divBdr>
                    <w:top w:val="none" w:sz="0" w:space="0" w:color="auto"/>
                    <w:left w:val="none" w:sz="0" w:space="0" w:color="auto"/>
                    <w:bottom w:val="none" w:sz="0" w:space="0" w:color="auto"/>
                    <w:right w:val="none" w:sz="0" w:space="0" w:color="auto"/>
                  </w:divBdr>
                  <w:divsChild>
                    <w:div w:id="1979725337">
                      <w:marLeft w:val="0"/>
                      <w:marRight w:val="0"/>
                      <w:marTop w:val="0"/>
                      <w:marBottom w:val="0"/>
                      <w:divBdr>
                        <w:top w:val="none" w:sz="0" w:space="0" w:color="auto"/>
                        <w:left w:val="none" w:sz="0" w:space="0" w:color="auto"/>
                        <w:bottom w:val="none" w:sz="0" w:space="0" w:color="auto"/>
                        <w:right w:val="none" w:sz="0" w:space="0" w:color="auto"/>
                      </w:divBdr>
                      <w:divsChild>
                        <w:div w:id="101823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058507">
          <w:marLeft w:val="0"/>
          <w:marRight w:val="0"/>
          <w:marTop w:val="0"/>
          <w:marBottom w:val="0"/>
          <w:divBdr>
            <w:top w:val="none" w:sz="0" w:space="0" w:color="auto"/>
            <w:left w:val="none" w:sz="0" w:space="0" w:color="auto"/>
            <w:bottom w:val="none" w:sz="0" w:space="0" w:color="auto"/>
            <w:right w:val="none" w:sz="0" w:space="0" w:color="auto"/>
          </w:divBdr>
          <w:divsChild>
            <w:div w:id="813371128">
              <w:marLeft w:val="0"/>
              <w:marRight w:val="0"/>
              <w:marTop w:val="0"/>
              <w:marBottom w:val="0"/>
              <w:divBdr>
                <w:top w:val="none" w:sz="0" w:space="0" w:color="auto"/>
                <w:left w:val="none" w:sz="0" w:space="0" w:color="auto"/>
                <w:bottom w:val="none" w:sz="0" w:space="0" w:color="auto"/>
                <w:right w:val="none" w:sz="0" w:space="0" w:color="auto"/>
              </w:divBdr>
              <w:divsChild>
                <w:div w:id="44893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0950726/" TargetMode="External"/><Relationship Id="rId13" Type="http://schemas.openxmlformats.org/officeDocument/2006/relationships/hyperlink" Target="https://doi.org/10.1002/wps.20365" TargetMode="External"/><Relationship Id="rId18" Type="http://schemas.openxmlformats.org/officeDocument/2006/relationships/hyperlink" Target="https://doi.org/10.1080/00207411.2018.1434674" TargetMode="External"/><Relationship Id="rId26" Type="http://schemas.openxmlformats.org/officeDocument/2006/relationships/hyperlink" Target="https://pubmed.ncbi.nlm.nih.gov/24839806/" TargetMode="External"/><Relationship Id="rId3" Type="http://schemas.openxmlformats.org/officeDocument/2006/relationships/settings" Target="settings.xml"/><Relationship Id="rId21" Type="http://schemas.openxmlformats.org/officeDocument/2006/relationships/hyperlink" Target="https://doi.org/10.1016/j.schres.2022.01.012" TargetMode="External"/><Relationship Id="rId7" Type="http://schemas.openxmlformats.org/officeDocument/2006/relationships/image" Target="media/image1.jpeg"/><Relationship Id="rId12" Type="http://schemas.openxmlformats.org/officeDocument/2006/relationships/hyperlink" Target="https://pubmed.ncbi.nlm.nih.gov/29274111/" TargetMode="External"/><Relationship Id="rId17" Type="http://schemas.openxmlformats.org/officeDocument/2006/relationships/hyperlink" Target="https://www.nice.org.uk/guidance/cg178" TargetMode="External"/><Relationship Id="rId25" Type="http://schemas.openxmlformats.org/officeDocument/2006/relationships/hyperlink" Target="https://doi.org/10.1192/bjp.bp.115.167882" TargetMode="External"/><Relationship Id="rId2" Type="http://schemas.openxmlformats.org/officeDocument/2006/relationships/styles" Target="styles.xml"/><Relationship Id="rId16" Type="http://schemas.openxmlformats.org/officeDocument/2006/relationships/hyperlink" Target="https://www.england.nhs.uk/publication/mental-health-implementation-plan-2019-20-to-2023-24/" TargetMode="External"/><Relationship Id="rId20" Type="http://schemas.openxmlformats.org/officeDocument/2006/relationships/hyperlink" Target="https://www.cambridge.org/core/journals/the-british-journal-of-psychiatry/article/determining-unmet-need-in-mental-health-care-the-predictive-validity-of-the-icelandic-mental-health-inventory/6AC3C1A4A9E9C3D91E0C2E7F844B9F2A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thnicity-facts-figures.service.gov.uk/health/mental-health/adults-experiencing-a-psychiatric-disorder/latest/" TargetMode="External"/><Relationship Id="rId24" Type="http://schemas.openxmlformats.org/officeDocument/2006/relationships/hyperlink" Target="https://doi.org/10.1016/j.psychres.2024.120129"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ongtermplan.nhs.uk/" TargetMode="External"/><Relationship Id="rId23" Type="http://schemas.openxmlformats.org/officeDocument/2006/relationships/hyperlink" Target="https://doi.org/10.1016/j.schres.2019.10.003" TargetMode="External"/><Relationship Id="rId28" Type="http://schemas.openxmlformats.org/officeDocument/2006/relationships/hyperlink" Target="https://doi.org/10.1111/pcn.13021" TargetMode="External"/><Relationship Id="rId10" Type="http://schemas.openxmlformats.org/officeDocument/2006/relationships/hyperlink" Target="https://www.england.nhs.uk/wp-content/uploads/2018/03/community-mental-health-framework-for-adults-and-older-adults.pdf" TargetMode="External"/><Relationship Id="rId19" Type="http://schemas.openxmlformats.org/officeDocument/2006/relationships/hyperlink" Target="https://doi.org/10.1016/j.neulet.2023.137165"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371/journal.pone.0298803" TargetMode="External"/><Relationship Id="rId14" Type="http://schemas.openxmlformats.org/officeDocument/2006/relationships/hyperlink" Target="https://pubmed.ncbi.nlm.nih.gov/24839806/" TargetMode="External"/><Relationship Id="rId22" Type="http://schemas.openxmlformats.org/officeDocument/2006/relationships/hyperlink" Target="https://doi.org/10.1038/s41398-024-02894-2" TargetMode="External"/><Relationship Id="rId27" Type="http://schemas.openxmlformats.org/officeDocument/2006/relationships/hyperlink" Target="https://icd.who.int/"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9</Pages>
  <Words>3809</Words>
  <Characters>21712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Venisha Henry (2316686)</cp:lastModifiedBy>
  <cp:revision>158</cp:revision>
  <dcterms:created xsi:type="dcterms:W3CDTF">2025-12-14T11:52:00Z</dcterms:created>
  <dcterms:modified xsi:type="dcterms:W3CDTF">2025-12-18T20:55:00Z</dcterms:modified>
</cp:coreProperties>
</file>