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F3467" w14:textId="3BF0B3B0" w:rsidR="004D62F9" w:rsidRDefault="00173EE9"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C2A402E" wp14:editId="2EEE646A">
            <wp:simplePos x="0" y="0"/>
            <wp:positionH relativeFrom="column">
              <wp:posOffset>-336550</wp:posOffset>
            </wp:positionH>
            <wp:positionV relativeFrom="paragraph">
              <wp:posOffset>0</wp:posOffset>
            </wp:positionV>
            <wp:extent cx="2952750" cy="1181100"/>
            <wp:effectExtent l="0" t="0" r="0" b="0"/>
            <wp:wrapSquare wrapText="bothSides"/>
            <wp:docPr id="1482471357" name="Picture 1482471357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551C24" w14:textId="77777777" w:rsidR="004D62F9" w:rsidRDefault="004D62F9"/>
    <w:p w14:paraId="60CFF70E" w14:textId="77777777" w:rsidR="004D62F9" w:rsidRPr="00173EE9" w:rsidRDefault="004D62F9">
      <w:pPr>
        <w:rPr>
          <w:rFonts w:ascii="Arial" w:hAnsi="Arial" w:cs="Arial"/>
        </w:rPr>
      </w:pPr>
    </w:p>
    <w:p w14:paraId="7C6B7175" w14:textId="77777777" w:rsidR="000647D4" w:rsidRDefault="000647D4" w:rsidP="00CF05E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040869A" w14:textId="77777777" w:rsidR="000647D4" w:rsidRDefault="000647D4" w:rsidP="00CF05E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14:paraId="6DA3CCAE" w14:textId="77777777" w:rsidR="000647D4" w:rsidRDefault="000647D4" w:rsidP="00CF05E6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14:paraId="601A8ADD" w14:textId="77777777" w:rsidR="007D2850" w:rsidRDefault="007D2850" w:rsidP="002D4DE9">
      <w:pPr>
        <w:ind w:firstLine="72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EAC60FB" w14:textId="7F8240AA" w:rsidR="00CF05E6" w:rsidRPr="007D5F9F" w:rsidRDefault="00CF05E6" w:rsidP="002D4DE9">
      <w:pPr>
        <w:ind w:firstLine="720"/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Course:</w:t>
      </w:r>
      <w:r w:rsidRPr="007D5F9F">
        <w:rPr>
          <w:rFonts w:ascii="Arial" w:hAnsi="Arial" w:cs="Arial"/>
          <w:sz w:val="32"/>
          <w:szCs w:val="32"/>
        </w:rPr>
        <w:t xml:space="preserve"> BSc (Hons) Health Social Care</w:t>
      </w:r>
    </w:p>
    <w:p w14:paraId="2611548D" w14:textId="3D9A09F6" w:rsidR="00CF05E6" w:rsidRPr="007D5F9F" w:rsidRDefault="00CF05E6" w:rsidP="002D4DE9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Module: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F766E4">
        <w:rPr>
          <w:rFonts w:ascii="Arial" w:hAnsi="Arial" w:cs="Arial"/>
          <w:sz w:val="32"/>
          <w:szCs w:val="32"/>
        </w:rPr>
        <w:t>Empowerin</w:t>
      </w:r>
      <w:r w:rsidR="00B83213">
        <w:rPr>
          <w:rFonts w:ascii="Arial" w:hAnsi="Arial" w:cs="Arial"/>
          <w:sz w:val="32"/>
          <w:szCs w:val="32"/>
        </w:rPr>
        <w:t xml:space="preserve">g the Older Person </w:t>
      </w:r>
      <w:r w:rsidRPr="007D5F9F">
        <w:rPr>
          <w:rFonts w:ascii="Arial" w:hAnsi="Arial" w:cs="Arial"/>
          <w:sz w:val="32"/>
          <w:szCs w:val="32"/>
        </w:rPr>
        <w:t>(BMHP602</w:t>
      </w:r>
      <w:r w:rsidR="00345BB7">
        <w:rPr>
          <w:rFonts w:ascii="Arial" w:hAnsi="Arial" w:cs="Arial"/>
          <w:sz w:val="32"/>
          <w:szCs w:val="32"/>
        </w:rPr>
        <w:t>7</w:t>
      </w:r>
      <w:r w:rsidRPr="007D5F9F">
        <w:rPr>
          <w:rFonts w:ascii="Arial" w:hAnsi="Arial" w:cs="Arial"/>
          <w:sz w:val="32"/>
          <w:szCs w:val="32"/>
        </w:rPr>
        <w:t xml:space="preserve"> LON)</w:t>
      </w:r>
    </w:p>
    <w:p w14:paraId="01E57720" w14:textId="14F27B08" w:rsidR="00CF05E6" w:rsidRPr="007D5F9F" w:rsidRDefault="00CF05E6" w:rsidP="002D4DE9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Component 1:</w:t>
      </w:r>
      <w:r w:rsidRPr="007D5F9F">
        <w:rPr>
          <w:rFonts w:ascii="Arial" w:hAnsi="Arial" w:cs="Arial"/>
          <w:sz w:val="32"/>
          <w:szCs w:val="32"/>
        </w:rPr>
        <w:t xml:space="preserve"> Elemen</w:t>
      </w:r>
      <w:r w:rsidR="0018240B">
        <w:rPr>
          <w:rFonts w:ascii="Arial" w:hAnsi="Arial" w:cs="Arial"/>
          <w:sz w:val="32"/>
          <w:szCs w:val="32"/>
        </w:rPr>
        <w:t>t 2</w:t>
      </w:r>
      <w:r w:rsidR="00723628">
        <w:rPr>
          <w:rFonts w:ascii="Arial" w:hAnsi="Arial" w:cs="Arial"/>
          <w:sz w:val="32"/>
          <w:szCs w:val="32"/>
        </w:rPr>
        <w:t xml:space="preserve"> Debate</w:t>
      </w:r>
      <w:r w:rsidR="00345BB7">
        <w:rPr>
          <w:rFonts w:ascii="Arial" w:hAnsi="Arial" w:cs="Arial"/>
          <w:sz w:val="32"/>
          <w:szCs w:val="32"/>
        </w:rPr>
        <w:t>/Discussion</w:t>
      </w:r>
    </w:p>
    <w:p w14:paraId="5B17A831" w14:textId="23CA031A" w:rsidR="00CF05E6" w:rsidRPr="007D5F9F" w:rsidRDefault="00CF05E6" w:rsidP="002D4DE9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Lecturer name:</w:t>
      </w:r>
      <w:r w:rsidRPr="007D5F9F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Laila Su</w:t>
      </w:r>
      <w:r w:rsidR="00035A54">
        <w:rPr>
          <w:rFonts w:ascii="Arial" w:hAnsi="Arial" w:cs="Arial"/>
          <w:sz w:val="32"/>
          <w:szCs w:val="32"/>
        </w:rPr>
        <w:t>rani</w:t>
      </w:r>
    </w:p>
    <w:p w14:paraId="359C4808" w14:textId="77777777" w:rsidR="00CF05E6" w:rsidRPr="007D5F9F" w:rsidRDefault="00CF05E6" w:rsidP="002D4DE9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Student ID:</w:t>
      </w:r>
      <w:r w:rsidRPr="007D5F9F">
        <w:rPr>
          <w:rFonts w:ascii="Arial" w:hAnsi="Arial" w:cs="Arial"/>
          <w:sz w:val="32"/>
          <w:szCs w:val="32"/>
        </w:rPr>
        <w:t xml:space="preserve"> 2244840</w:t>
      </w:r>
    </w:p>
    <w:p w14:paraId="4784186C" w14:textId="77777777" w:rsidR="00CF05E6" w:rsidRPr="007D5F9F" w:rsidRDefault="00CF05E6" w:rsidP="002D4DE9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Student name:</w:t>
      </w:r>
      <w:r w:rsidRPr="007D5F9F">
        <w:rPr>
          <w:rFonts w:ascii="Arial" w:hAnsi="Arial" w:cs="Arial"/>
          <w:sz w:val="32"/>
          <w:szCs w:val="32"/>
        </w:rPr>
        <w:t xml:space="preserve"> Marianna Florea</w:t>
      </w:r>
    </w:p>
    <w:p w14:paraId="31A9C5F2" w14:textId="76B15C3C" w:rsidR="00CF05E6" w:rsidRDefault="00CF05E6" w:rsidP="002D4DE9">
      <w:pPr>
        <w:jc w:val="center"/>
        <w:rPr>
          <w:rFonts w:ascii="Arial" w:hAnsi="Arial" w:cs="Arial"/>
          <w:sz w:val="32"/>
          <w:szCs w:val="32"/>
        </w:rPr>
      </w:pPr>
      <w:r w:rsidRPr="003038E1">
        <w:rPr>
          <w:rFonts w:ascii="Arial" w:hAnsi="Arial" w:cs="Arial"/>
          <w:b/>
          <w:bCs/>
          <w:sz w:val="32"/>
          <w:szCs w:val="32"/>
        </w:rPr>
        <w:t>Data of submission:</w:t>
      </w:r>
      <w:r w:rsidRPr="007D5F9F">
        <w:rPr>
          <w:rFonts w:ascii="Arial" w:hAnsi="Arial" w:cs="Arial"/>
          <w:sz w:val="32"/>
          <w:szCs w:val="32"/>
        </w:rPr>
        <w:t xml:space="preserve"> </w:t>
      </w:r>
      <w:r w:rsidR="00C31886">
        <w:rPr>
          <w:rFonts w:ascii="Arial" w:hAnsi="Arial" w:cs="Arial"/>
          <w:sz w:val="32"/>
          <w:szCs w:val="32"/>
        </w:rPr>
        <w:t>5</w:t>
      </w:r>
      <w:r w:rsidRPr="007D5F9F">
        <w:rPr>
          <w:rFonts w:ascii="Arial" w:hAnsi="Arial" w:cs="Arial"/>
          <w:sz w:val="32"/>
          <w:szCs w:val="32"/>
          <w:vertAlign w:val="superscript"/>
        </w:rPr>
        <w:t>th</w:t>
      </w:r>
      <w:r w:rsidRPr="007D5F9F">
        <w:rPr>
          <w:rFonts w:ascii="Arial" w:hAnsi="Arial" w:cs="Arial"/>
          <w:sz w:val="32"/>
          <w:szCs w:val="32"/>
        </w:rPr>
        <w:t xml:space="preserve"> of November</w:t>
      </w:r>
    </w:p>
    <w:p w14:paraId="591B9F2B" w14:textId="3BD4AD59" w:rsidR="00CF05E6" w:rsidRDefault="00CF05E6" w:rsidP="0094404F">
      <w:pPr>
        <w:rPr>
          <w:rFonts w:ascii="Arial" w:hAnsi="Arial" w:cs="Arial"/>
          <w:sz w:val="32"/>
          <w:szCs w:val="32"/>
        </w:rPr>
      </w:pPr>
    </w:p>
    <w:p w14:paraId="7613590D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0D89D42D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60AFE8FD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69ABEB7C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5B4579AB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69E89AB1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1A37A6A1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75CD3F42" w14:textId="77777777" w:rsidR="000647D4" w:rsidRDefault="000647D4" w:rsidP="00CF05E6">
      <w:pPr>
        <w:jc w:val="center"/>
        <w:rPr>
          <w:rFonts w:ascii="Arial" w:hAnsi="Arial" w:cs="Arial"/>
          <w:sz w:val="32"/>
          <w:szCs w:val="32"/>
        </w:rPr>
      </w:pPr>
    </w:p>
    <w:p w14:paraId="20B3E2B8" w14:textId="77777777" w:rsidR="000647D4" w:rsidRPr="00EE4AE5" w:rsidRDefault="000647D4" w:rsidP="000647D4">
      <w:pPr>
        <w:spacing w:line="360" w:lineRule="auto"/>
        <w:jc w:val="both"/>
      </w:pPr>
      <w:r w:rsidRPr="00EE4AE5">
        <w:t>I confirm that I have not used any AI tools in the research and creation of this assignment. I confirm that I have not presented any AI-generated materials as my work. I confirm I have copies of my drafts, notes, and other resources I used, which I may be asked to provide as evidence.</w:t>
      </w:r>
    </w:p>
    <w:p w14:paraId="538FD70D" w14:textId="3BC99C2A" w:rsidR="004D62F9" w:rsidRPr="004F297D" w:rsidRDefault="00452DB4" w:rsidP="007C0DA5">
      <w:pPr>
        <w:spacing w:line="360" w:lineRule="auto"/>
        <w:jc w:val="both"/>
        <w:rPr>
          <w:rFonts w:ascii="Arial" w:hAnsi="Arial" w:cs="Arial"/>
          <w:b/>
          <w:bCs/>
        </w:rPr>
      </w:pPr>
      <w:r w:rsidRPr="004F297D">
        <w:rPr>
          <w:rFonts w:ascii="Arial" w:hAnsi="Arial" w:cs="Arial"/>
          <w:b/>
          <w:bCs/>
        </w:rPr>
        <w:lastRenderedPageBreak/>
        <w:t>Refer</w:t>
      </w:r>
      <w:r w:rsidR="007D2850" w:rsidRPr="004F297D">
        <w:rPr>
          <w:rFonts w:ascii="Arial" w:hAnsi="Arial" w:cs="Arial"/>
          <w:b/>
          <w:bCs/>
        </w:rPr>
        <w:t>ences</w:t>
      </w:r>
    </w:p>
    <w:p w14:paraId="42AB012F" w14:textId="79A32959" w:rsidR="008A7FA4" w:rsidRDefault="008A7FA4" w:rsidP="007C0DA5">
      <w:pPr>
        <w:spacing w:line="360" w:lineRule="auto"/>
        <w:jc w:val="both"/>
        <w:rPr>
          <w:rFonts w:ascii="Arial" w:hAnsi="Arial" w:cs="Arial"/>
        </w:rPr>
      </w:pPr>
      <w:r w:rsidRPr="008A7FA4">
        <w:rPr>
          <w:rFonts w:ascii="Arial" w:hAnsi="Arial" w:cs="Arial"/>
        </w:rPr>
        <w:t>Abdelaziz, S. </w:t>
      </w:r>
      <w:r w:rsidRPr="008A7FA4">
        <w:rPr>
          <w:rFonts w:ascii="Arial" w:hAnsi="Arial" w:cs="Arial"/>
          <w:i/>
          <w:iCs/>
        </w:rPr>
        <w:t>et al.</w:t>
      </w:r>
      <w:r w:rsidRPr="008A7FA4">
        <w:rPr>
          <w:rFonts w:ascii="Arial" w:hAnsi="Arial" w:cs="Arial"/>
        </w:rPr>
        <w:t xml:space="preserve"> (2024) ‘What are the unintended patient safety consequences of healthcare technologies? A qualitative study among patients, carers and healthcare </w:t>
      </w:r>
      <w:r w:rsidR="007D3A81">
        <w:rPr>
          <w:rFonts w:ascii="Arial" w:hAnsi="Arial" w:cs="Arial"/>
        </w:rPr>
        <w:t>providers`</w:t>
      </w:r>
      <w:r w:rsidRPr="008A7FA4">
        <w:rPr>
          <w:rFonts w:ascii="Arial" w:hAnsi="Arial" w:cs="Arial"/>
        </w:rPr>
        <w:t>, </w:t>
      </w:r>
      <w:r w:rsidRPr="008A7FA4">
        <w:rPr>
          <w:rFonts w:ascii="Arial" w:hAnsi="Arial" w:cs="Arial"/>
          <w:i/>
          <w:iCs/>
        </w:rPr>
        <w:t xml:space="preserve">BMJ </w:t>
      </w:r>
      <w:r w:rsidR="007D3A81">
        <w:rPr>
          <w:rFonts w:ascii="Arial" w:hAnsi="Arial" w:cs="Arial"/>
          <w:i/>
          <w:iCs/>
        </w:rPr>
        <w:t>Open</w:t>
      </w:r>
      <w:r w:rsidRPr="008A7FA4">
        <w:rPr>
          <w:rFonts w:ascii="Arial" w:hAnsi="Arial" w:cs="Arial"/>
        </w:rPr>
        <w:t xml:space="preserve">, 14(11), p. e089026. Available at: </w:t>
      </w:r>
      <w:hyperlink r:id="rId9" w:history="1">
        <w:r w:rsidRPr="00534259">
          <w:rPr>
            <w:rStyle w:val="Hyperlink"/>
            <w:rFonts w:ascii="Arial" w:hAnsi="Arial" w:cs="Arial"/>
          </w:rPr>
          <w:t>https://doi.org/10.1136/bmjopen-2024-089026</w:t>
        </w:r>
      </w:hyperlink>
    </w:p>
    <w:p w14:paraId="7B50D990" w14:textId="755B17BF" w:rsidR="00F2416E" w:rsidRPr="004F297D" w:rsidRDefault="00F2416E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Brookman, R. (R)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(2023) ‘Technology for dementia care: what would good technology look like and do, from carers’ perspectives?’, </w:t>
      </w:r>
      <w:r w:rsidRPr="004F297D">
        <w:rPr>
          <w:rFonts w:ascii="Arial" w:hAnsi="Arial" w:cs="Arial"/>
          <w:i/>
          <w:iCs/>
        </w:rPr>
        <w:t>BMC Geriatrics</w:t>
      </w:r>
      <w:r w:rsidRPr="004F297D">
        <w:rPr>
          <w:rFonts w:ascii="Arial" w:hAnsi="Arial" w:cs="Arial"/>
        </w:rPr>
        <w:t xml:space="preserve">, 23(1). Available at: </w:t>
      </w:r>
      <w:hyperlink r:id="rId10" w:history="1">
        <w:r w:rsidRPr="004F297D">
          <w:rPr>
            <w:rStyle w:val="Hyperlink"/>
            <w:rFonts w:ascii="Arial" w:hAnsi="Arial" w:cs="Arial"/>
          </w:rPr>
          <w:t>https://doi.org/10.1186/s12877-023-04530-9</w:t>
        </w:r>
      </w:hyperlink>
    </w:p>
    <w:p w14:paraId="214E0F96" w14:textId="51B3D720" w:rsidR="009C69E2" w:rsidRPr="004F297D" w:rsidRDefault="00D04DD9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Chien, S.-Y., Zaslavsky, O. and Berridge, C. (2024) ‘Technology Usability for People Living With Dementia: Concept Analysis’, </w:t>
      </w:r>
      <w:r w:rsidRPr="004F297D">
        <w:rPr>
          <w:rFonts w:ascii="Arial" w:hAnsi="Arial" w:cs="Arial"/>
          <w:i/>
          <w:iCs/>
        </w:rPr>
        <w:t xml:space="preserve">JMIR </w:t>
      </w:r>
      <w:r w:rsidR="003B4E13" w:rsidRPr="004F297D">
        <w:rPr>
          <w:rFonts w:ascii="Arial" w:hAnsi="Arial" w:cs="Arial"/>
          <w:i/>
          <w:iCs/>
        </w:rPr>
        <w:t>ageing</w:t>
      </w:r>
      <w:r w:rsidRPr="004F297D">
        <w:rPr>
          <w:rFonts w:ascii="Arial" w:hAnsi="Arial" w:cs="Arial"/>
        </w:rPr>
        <w:t xml:space="preserve">, 7, p. e51987. Available at: </w:t>
      </w:r>
      <w:hyperlink r:id="rId11" w:history="1">
        <w:r w:rsidR="006E0694" w:rsidRPr="004F297D">
          <w:rPr>
            <w:rStyle w:val="Hyperlink"/>
            <w:rFonts w:ascii="Arial" w:hAnsi="Arial" w:cs="Arial"/>
          </w:rPr>
          <w:t>https://doi.org/10.2196/51987</w:t>
        </w:r>
      </w:hyperlink>
    </w:p>
    <w:p w14:paraId="1CEBE767" w14:textId="1B020FE5" w:rsidR="00D533C6" w:rsidRPr="004F297D" w:rsidRDefault="004D062F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Cornelius, G.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 xml:space="preserve"> (2025) ‘Wearable Technology, Smart Home Systems, and Mobile Apps for the </w:t>
      </w:r>
      <w:r w:rsidR="007A7E6F" w:rsidRPr="004F297D">
        <w:rPr>
          <w:rFonts w:ascii="Arial" w:hAnsi="Arial" w:cs="Arial"/>
        </w:rPr>
        <w:t>Self-Management</w:t>
      </w:r>
      <w:r w:rsidRPr="004F297D">
        <w:rPr>
          <w:rFonts w:ascii="Arial" w:hAnsi="Arial" w:cs="Arial"/>
        </w:rPr>
        <w:t xml:space="preserve"> of Patient Outcomes in Dementia Care: Systematic Review’, </w:t>
      </w:r>
      <w:r w:rsidRPr="004F297D">
        <w:rPr>
          <w:rFonts w:ascii="Arial" w:hAnsi="Arial" w:cs="Arial"/>
          <w:i/>
          <w:iCs/>
        </w:rPr>
        <w:t xml:space="preserve">Journal of </w:t>
      </w:r>
      <w:r w:rsidR="00A76ACD" w:rsidRPr="004F297D">
        <w:rPr>
          <w:rFonts w:ascii="Arial" w:hAnsi="Arial" w:cs="Arial"/>
          <w:i/>
          <w:iCs/>
        </w:rPr>
        <w:t>M</w:t>
      </w:r>
      <w:r w:rsidRPr="004F297D">
        <w:rPr>
          <w:rFonts w:ascii="Arial" w:hAnsi="Arial" w:cs="Arial"/>
          <w:i/>
          <w:iCs/>
        </w:rPr>
        <w:t xml:space="preserve">edical Internet </w:t>
      </w:r>
      <w:r w:rsidR="00A76ACD" w:rsidRPr="004F297D">
        <w:rPr>
          <w:rFonts w:ascii="Arial" w:hAnsi="Arial" w:cs="Arial"/>
          <w:i/>
          <w:iCs/>
        </w:rPr>
        <w:t>R</w:t>
      </w:r>
      <w:r w:rsidRPr="004F297D">
        <w:rPr>
          <w:rFonts w:ascii="Arial" w:hAnsi="Arial" w:cs="Arial"/>
          <w:i/>
          <w:iCs/>
        </w:rPr>
        <w:t>esearch</w:t>
      </w:r>
      <w:r w:rsidRPr="004F297D">
        <w:rPr>
          <w:rFonts w:ascii="Arial" w:hAnsi="Arial" w:cs="Arial"/>
        </w:rPr>
        <w:t xml:space="preserve">, 27, p. e65385. Available at: </w:t>
      </w:r>
      <w:hyperlink r:id="rId12" w:history="1">
        <w:r w:rsidR="00877248" w:rsidRPr="004F297D">
          <w:rPr>
            <w:rStyle w:val="Hyperlink"/>
            <w:rFonts w:ascii="Arial" w:hAnsi="Arial" w:cs="Arial"/>
          </w:rPr>
          <w:t>https://doi.org/10.2196/65385</w:t>
        </w:r>
      </w:hyperlink>
    </w:p>
    <w:p w14:paraId="6401A492" w14:textId="268D6955" w:rsidR="00C506EA" w:rsidRPr="004F297D" w:rsidRDefault="00C506EA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de Ruiter, H.-P.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 xml:space="preserve"> (2023) ‘The Ethical, Care, and Client-Caregiver Relationship Impacts Resulting </w:t>
      </w:r>
      <w:r w:rsidR="00D20C79" w:rsidRPr="004F297D">
        <w:rPr>
          <w:rFonts w:ascii="Arial" w:hAnsi="Arial" w:cs="Arial"/>
        </w:rPr>
        <w:t>from</w:t>
      </w:r>
      <w:r w:rsidRPr="004F297D">
        <w:rPr>
          <w:rFonts w:ascii="Arial" w:hAnsi="Arial" w:cs="Arial"/>
        </w:rPr>
        <w:t xml:space="preserve"> Introduction of Digital Communication and Surveillance Technologies in the Home Setting: Qualitative Inductive Study’, </w:t>
      </w:r>
      <w:r w:rsidRPr="004F297D">
        <w:rPr>
          <w:rFonts w:ascii="Arial" w:hAnsi="Arial" w:cs="Arial"/>
          <w:i/>
          <w:iCs/>
        </w:rPr>
        <w:t>JMIR human factors</w:t>
      </w:r>
      <w:r w:rsidRPr="004F297D">
        <w:rPr>
          <w:rFonts w:ascii="Arial" w:hAnsi="Arial" w:cs="Arial"/>
        </w:rPr>
        <w:t xml:space="preserve">, 10(1), p. e47586. Available at: </w:t>
      </w:r>
      <w:hyperlink r:id="rId13" w:history="1">
        <w:r w:rsidR="00931909" w:rsidRPr="004F297D">
          <w:rPr>
            <w:rStyle w:val="Hyperlink"/>
            <w:rFonts w:ascii="Arial" w:hAnsi="Arial" w:cs="Arial"/>
          </w:rPr>
          <w:t>https://doi.org/10.2196/47586</w:t>
        </w:r>
      </w:hyperlink>
      <w:r w:rsidR="00931909" w:rsidRPr="004F297D">
        <w:rPr>
          <w:rFonts w:ascii="Arial" w:hAnsi="Arial" w:cs="Arial"/>
        </w:rPr>
        <w:t xml:space="preserve"> </w:t>
      </w:r>
    </w:p>
    <w:p w14:paraId="3ED02306" w14:textId="1D7D7C5A" w:rsidR="00CA32B0" w:rsidRPr="004F297D" w:rsidRDefault="00CA32B0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 xml:space="preserve">Giebel, C. et al. (2024) ‘The landscape of inequalities in dementia across Europe: First insights from the INTERDEM taskforce’, </w:t>
      </w:r>
      <w:r w:rsidRPr="004F297D">
        <w:rPr>
          <w:rFonts w:ascii="Arial" w:hAnsi="Arial" w:cs="Arial"/>
          <w:i/>
          <w:iCs/>
        </w:rPr>
        <w:t>International Journal of Geriatric Psychiatry,</w:t>
      </w:r>
      <w:r w:rsidRPr="004F297D">
        <w:rPr>
          <w:rFonts w:ascii="Arial" w:hAnsi="Arial" w:cs="Arial"/>
        </w:rPr>
        <w:t xml:space="preserve"> 39(5), pp. e6096-n/a. Available at: https://doi.org/10.1002/gps.6096.</w:t>
      </w:r>
    </w:p>
    <w:p w14:paraId="01B74013" w14:textId="0D3A641C" w:rsidR="00FA3347" w:rsidRPr="004F297D" w:rsidRDefault="007B6129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Kilgallon, J.L.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 xml:space="preserve"> (2022) ‘Passive Data Use for Ethical Digital Public Health Surveillance in a </w:t>
      </w:r>
      <w:proofErr w:type="spellStart"/>
      <w:r w:rsidRPr="004F297D">
        <w:rPr>
          <w:rFonts w:ascii="Arial" w:hAnsi="Arial" w:cs="Arial"/>
        </w:rPr>
        <w:t>Postpandemic</w:t>
      </w:r>
      <w:proofErr w:type="spellEnd"/>
      <w:r w:rsidRPr="004F297D">
        <w:rPr>
          <w:rFonts w:ascii="Arial" w:hAnsi="Arial" w:cs="Arial"/>
        </w:rPr>
        <w:t xml:space="preserve"> World’, </w:t>
      </w:r>
      <w:r w:rsidRPr="004F297D">
        <w:rPr>
          <w:rFonts w:ascii="Arial" w:hAnsi="Arial" w:cs="Arial"/>
          <w:i/>
          <w:iCs/>
        </w:rPr>
        <w:t xml:space="preserve">Journal of </w:t>
      </w:r>
      <w:r w:rsidR="006F3B55" w:rsidRPr="004F297D">
        <w:rPr>
          <w:rFonts w:ascii="Arial" w:hAnsi="Arial" w:cs="Arial"/>
          <w:i/>
          <w:iCs/>
        </w:rPr>
        <w:t>M</w:t>
      </w:r>
      <w:r w:rsidRPr="004F297D">
        <w:rPr>
          <w:rFonts w:ascii="Arial" w:hAnsi="Arial" w:cs="Arial"/>
          <w:i/>
          <w:iCs/>
        </w:rPr>
        <w:t xml:space="preserve">edical Internet </w:t>
      </w:r>
      <w:r w:rsidR="006F3B55" w:rsidRPr="004F297D">
        <w:rPr>
          <w:rFonts w:ascii="Arial" w:hAnsi="Arial" w:cs="Arial"/>
          <w:i/>
          <w:iCs/>
        </w:rPr>
        <w:t>Research</w:t>
      </w:r>
      <w:r w:rsidRPr="004F297D">
        <w:rPr>
          <w:rFonts w:ascii="Arial" w:hAnsi="Arial" w:cs="Arial"/>
        </w:rPr>
        <w:t xml:space="preserve">, 24(2), p. e30524. Available at: </w:t>
      </w:r>
      <w:hyperlink r:id="rId14" w:history="1">
        <w:r w:rsidR="00A61493" w:rsidRPr="004F297D">
          <w:rPr>
            <w:rStyle w:val="Hyperlink"/>
            <w:rFonts w:ascii="Arial" w:hAnsi="Arial" w:cs="Arial"/>
          </w:rPr>
          <w:t>https://doi.org/10.2196/30524</w:t>
        </w:r>
      </w:hyperlink>
    </w:p>
    <w:p w14:paraId="0AF3BE00" w14:textId="4BF3E64D" w:rsidR="001E67E6" w:rsidRPr="004F297D" w:rsidRDefault="001E67E6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Kim, Y.K. and Fingerman, K.L. (2022) ‘Daily social media use, social ties, and emotional well-being in later life’, </w:t>
      </w:r>
      <w:r w:rsidRPr="004F297D">
        <w:rPr>
          <w:rFonts w:ascii="Arial" w:hAnsi="Arial" w:cs="Arial"/>
          <w:i/>
          <w:iCs/>
        </w:rPr>
        <w:t>Journal of social and personal relationships</w:t>
      </w:r>
      <w:r w:rsidRPr="004F297D">
        <w:rPr>
          <w:rFonts w:ascii="Arial" w:hAnsi="Arial" w:cs="Arial"/>
        </w:rPr>
        <w:t xml:space="preserve">, 39(6), pp. 1794–1813. Available at: </w:t>
      </w:r>
      <w:hyperlink r:id="rId15" w:history="1">
        <w:r w:rsidRPr="004F297D">
          <w:rPr>
            <w:rStyle w:val="Hyperlink"/>
            <w:rFonts w:ascii="Arial" w:hAnsi="Arial" w:cs="Arial"/>
          </w:rPr>
          <w:t>https://doi.org/10.1177/02654075211067254</w:t>
        </w:r>
      </w:hyperlink>
      <w:r w:rsidRPr="004F297D">
        <w:rPr>
          <w:rFonts w:ascii="Arial" w:hAnsi="Arial" w:cs="Arial"/>
        </w:rPr>
        <w:t xml:space="preserve"> </w:t>
      </w:r>
    </w:p>
    <w:p w14:paraId="335F6AFD" w14:textId="21341FCA" w:rsidR="006B4661" w:rsidRPr="004F297D" w:rsidRDefault="0061032E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Klein, M., von Bosse, A. and Kunze, C. (2024) ‘The Needs and Experiences of People With Early-Stage Dementia Using an Application for Cognitive and Physical Activation in Germany: Qualitative Study’, </w:t>
      </w:r>
      <w:r w:rsidRPr="004F297D">
        <w:rPr>
          <w:rFonts w:ascii="Arial" w:hAnsi="Arial" w:cs="Arial"/>
          <w:i/>
          <w:iCs/>
        </w:rPr>
        <w:t>JMIR ageing</w:t>
      </w:r>
      <w:r w:rsidRPr="004F297D">
        <w:rPr>
          <w:rFonts w:ascii="Arial" w:hAnsi="Arial" w:cs="Arial"/>
        </w:rPr>
        <w:t xml:space="preserve">, 7, pp. e62689–e62689. Available at: </w:t>
      </w:r>
      <w:hyperlink r:id="rId16" w:history="1">
        <w:r w:rsidR="003776DD" w:rsidRPr="00534259">
          <w:rPr>
            <w:rStyle w:val="Hyperlink"/>
            <w:rFonts w:ascii="Arial" w:hAnsi="Arial" w:cs="Arial"/>
          </w:rPr>
          <w:t>https://doi.org/10.2196/62689</w:t>
        </w:r>
      </w:hyperlink>
      <w:r w:rsidR="003776DD">
        <w:rPr>
          <w:rFonts w:ascii="Arial" w:hAnsi="Arial" w:cs="Arial"/>
        </w:rPr>
        <w:t xml:space="preserve"> </w:t>
      </w:r>
    </w:p>
    <w:p w14:paraId="264920CB" w14:textId="4BB57735" w:rsidR="00353129" w:rsidRPr="004F297D" w:rsidRDefault="00353129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lastRenderedPageBreak/>
        <w:t>Kruse, C.S.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(2020) ‘Evaluating the Facilitators, Barriers, and Medical Outcomes Commensurate with the Use of Assistive Technology to Support People with Dementia: A Systematic Review Literature’, </w:t>
      </w:r>
      <w:r w:rsidRPr="004F297D">
        <w:rPr>
          <w:rFonts w:ascii="Arial" w:hAnsi="Arial" w:cs="Arial"/>
          <w:i/>
          <w:iCs/>
        </w:rPr>
        <w:t>Healthcare (Basel)</w:t>
      </w:r>
      <w:r w:rsidRPr="004F297D">
        <w:rPr>
          <w:rFonts w:ascii="Arial" w:hAnsi="Arial" w:cs="Arial"/>
        </w:rPr>
        <w:t xml:space="preserve">, 8(3), p. 278. Available at: </w:t>
      </w:r>
      <w:hyperlink r:id="rId17" w:history="1">
        <w:r w:rsidRPr="004F297D">
          <w:rPr>
            <w:rStyle w:val="Hyperlink"/>
            <w:rFonts w:ascii="Arial" w:hAnsi="Arial" w:cs="Arial"/>
          </w:rPr>
          <w:t>https://doi.org/10.3390/healthcare8030278</w:t>
        </w:r>
      </w:hyperlink>
      <w:r w:rsidRPr="004F297D">
        <w:rPr>
          <w:rFonts w:ascii="Arial" w:hAnsi="Arial" w:cs="Arial"/>
        </w:rPr>
        <w:t xml:space="preserve"> </w:t>
      </w:r>
    </w:p>
    <w:p w14:paraId="183CB2B5" w14:textId="69EA7558" w:rsidR="00EA0846" w:rsidRPr="004F297D" w:rsidRDefault="00AD48E9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Lipson-Smith, R.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(2025) ‘Designing User Interfaces of Assistive Technology for People Living With Dementia: A Systematic Scoping Review’, </w:t>
      </w:r>
      <w:r w:rsidRPr="004F297D">
        <w:rPr>
          <w:rFonts w:ascii="Arial" w:hAnsi="Arial" w:cs="Arial"/>
          <w:i/>
          <w:iCs/>
        </w:rPr>
        <w:t xml:space="preserve">Human </w:t>
      </w:r>
      <w:r w:rsidR="004016E3" w:rsidRPr="004F297D">
        <w:rPr>
          <w:rFonts w:ascii="Arial" w:hAnsi="Arial" w:cs="Arial"/>
          <w:i/>
          <w:iCs/>
        </w:rPr>
        <w:t>Behaviour</w:t>
      </w:r>
      <w:r w:rsidRPr="004F297D">
        <w:rPr>
          <w:rFonts w:ascii="Arial" w:hAnsi="Arial" w:cs="Arial"/>
          <w:i/>
          <w:iCs/>
        </w:rPr>
        <w:t xml:space="preserve"> and emerging technologies</w:t>
      </w:r>
      <w:r w:rsidRPr="004F297D">
        <w:rPr>
          <w:rFonts w:ascii="Arial" w:hAnsi="Arial" w:cs="Arial"/>
        </w:rPr>
        <w:t xml:space="preserve">, 2025(1). Available at: </w:t>
      </w:r>
      <w:hyperlink r:id="rId18" w:history="1">
        <w:r w:rsidRPr="004F297D">
          <w:rPr>
            <w:rStyle w:val="Hyperlink"/>
            <w:rFonts w:ascii="Arial" w:hAnsi="Arial" w:cs="Arial"/>
          </w:rPr>
          <w:t>https://doi.org/10.1155/hbe2/3850397</w:t>
        </w:r>
      </w:hyperlink>
      <w:r w:rsidRPr="004F297D">
        <w:rPr>
          <w:rFonts w:ascii="Arial" w:hAnsi="Arial" w:cs="Arial"/>
        </w:rPr>
        <w:t xml:space="preserve"> </w:t>
      </w:r>
    </w:p>
    <w:p w14:paraId="561F11D2" w14:textId="08F3BAA8" w:rsidR="005A1481" w:rsidRPr="004F297D" w:rsidRDefault="005A1481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Mo, G.Y.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(2021) ‘Technology Use among Family Caregivers of People with Dementia’, </w:t>
      </w:r>
      <w:r w:rsidRPr="004F297D">
        <w:rPr>
          <w:rFonts w:ascii="Arial" w:hAnsi="Arial" w:cs="Arial"/>
          <w:i/>
          <w:iCs/>
        </w:rPr>
        <w:t xml:space="preserve">Canadian </w:t>
      </w:r>
      <w:r w:rsidR="001B6902" w:rsidRPr="004F297D">
        <w:rPr>
          <w:rFonts w:ascii="Arial" w:hAnsi="Arial" w:cs="Arial"/>
          <w:i/>
          <w:iCs/>
        </w:rPr>
        <w:t>J</w:t>
      </w:r>
      <w:r w:rsidRPr="004F297D">
        <w:rPr>
          <w:rFonts w:ascii="Arial" w:hAnsi="Arial" w:cs="Arial"/>
          <w:i/>
          <w:iCs/>
        </w:rPr>
        <w:t xml:space="preserve">ournal on </w:t>
      </w:r>
      <w:r w:rsidR="001B6902" w:rsidRPr="004F297D">
        <w:rPr>
          <w:rFonts w:ascii="Arial" w:hAnsi="Arial" w:cs="Arial"/>
          <w:i/>
          <w:iCs/>
        </w:rPr>
        <w:t>A</w:t>
      </w:r>
      <w:r w:rsidRPr="004F297D">
        <w:rPr>
          <w:rFonts w:ascii="Arial" w:hAnsi="Arial" w:cs="Arial"/>
          <w:i/>
          <w:iCs/>
        </w:rPr>
        <w:t>g</w:t>
      </w:r>
      <w:r w:rsidR="003B4E13" w:rsidRPr="004F297D">
        <w:rPr>
          <w:rFonts w:ascii="Arial" w:hAnsi="Arial" w:cs="Arial"/>
          <w:i/>
          <w:iCs/>
        </w:rPr>
        <w:t>e</w:t>
      </w:r>
      <w:r w:rsidRPr="004F297D">
        <w:rPr>
          <w:rFonts w:ascii="Arial" w:hAnsi="Arial" w:cs="Arial"/>
          <w:i/>
          <w:iCs/>
        </w:rPr>
        <w:t>ing</w:t>
      </w:r>
      <w:r w:rsidRPr="004F297D">
        <w:rPr>
          <w:rFonts w:ascii="Arial" w:hAnsi="Arial" w:cs="Arial"/>
        </w:rPr>
        <w:t xml:space="preserve">, 40(2), pp. 331–343. Available at: </w:t>
      </w:r>
      <w:hyperlink r:id="rId19" w:history="1">
        <w:r w:rsidR="00C40542" w:rsidRPr="004F297D">
          <w:rPr>
            <w:rStyle w:val="Hyperlink"/>
            <w:rFonts w:ascii="Arial" w:hAnsi="Arial" w:cs="Arial"/>
          </w:rPr>
          <w:t>https://doi.org/10.1017/S0714980820000094</w:t>
        </w:r>
      </w:hyperlink>
      <w:r w:rsidR="00C40542" w:rsidRPr="004F297D">
        <w:rPr>
          <w:rFonts w:ascii="Arial" w:hAnsi="Arial" w:cs="Arial"/>
        </w:rPr>
        <w:t xml:space="preserve"> </w:t>
      </w:r>
    </w:p>
    <w:p w14:paraId="2D9EC52B" w14:textId="6380B676" w:rsidR="00A61493" w:rsidRPr="004F297D" w:rsidRDefault="006F3B55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Monnet, F.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(2024) ‘Evaluation of interactive web-based tools to stimulate reflection and communication about advance care planning with people with dementia and their family caregivers’, </w:t>
      </w:r>
      <w:r w:rsidRPr="004F297D">
        <w:rPr>
          <w:rFonts w:ascii="Arial" w:hAnsi="Arial" w:cs="Arial"/>
          <w:i/>
          <w:iCs/>
        </w:rPr>
        <w:t>BMC Palliative Care</w:t>
      </w:r>
      <w:r w:rsidRPr="004F297D">
        <w:rPr>
          <w:rFonts w:ascii="Arial" w:hAnsi="Arial" w:cs="Arial"/>
        </w:rPr>
        <w:t xml:space="preserve">, 23(1). Available at: </w:t>
      </w:r>
      <w:hyperlink r:id="rId20" w:history="1">
        <w:r w:rsidR="000A1833" w:rsidRPr="004F297D">
          <w:rPr>
            <w:rStyle w:val="Hyperlink"/>
            <w:rFonts w:ascii="Arial" w:hAnsi="Arial" w:cs="Arial"/>
          </w:rPr>
          <w:t>https://doi.org/10.1186/s12904-024-01486-4</w:t>
        </w:r>
      </w:hyperlink>
      <w:r w:rsidR="000A1833" w:rsidRPr="004F297D">
        <w:rPr>
          <w:rFonts w:ascii="Arial" w:hAnsi="Arial" w:cs="Arial"/>
        </w:rPr>
        <w:t xml:space="preserve"> </w:t>
      </w:r>
    </w:p>
    <w:p w14:paraId="3AE07086" w14:textId="5AAA1854" w:rsidR="004D450F" w:rsidRPr="004F297D" w:rsidRDefault="004D450F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Neal, D.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(2025) ‘Digital assistive technologies for community-dwelling people with dementia: A systematic review of systematic reviews by the INTERDEM AI &amp; assistive technology taskforce’, </w:t>
      </w:r>
      <w:r w:rsidRPr="004F297D">
        <w:rPr>
          <w:rFonts w:ascii="Arial" w:hAnsi="Arial" w:cs="Arial"/>
          <w:i/>
          <w:iCs/>
        </w:rPr>
        <w:t>Digital health</w:t>
      </w:r>
      <w:r w:rsidRPr="004F297D">
        <w:rPr>
          <w:rFonts w:ascii="Arial" w:hAnsi="Arial" w:cs="Arial"/>
        </w:rPr>
        <w:t xml:space="preserve">, 11, p. 20552076251362353. Available at: </w:t>
      </w:r>
      <w:hyperlink r:id="rId21" w:history="1">
        <w:r w:rsidRPr="004F297D">
          <w:rPr>
            <w:rStyle w:val="Hyperlink"/>
            <w:rFonts w:ascii="Arial" w:hAnsi="Arial" w:cs="Arial"/>
          </w:rPr>
          <w:t>https://doi.org/10.1177/20552076251362353</w:t>
        </w:r>
      </w:hyperlink>
      <w:r w:rsidRPr="004F297D">
        <w:rPr>
          <w:rFonts w:ascii="Arial" w:hAnsi="Arial" w:cs="Arial"/>
        </w:rPr>
        <w:t xml:space="preserve"> </w:t>
      </w:r>
    </w:p>
    <w:p w14:paraId="723CC8FD" w14:textId="7A64CD74" w:rsidR="009575FC" w:rsidRPr="004F297D" w:rsidRDefault="009575FC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Power, D.J., Heavin, C. and O’Connor, Y. (2021) ‘Balancing privacy rights and surveillance analytics: a decision process guide’, </w:t>
      </w:r>
      <w:r w:rsidRPr="004F297D">
        <w:rPr>
          <w:rFonts w:ascii="Arial" w:hAnsi="Arial" w:cs="Arial"/>
          <w:i/>
          <w:iCs/>
        </w:rPr>
        <w:t xml:space="preserve">Journal of </w:t>
      </w:r>
      <w:r w:rsidR="00F93375" w:rsidRPr="004F297D">
        <w:rPr>
          <w:rFonts w:ascii="Arial" w:hAnsi="Arial" w:cs="Arial"/>
          <w:i/>
          <w:iCs/>
        </w:rPr>
        <w:t>Business Analytics</w:t>
      </w:r>
      <w:r w:rsidRPr="004F297D">
        <w:rPr>
          <w:rFonts w:ascii="Arial" w:hAnsi="Arial" w:cs="Arial"/>
        </w:rPr>
        <w:t xml:space="preserve">, 4(2), pp. 155–170. Available at: </w:t>
      </w:r>
      <w:hyperlink r:id="rId22" w:history="1">
        <w:r w:rsidR="00A0618D" w:rsidRPr="004F297D">
          <w:rPr>
            <w:rStyle w:val="Hyperlink"/>
            <w:rFonts w:ascii="Arial" w:hAnsi="Arial" w:cs="Arial"/>
          </w:rPr>
          <w:t>https://doi.org/10.1080/2573234X.2021.1920856</w:t>
        </w:r>
      </w:hyperlink>
      <w:r w:rsidR="00A0618D" w:rsidRPr="004F297D">
        <w:rPr>
          <w:rFonts w:ascii="Arial" w:hAnsi="Arial" w:cs="Arial"/>
        </w:rPr>
        <w:t xml:space="preserve"> </w:t>
      </w:r>
    </w:p>
    <w:p w14:paraId="0E6BC65B" w14:textId="0BC8A1A4" w:rsidR="0090603A" w:rsidRPr="004F297D" w:rsidRDefault="0090603A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Robnett, R.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(2020) ‘Adults With Early-Stage Dementia Share Their Views on Technology’, </w:t>
      </w:r>
      <w:r w:rsidRPr="004F297D">
        <w:rPr>
          <w:rFonts w:ascii="Arial" w:hAnsi="Arial" w:cs="Arial"/>
          <w:i/>
          <w:iCs/>
        </w:rPr>
        <w:t>The American journal of occupational therapy</w:t>
      </w:r>
      <w:r w:rsidRPr="004F297D">
        <w:rPr>
          <w:rFonts w:ascii="Arial" w:hAnsi="Arial" w:cs="Arial"/>
        </w:rPr>
        <w:t xml:space="preserve">, 74(4_Supplement_1), pp. 7411505254-7411505254p1. Available at: </w:t>
      </w:r>
      <w:hyperlink r:id="rId23" w:history="1">
        <w:r w:rsidRPr="004F297D">
          <w:rPr>
            <w:rStyle w:val="Hyperlink"/>
            <w:rFonts w:ascii="Arial" w:hAnsi="Arial" w:cs="Arial"/>
          </w:rPr>
          <w:t>https://doi.org/10.5014/ajot.2020.74S1-PO9610</w:t>
        </w:r>
      </w:hyperlink>
      <w:r w:rsidRPr="004F297D">
        <w:rPr>
          <w:rFonts w:ascii="Arial" w:hAnsi="Arial" w:cs="Arial"/>
        </w:rPr>
        <w:t xml:space="preserve"> </w:t>
      </w:r>
    </w:p>
    <w:p w14:paraId="281A86FF" w14:textId="05935C77" w:rsidR="002564B3" w:rsidRPr="004F297D" w:rsidRDefault="002564B3" w:rsidP="007C0DA5">
      <w:pPr>
        <w:spacing w:line="360" w:lineRule="auto"/>
        <w:jc w:val="both"/>
        <w:rPr>
          <w:rFonts w:ascii="Arial" w:hAnsi="Arial" w:cs="Arial"/>
        </w:rPr>
      </w:pPr>
      <w:proofErr w:type="spellStart"/>
      <w:r w:rsidRPr="004F297D">
        <w:rPr>
          <w:rFonts w:ascii="Arial" w:hAnsi="Arial" w:cs="Arial"/>
        </w:rPr>
        <w:t>Saygın</w:t>
      </w:r>
      <w:proofErr w:type="spellEnd"/>
      <w:r w:rsidRPr="004F297D">
        <w:rPr>
          <w:rFonts w:ascii="Arial" w:hAnsi="Arial" w:cs="Arial"/>
        </w:rPr>
        <w:t xml:space="preserve"> Avşar, T.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(2024) ‘Cost-effectiveness of Left Ventricular Assist Devices (LVADs) as destination therapy in the UK: An economic modelling study’, </w:t>
      </w:r>
      <w:proofErr w:type="spellStart"/>
      <w:r w:rsidRPr="004F297D">
        <w:rPr>
          <w:rFonts w:ascii="Arial" w:hAnsi="Arial" w:cs="Arial"/>
          <w:i/>
          <w:iCs/>
        </w:rPr>
        <w:t>PloS</w:t>
      </w:r>
      <w:proofErr w:type="spellEnd"/>
      <w:r w:rsidRPr="004F297D">
        <w:rPr>
          <w:rFonts w:ascii="Arial" w:hAnsi="Arial" w:cs="Arial"/>
          <w:i/>
          <w:iCs/>
        </w:rPr>
        <w:t xml:space="preserve"> one</w:t>
      </w:r>
      <w:r w:rsidRPr="004F297D">
        <w:rPr>
          <w:rFonts w:ascii="Arial" w:hAnsi="Arial" w:cs="Arial"/>
        </w:rPr>
        <w:t xml:space="preserve">, 19(12), p. e0312912. Available at: </w:t>
      </w:r>
      <w:hyperlink r:id="rId24" w:history="1">
        <w:r w:rsidRPr="004F297D">
          <w:rPr>
            <w:rStyle w:val="Hyperlink"/>
            <w:rFonts w:ascii="Arial" w:hAnsi="Arial" w:cs="Arial"/>
          </w:rPr>
          <w:t>https://doi.org/10.1371/journal.pone.0312912</w:t>
        </w:r>
      </w:hyperlink>
      <w:r w:rsidRPr="004F297D">
        <w:rPr>
          <w:rFonts w:ascii="Arial" w:hAnsi="Arial" w:cs="Arial"/>
        </w:rPr>
        <w:t xml:space="preserve"> </w:t>
      </w:r>
    </w:p>
    <w:p w14:paraId="2B74F1CC" w14:textId="1CAA1453" w:rsidR="00C40542" w:rsidRPr="004F297D" w:rsidRDefault="00C40542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Smriti, D., Wang, L. and Huh-Yoo, J. (2024) ‘Emotion Work in Caregiving: The Role of Technology to Support Informal Caregivers of Persons Living With Dementia’, </w:t>
      </w:r>
      <w:r w:rsidRPr="004F297D">
        <w:rPr>
          <w:rFonts w:ascii="Arial" w:hAnsi="Arial" w:cs="Arial"/>
          <w:i/>
          <w:iCs/>
        </w:rPr>
        <w:t>Proceedings of the ACM on human-computer interaction</w:t>
      </w:r>
      <w:r w:rsidRPr="004F297D">
        <w:rPr>
          <w:rFonts w:ascii="Arial" w:hAnsi="Arial" w:cs="Arial"/>
        </w:rPr>
        <w:t xml:space="preserve">, 8(CSCW1). Available at: </w:t>
      </w:r>
      <w:hyperlink r:id="rId25" w:history="1">
        <w:r w:rsidRPr="004F297D">
          <w:rPr>
            <w:rStyle w:val="Hyperlink"/>
            <w:rFonts w:ascii="Arial" w:hAnsi="Arial" w:cs="Arial"/>
          </w:rPr>
          <w:t>https://doi.org/10.1145/3637325</w:t>
        </w:r>
      </w:hyperlink>
      <w:r w:rsidRPr="004F297D">
        <w:rPr>
          <w:rFonts w:ascii="Arial" w:hAnsi="Arial" w:cs="Arial"/>
        </w:rPr>
        <w:t xml:space="preserve"> </w:t>
      </w:r>
    </w:p>
    <w:p w14:paraId="14F3198C" w14:textId="6D8D1BA4" w:rsidR="00D86D8B" w:rsidRPr="004F297D" w:rsidRDefault="00D86D8B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lastRenderedPageBreak/>
        <w:t>Sorrentino, M.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 xml:space="preserve"> (2025) ‘Barriers for access and </w:t>
      </w:r>
      <w:r w:rsidR="004016E3" w:rsidRPr="004F297D">
        <w:rPr>
          <w:rFonts w:ascii="Arial" w:hAnsi="Arial" w:cs="Arial"/>
        </w:rPr>
        <w:t>utilisation</w:t>
      </w:r>
      <w:r w:rsidRPr="004F297D">
        <w:rPr>
          <w:rFonts w:ascii="Arial" w:hAnsi="Arial" w:cs="Arial"/>
        </w:rPr>
        <w:t xml:space="preserve"> of dementia care services in Europe: a systematic review’, </w:t>
      </w:r>
      <w:r w:rsidRPr="004F297D">
        <w:rPr>
          <w:rFonts w:ascii="Arial" w:hAnsi="Arial" w:cs="Arial"/>
          <w:i/>
          <w:iCs/>
        </w:rPr>
        <w:t xml:space="preserve">BMC </w:t>
      </w:r>
      <w:r w:rsidR="004016E3" w:rsidRPr="004F297D">
        <w:rPr>
          <w:rFonts w:ascii="Arial" w:hAnsi="Arial" w:cs="Arial"/>
          <w:i/>
          <w:iCs/>
        </w:rPr>
        <w:t>Geriatrics</w:t>
      </w:r>
      <w:r w:rsidRPr="004F297D">
        <w:rPr>
          <w:rFonts w:ascii="Arial" w:hAnsi="Arial" w:cs="Arial"/>
        </w:rPr>
        <w:t xml:space="preserve">, 25(1). Available at: </w:t>
      </w:r>
      <w:hyperlink r:id="rId26" w:history="1">
        <w:r w:rsidRPr="004F297D">
          <w:rPr>
            <w:rStyle w:val="Hyperlink"/>
            <w:rFonts w:ascii="Arial" w:hAnsi="Arial" w:cs="Arial"/>
          </w:rPr>
          <w:t>https://doi.org/10.1186/s12877-025-05805-z</w:t>
        </w:r>
      </w:hyperlink>
      <w:r w:rsidRPr="004F297D">
        <w:rPr>
          <w:rFonts w:ascii="Arial" w:hAnsi="Arial" w:cs="Arial"/>
        </w:rPr>
        <w:t xml:space="preserve"> </w:t>
      </w:r>
    </w:p>
    <w:p w14:paraId="3BDDBD2D" w14:textId="77777777" w:rsidR="007A5332" w:rsidRPr="004F297D" w:rsidRDefault="00B03B28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Tase, A.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(2022) ‘Current status of medical device malfunction reporting: using end user experience to identify current problems’, </w:t>
      </w:r>
      <w:r w:rsidRPr="004F297D">
        <w:rPr>
          <w:rFonts w:ascii="Arial" w:hAnsi="Arial" w:cs="Arial"/>
          <w:i/>
          <w:iCs/>
        </w:rPr>
        <w:t>BMJ open quality</w:t>
      </w:r>
      <w:r w:rsidRPr="004F297D">
        <w:rPr>
          <w:rFonts w:ascii="Arial" w:hAnsi="Arial" w:cs="Arial"/>
        </w:rPr>
        <w:t xml:space="preserve">, 11(2), p. e001849. Available at: </w:t>
      </w:r>
      <w:hyperlink r:id="rId27" w:history="1">
        <w:r w:rsidRPr="004F297D">
          <w:rPr>
            <w:rStyle w:val="Hyperlink"/>
            <w:rFonts w:ascii="Arial" w:hAnsi="Arial" w:cs="Arial"/>
          </w:rPr>
          <w:t>https://doi.org/10.1136/bmjoq-2022-001849</w:t>
        </w:r>
      </w:hyperlink>
    </w:p>
    <w:p w14:paraId="4560DFFA" w14:textId="575003BC" w:rsidR="00B03B28" w:rsidRPr="004F297D" w:rsidRDefault="007A5332" w:rsidP="007C0DA5">
      <w:pPr>
        <w:spacing w:line="360" w:lineRule="auto"/>
        <w:jc w:val="both"/>
        <w:rPr>
          <w:rFonts w:ascii="Arial" w:hAnsi="Arial" w:cs="Arial"/>
        </w:rPr>
      </w:pPr>
      <w:r w:rsidRPr="004F297D">
        <w:rPr>
          <w:rFonts w:ascii="Arial" w:hAnsi="Arial" w:cs="Arial"/>
        </w:rPr>
        <w:t>Wieczorek, M. </w:t>
      </w:r>
      <w:r w:rsidRPr="004F297D">
        <w:rPr>
          <w:rFonts w:ascii="Arial" w:hAnsi="Arial" w:cs="Arial"/>
          <w:i/>
          <w:iCs/>
        </w:rPr>
        <w:t>et al.</w:t>
      </w:r>
      <w:r w:rsidRPr="004F297D">
        <w:rPr>
          <w:rFonts w:ascii="Arial" w:hAnsi="Arial" w:cs="Arial"/>
        </w:rPr>
        <w:t> (2023)</w:t>
      </w:r>
      <w:r w:rsidR="007C0DA5">
        <w:rPr>
          <w:rFonts w:ascii="Arial" w:hAnsi="Arial" w:cs="Arial"/>
        </w:rPr>
        <w:t>. `</w:t>
      </w:r>
      <w:r w:rsidRPr="004F297D">
        <w:rPr>
          <w:rFonts w:ascii="Arial" w:hAnsi="Arial" w:cs="Arial"/>
        </w:rPr>
        <w:t>The ethics of self-tracking. A comprehensive review of the literature</w:t>
      </w:r>
      <w:r w:rsidR="00A779F5" w:rsidRPr="004F297D">
        <w:rPr>
          <w:rFonts w:ascii="Arial" w:hAnsi="Arial" w:cs="Arial"/>
        </w:rPr>
        <w:t>`</w:t>
      </w:r>
      <w:r w:rsidRPr="004F297D">
        <w:rPr>
          <w:rFonts w:ascii="Arial" w:hAnsi="Arial" w:cs="Arial"/>
        </w:rPr>
        <w:t>, </w:t>
      </w:r>
      <w:r w:rsidRPr="004F297D">
        <w:rPr>
          <w:rFonts w:ascii="Arial" w:hAnsi="Arial" w:cs="Arial"/>
          <w:i/>
          <w:iCs/>
        </w:rPr>
        <w:t xml:space="preserve">Ethics &amp; </w:t>
      </w:r>
      <w:r w:rsidR="00A779F5" w:rsidRPr="004F297D">
        <w:rPr>
          <w:rFonts w:ascii="Arial" w:hAnsi="Arial" w:cs="Arial"/>
          <w:i/>
          <w:iCs/>
        </w:rPr>
        <w:t>behaviour</w:t>
      </w:r>
      <w:r w:rsidRPr="004F297D">
        <w:rPr>
          <w:rFonts w:ascii="Arial" w:hAnsi="Arial" w:cs="Arial"/>
        </w:rPr>
        <w:t xml:space="preserve">, 33(4), pp. 239–271. Available at: </w:t>
      </w:r>
      <w:hyperlink r:id="rId28" w:history="1">
        <w:r w:rsidR="002276EC" w:rsidRPr="004F297D">
          <w:rPr>
            <w:rStyle w:val="Hyperlink"/>
            <w:rFonts w:ascii="Arial" w:hAnsi="Arial" w:cs="Arial"/>
          </w:rPr>
          <w:t>https://doi.org/10.1080/10508422.2022.2082969</w:t>
        </w:r>
      </w:hyperlink>
      <w:r w:rsidR="002276EC" w:rsidRPr="004F297D">
        <w:rPr>
          <w:rFonts w:ascii="Arial" w:hAnsi="Arial" w:cs="Arial"/>
        </w:rPr>
        <w:t xml:space="preserve"> </w:t>
      </w:r>
    </w:p>
    <w:p w14:paraId="5BA5AC41" w14:textId="77777777" w:rsidR="004D62F9" w:rsidRPr="004F297D" w:rsidRDefault="004D62F9" w:rsidP="007C0DA5">
      <w:pPr>
        <w:spacing w:line="360" w:lineRule="auto"/>
        <w:jc w:val="both"/>
        <w:rPr>
          <w:rFonts w:ascii="Arial" w:hAnsi="Arial" w:cs="Arial"/>
        </w:rPr>
      </w:pPr>
    </w:p>
    <w:p w14:paraId="68903AFF" w14:textId="77777777" w:rsidR="004D62F9" w:rsidRPr="00316E8B" w:rsidRDefault="004D62F9" w:rsidP="00316E8B">
      <w:pPr>
        <w:jc w:val="both"/>
        <w:rPr>
          <w:rFonts w:ascii="Arial" w:hAnsi="Arial" w:cs="Arial"/>
        </w:rPr>
      </w:pPr>
    </w:p>
    <w:p w14:paraId="6E574EBE" w14:textId="77777777" w:rsidR="004D62F9" w:rsidRDefault="004D62F9"/>
    <w:p w14:paraId="6A8980D7" w14:textId="77777777" w:rsidR="004D62F9" w:rsidRDefault="004D62F9"/>
    <w:p w14:paraId="55FE91E7" w14:textId="77777777" w:rsidR="004D62F9" w:rsidRDefault="004D62F9"/>
    <w:p w14:paraId="2CBF8F7C" w14:textId="77777777" w:rsidR="004D62F9" w:rsidRDefault="004D62F9"/>
    <w:p w14:paraId="5EB480F9" w14:textId="77777777" w:rsidR="004D62F9" w:rsidRDefault="004D62F9"/>
    <w:p w14:paraId="0F8BF757" w14:textId="77777777" w:rsidR="004D62F9" w:rsidRDefault="004D62F9"/>
    <w:p w14:paraId="1B55512C" w14:textId="77777777" w:rsidR="004D62F9" w:rsidRDefault="004D62F9"/>
    <w:p w14:paraId="2FCFFB42" w14:textId="77777777" w:rsidR="004D62F9" w:rsidRDefault="004D62F9"/>
    <w:p w14:paraId="29BF71A6" w14:textId="77777777" w:rsidR="004D62F9" w:rsidRDefault="004D62F9"/>
    <w:p w14:paraId="7B98E535" w14:textId="77777777" w:rsidR="004D62F9" w:rsidRDefault="004D62F9"/>
    <w:p w14:paraId="558589B3" w14:textId="77777777" w:rsidR="004D62F9" w:rsidRDefault="004D62F9"/>
    <w:p w14:paraId="50C3B04F" w14:textId="77777777" w:rsidR="004D62F9" w:rsidRDefault="004D62F9"/>
    <w:p w14:paraId="2AA7CE02" w14:textId="77777777" w:rsidR="00B726B6" w:rsidRPr="004D62F9" w:rsidRDefault="00B726B6">
      <w:pPr>
        <w:rPr>
          <w:rFonts w:ascii="Arial" w:hAnsi="Arial" w:cs="Arial"/>
        </w:rPr>
      </w:pPr>
    </w:p>
    <w:sectPr w:rsidR="00B726B6" w:rsidRPr="004D62F9" w:rsidSect="007D2850">
      <w:footerReference w:type="default" r:id="rId2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085E3" w14:textId="77777777" w:rsidR="008A7995" w:rsidRDefault="008A7995" w:rsidP="007D2850">
      <w:pPr>
        <w:spacing w:after="0" w:line="240" w:lineRule="auto"/>
      </w:pPr>
      <w:r>
        <w:separator/>
      </w:r>
    </w:p>
  </w:endnote>
  <w:endnote w:type="continuationSeparator" w:id="0">
    <w:p w14:paraId="29F1FDBB" w14:textId="77777777" w:rsidR="008A7995" w:rsidRDefault="008A7995" w:rsidP="007D2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29968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30E5D1" w14:textId="54578506" w:rsidR="007D2850" w:rsidRDefault="007D28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083E5E" w14:textId="77777777" w:rsidR="007D2850" w:rsidRDefault="007D28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59D92" w14:textId="77777777" w:rsidR="008A7995" w:rsidRDefault="008A7995" w:rsidP="007D2850">
      <w:pPr>
        <w:spacing w:after="0" w:line="240" w:lineRule="auto"/>
      </w:pPr>
      <w:r>
        <w:separator/>
      </w:r>
    </w:p>
  </w:footnote>
  <w:footnote w:type="continuationSeparator" w:id="0">
    <w:p w14:paraId="482B9424" w14:textId="77777777" w:rsidR="008A7995" w:rsidRDefault="008A7995" w:rsidP="007D28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70FD"/>
    <w:multiLevelType w:val="hybridMultilevel"/>
    <w:tmpl w:val="8F5C520C"/>
    <w:lvl w:ilvl="0" w:tplc="AE4E5F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B7106"/>
    <w:multiLevelType w:val="hybridMultilevel"/>
    <w:tmpl w:val="9C4ED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023427">
    <w:abstractNumId w:val="1"/>
  </w:num>
  <w:num w:numId="2" w16cid:durableId="1942646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7E"/>
    <w:rsid w:val="00033A32"/>
    <w:rsid w:val="00035A54"/>
    <w:rsid w:val="0004324A"/>
    <w:rsid w:val="0005022A"/>
    <w:rsid w:val="00051493"/>
    <w:rsid w:val="00054FB3"/>
    <w:rsid w:val="000647D4"/>
    <w:rsid w:val="00086D68"/>
    <w:rsid w:val="000A1833"/>
    <w:rsid w:val="000B0C81"/>
    <w:rsid w:val="000C22DC"/>
    <w:rsid w:val="000C7892"/>
    <w:rsid w:val="000D0DC8"/>
    <w:rsid w:val="000F3F14"/>
    <w:rsid w:val="00125846"/>
    <w:rsid w:val="001516B9"/>
    <w:rsid w:val="00173EE9"/>
    <w:rsid w:val="00176B3F"/>
    <w:rsid w:val="0018240B"/>
    <w:rsid w:val="001B5EE6"/>
    <w:rsid w:val="001B6902"/>
    <w:rsid w:val="001C17EC"/>
    <w:rsid w:val="001D51BA"/>
    <w:rsid w:val="001E67E6"/>
    <w:rsid w:val="001F2514"/>
    <w:rsid w:val="002276EC"/>
    <w:rsid w:val="00227E99"/>
    <w:rsid w:val="00236DA1"/>
    <w:rsid w:val="002564B3"/>
    <w:rsid w:val="002622AE"/>
    <w:rsid w:val="00274684"/>
    <w:rsid w:val="002A2D84"/>
    <w:rsid w:val="002A7DA7"/>
    <w:rsid w:val="002D4DE9"/>
    <w:rsid w:val="002E5A3A"/>
    <w:rsid w:val="003151CC"/>
    <w:rsid w:val="00315B36"/>
    <w:rsid w:val="00316E8B"/>
    <w:rsid w:val="00326F7E"/>
    <w:rsid w:val="0033632B"/>
    <w:rsid w:val="00345BB7"/>
    <w:rsid w:val="00353129"/>
    <w:rsid w:val="00355873"/>
    <w:rsid w:val="00361B60"/>
    <w:rsid w:val="00365E09"/>
    <w:rsid w:val="00370FF7"/>
    <w:rsid w:val="003776DD"/>
    <w:rsid w:val="00377772"/>
    <w:rsid w:val="003A38F2"/>
    <w:rsid w:val="003A73FC"/>
    <w:rsid w:val="003B32CB"/>
    <w:rsid w:val="003B33AB"/>
    <w:rsid w:val="003B4E13"/>
    <w:rsid w:val="003C282B"/>
    <w:rsid w:val="003D01D0"/>
    <w:rsid w:val="003E5C8A"/>
    <w:rsid w:val="003F7518"/>
    <w:rsid w:val="0040095E"/>
    <w:rsid w:val="004016E3"/>
    <w:rsid w:val="0043595C"/>
    <w:rsid w:val="00443C10"/>
    <w:rsid w:val="0044529E"/>
    <w:rsid w:val="00452DB4"/>
    <w:rsid w:val="00454A0A"/>
    <w:rsid w:val="004575BB"/>
    <w:rsid w:val="00476146"/>
    <w:rsid w:val="0048059A"/>
    <w:rsid w:val="00492272"/>
    <w:rsid w:val="00495F7F"/>
    <w:rsid w:val="004A0F78"/>
    <w:rsid w:val="004A5DF2"/>
    <w:rsid w:val="004D062F"/>
    <w:rsid w:val="004D450F"/>
    <w:rsid w:val="004D58F3"/>
    <w:rsid w:val="004D62F9"/>
    <w:rsid w:val="004E11B4"/>
    <w:rsid w:val="004F297D"/>
    <w:rsid w:val="00505486"/>
    <w:rsid w:val="0051193C"/>
    <w:rsid w:val="00525DB2"/>
    <w:rsid w:val="00537CB0"/>
    <w:rsid w:val="005452EE"/>
    <w:rsid w:val="00550B04"/>
    <w:rsid w:val="005A1481"/>
    <w:rsid w:val="005A1C6B"/>
    <w:rsid w:val="005C4029"/>
    <w:rsid w:val="005F2096"/>
    <w:rsid w:val="005F7890"/>
    <w:rsid w:val="00605CDC"/>
    <w:rsid w:val="0061032E"/>
    <w:rsid w:val="00611CB8"/>
    <w:rsid w:val="0061250A"/>
    <w:rsid w:val="00624A46"/>
    <w:rsid w:val="00650AFB"/>
    <w:rsid w:val="00654E1C"/>
    <w:rsid w:val="006634B3"/>
    <w:rsid w:val="0068546B"/>
    <w:rsid w:val="00695651"/>
    <w:rsid w:val="006A5C32"/>
    <w:rsid w:val="006B12E3"/>
    <w:rsid w:val="006B4661"/>
    <w:rsid w:val="006C0682"/>
    <w:rsid w:val="006E0694"/>
    <w:rsid w:val="006E7A5D"/>
    <w:rsid w:val="006F0B2A"/>
    <w:rsid w:val="006F3B55"/>
    <w:rsid w:val="00720F8E"/>
    <w:rsid w:val="00723628"/>
    <w:rsid w:val="0072757B"/>
    <w:rsid w:val="007343AB"/>
    <w:rsid w:val="007352C1"/>
    <w:rsid w:val="00741FF1"/>
    <w:rsid w:val="00751697"/>
    <w:rsid w:val="00772997"/>
    <w:rsid w:val="007A5332"/>
    <w:rsid w:val="007A7225"/>
    <w:rsid w:val="007A7E6F"/>
    <w:rsid w:val="007B31E4"/>
    <w:rsid w:val="007B6129"/>
    <w:rsid w:val="007C0DA5"/>
    <w:rsid w:val="007D09AC"/>
    <w:rsid w:val="007D0B57"/>
    <w:rsid w:val="007D2850"/>
    <w:rsid w:val="007D3A81"/>
    <w:rsid w:val="008155A3"/>
    <w:rsid w:val="00827559"/>
    <w:rsid w:val="008416B3"/>
    <w:rsid w:val="00850861"/>
    <w:rsid w:val="008604CA"/>
    <w:rsid w:val="00877248"/>
    <w:rsid w:val="0088743B"/>
    <w:rsid w:val="0089126B"/>
    <w:rsid w:val="008A7995"/>
    <w:rsid w:val="008A7FA4"/>
    <w:rsid w:val="008B05FA"/>
    <w:rsid w:val="008B11B0"/>
    <w:rsid w:val="008B3769"/>
    <w:rsid w:val="008D5E4E"/>
    <w:rsid w:val="0090603A"/>
    <w:rsid w:val="009155FF"/>
    <w:rsid w:val="00916010"/>
    <w:rsid w:val="009312E2"/>
    <w:rsid w:val="00931909"/>
    <w:rsid w:val="00943D3E"/>
    <w:rsid w:val="0094404F"/>
    <w:rsid w:val="00954025"/>
    <w:rsid w:val="009575FC"/>
    <w:rsid w:val="0096764D"/>
    <w:rsid w:val="00994F18"/>
    <w:rsid w:val="009B18E3"/>
    <w:rsid w:val="009C69E2"/>
    <w:rsid w:val="009D3836"/>
    <w:rsid w:val="009E518A"/>
    <w:rsid w:val="009E7AB6"/>
    <w:rsid w:val="009F69E2"/>
    <w:rsid w:val="009F6F4D"/>
    <w:rsid w:val="00A00965"/>
    <w:rsid w:val="00A0618D"/>
    <w:rsid w:val="00A16092"/>
    <w:rsid w:val="00A2115D"/>
    <w:rsid w:val="00A46AB2"/>
    <w:rsid w:val="00A61493"/>
    <w:rsid w:val="00A655B9"/>
    <w:rsid w:val="00A707F5"/>
    <w:rsid w:val="00A73695"/>
    <w:rsid w:val="00A75A93"/>
    <w:rsid w:val="00A76ACD"/>
    <w:rsid w:val="00A779F5"/>
    <w:rsid w:val="00A808CE"/>
    <w:rsid w:val="00AA1FA8"/>
    <w:rsid w:val="00AB578E"/>
    <w:rsid w:val="00AC36BE"/>
    <w:rsid w:val="00AD00C7"/>
    <w:rsid w:val="00AD48E9"/>
    <w:rsid w:val="00B03B28"/>
    <w:rsid w:val="00B3169D"/>
    <w:rsid w:val="00B6734D"/>
    <w:rsid w:val="00B726B6"/>
    <w:rsid w:val="00B83213"/>
    <w:rsid w:val="00B865FC"/>
    <w:rsid w:val="00BD3F1F"/>
    <w:rsid w:val="00BD44C3"/>
    <w:rsid w:val="00BE5950"/>
    <w:rsid w:val="00BF34D2"/>
    <w:rsid w:val="00BF758F"/>
    <w:rsid w:val="00C041E1"/>
    <w:rsid w:val="00C1666C"/>
    <w:rsid w:val="00C23E84"/>
    <w:rsid w:val="00C2751B"/>
    <w:rsid w:val="00C31886"/>
    <w:rsid w:val="00C3629F"/>
    <w:rsid w:val="00C40542"/>
    <w:rsid w:val="00C40C7F"/>
    <w:rsid w:val="00C506EA"/>
    <w:rsid w:val="00C50910"/>
    <w:rsid w:val="00C846B3"/>
    <w:rsid w:val="00C93E3F"/>
    <w:rsid w:val="00CA32B0"/>
    <w:rsid w:val="00CA4BAF"/>
    <w:rsid w:val="00CA4F16"/>
    <w:rsid w:val="00CB05CA"/>
    <w:rsid w:val="00CB0814"/>
    <w:rsid w:val="00CD0231"/>
    <w:rsid w:val="00CF05E6"/>
    <w:rsid w:val="00D0125D"/>
    <w:rsid w:val="00D04DD9"/>
    <w:rsid w:val="00D20C79"/>
    <w:rsid w:val="00D26E36"/>
    <w:rsid w:val="00D32AEB"/>
    <w:rsid w:val="00D533C6"/>
    <w:rsid w:val="00D54868"/>
    <w:rsid w:val="00D54A7F"/>
    <w:rsid w:val="00D71C3B"/>
    <w:rsid w:val="00D860F7"/>
    <w:rsid w:val="00D86D8B"/>
    <w:rsid w:val="00DA051D"/>
    <w:rsid w:val="00DC2636"/>
    <w:rsid w:val="00DD2104"/>
    <w:rsid w:val="00DD56D6"/>
    <w:rsid w:val="00DE05FE"/>
    <w:rsid w:val="00E04364"/>
    <w:rsid w:val="00E10D0F"/>
    <w:rsid w:val="00E17C92"/>
    <w:rsid w:val="00E357FF"/>
    <w:rsid w:val="00E514E1"/>
    <w:rsid w:val="00E84826"/>
    <w:rsid w:val="00E862A9"/>
    <w:rsid w:val="00EA0846"/>
    <w:rsid w:val="00ED0289"/>
    <w:rsid w:val="00ED1359"/>
    <w:rsid w:val="00EF3374"/>
    <w:rsid w:val="00F102ED"/>
    <w:rsid w:val="00F2416E"/>
    <w:rsid w:val="00F41E96"/>
    <w:rsid w:val="00F766E4"/>
    <w:rsid w:val="00F90237"/>
    <w:rsid w:val="00F93375"/>
    <w:rsid w:val="00F951C2"/>
    <w:rsid w:val="00F95466"/>
    <w:rsid w:val="00FA3347"/>
    <w:rsid w:val="00FB0B9E"/>
    <w:rsid w:val="00FB43CB"/>
    <w:rsid w:val="00FB6029"/>
    <w:rsid w:val="00FD4E1B"/>
    <w:rsid w:val="00FE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58792F"/>
  <w15:chartTrackingRefBased/>
  <w15:docId w15:val="{692FC504-12B8-4668-B0A5-D32975DB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F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F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F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F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F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F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F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F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F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F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F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F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F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F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F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F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F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F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F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F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F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F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F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F7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D2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850"/>
  </w:style>
  <w:style w:type="paragraph" w:styleId="Footer">
    <w:name w:val="footer"/>
    <w:basedOn w:val="Normal"/>
    <w:link w:val="FooterChar"/>
    <w:uiPriority w:val="99"/>
    <w:unhideWhenUsed/>
    <w:rsid w:val="007D2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850"/>
  </w:style>
  <w:style w:type="character" w:styleId="Hyperlink">
    <w:name w:val="Hyperlink"/>
    <w:basedOn w:val="DefaultParagraphFont"/>
    <w:uiPriority w:val="99"/>
    <w:unhideWhenUsed/>
    <w:rsid w:val="006E06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06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doi.org/10.2196/47586" TargetMode="External"/><Relationship Id="rId18" Type="http://schemas.openxmlformats.org/officeDocument/2006/relationships/hyperlink" Target="https://doi.org/10.1155/hbe2/3850397" TargetMode="External"/><Relationship Id="rId26" Type="http://schemas.openxmlformats.org/officeDocument/2006/relationships/hyperlink" Target="https://doi.org/10.1186/s12877-025-05805-z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177/20552076251362353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oi.org/10.2196/65385" TargetMode="External"/><Relationship Id="rId17" Type="http://schemas.openxmlformats.org/officeDocument/2006/relationships/hyperlink" Target="https://doi.org/10.3390/healthcare8030278" TargetMode="External"/><Relationship Id="rId25" Type="http://schemas.openxmlformats.org/officeDocument/2006/relationships/hyperlink" Target="https://doi.org/10.1145/3637325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2196/62689" TargetMode="External"/><Relationship Id="rId20" Type="http://schemas.openxmlformats.org/officeDocument/2006/relationships/hyperlink" Target="https://doi.org/10.1186/s12904-024-01486-4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2196/51987" TargetMode="External"/><Relationship Id="rId24" Type="http://schemas.openxmlformats.org/officeDocument/2006/relationships/hyperlink" Target="https://doi.org/10.1371/journal.pone.031291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i.org/10.1177/02654075211067254" TargetMode="External"/><Relationship Id="rId23" Type="http://schemas.openxmlformats.org/officeDocument/2006/relationships/hyperlink" Target="https://doi.org/10.5014/ajot.2020.74S1-PO9610" TargetMode="External"/><Relationship Id="rId28" Type="http://schemas.openxmlformats.org/officeDocument/2006/relationships/hyperlink" Target="https://doi.org/10.1080/10508422.2022.2082969" TargetMode="External"/><Relationship Id="rId10" Type="http://schemas.openxmlformats.org/officeDocument/2006/relationships/hyperlink" Target="https://doi.org/10.1186/s12877-023-04530-9" TargetMode="External"/><Relationship Id="rId19" Type="http://schemas.openxmlformats.org/officeDocument/2006/relationships/hyperlink" Target="https://doi.org/10.1017/S0714980820000094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36/bmjopen-2024-089026" TargetMode="External"/><Relationship Id="rId14" Type="http://schemas.openxmlformats.org/officeDocument/2006/relationships/hyperlink" Target="https://doi.org/10.2196/30524" TargetMode="External"/><Relationship Id="rId22" Type="http://schemas.openxmlformats.org/officeDocument/2006/relationships/hyperlink" Target="https://doi.org/10.1080/2573234X.2021.1920856" TargetMode="External"/><Relationship Id="rId27" Type="http://schemas.openxmlformats.org/officeDocument/2006/relationships/hyperlink" Target="https://doi.org/10.1136/bmjoq-2022-001849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880</Words>
  <Characters>5980</Characters>
  <Application>Microsoft Office Word</Application>
  <DocSecurity>0</DocSecurity>
  <Lines>132</Lines>
  <Paragraphs>41</Paragraphs>
  <ScaleCrop>false</ScaleCrop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Florea (2244840)</dc:creator>
  <cp:keywords/>
  <dc:description/>
  <cp:lastModifiedBy>Marianna Florea (2244840)</cp:lastModifiedBy>
  <cp:revision>216</cp:revision>
  <dcterms:created xsi:type="dcterms:W3CDTF">2025-10-23T09:52:00Z</dcterms:created>
  <dcterms:modified xsi:type="dcterms:W3CDTF">2025-12-04T15:42:00Z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1edfe02d-f8ba-4924-ace5-e9a8cef610e4</vt:lpwstr>
  </property>
</Properties>
</file>