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D3D046B" w14:textId="44CD51C4" w:rsidR="00BD78C7" w:rsidRDefault="002C7E72" w:rsidP="002C7E72">
      <w:pPr>
        <w:jc w:val="center"/>
        <w:rPr>
          <w:rFonts w:ascii="Calibri" w:hAnsi="Calibri" w:cs="Calibri"/>
          <w:u w:val="single"/>
        </w:rPr>
      </w:pPr>
      <w:r w:rsidRPr="002C7E72">
        <w:rPr>
          <w:rFonts w:ascii="Calibri" w:hAnsi="Calibri" w:cs="Calibri"/>
          <w:u w:val="single"/>
        </w:rPr>
        <w:t xml:space="preserve">What Is </w:t>
      </w:r>
      <w:r w:rsidR="00AD1FC8" w:rsidRPr="002C7E72">
        <w:rPr>
          <w:rFonts w:ascii="Calibri" w:hAnsi="Calibri" w:cs="Calibri"/>
          <w:u w:val="single"/>
        </w:rPr>
        <w:t>the</w:t>
      </w:r>
      <w:r w:rsidRPr="002C7E72">
        <w:rPr>
          <w:rFonts w:ascii="Calibri" w:hAnsi="Calibri" w:cs="Calibri"/>
          <w:u w:val="single"/>
        </w:rPr>
        <w:t xml:space="preserve"> Relevance </w:t>
      </w:r>
      <w:r w:rsidR="006A601C" w:rsidRPr="002C7E72">
        <w:rPr>
          <w:rFonts w:ascii="Calibri" w:hAnsi="Calibri" w:cs="Calibri"/>
          <w:u w:val="single"/>
        </w:rPr>
        <w:t>of</w:t>
      </w:r>
      <w:r w:rsidRPr="002C7E72">
        <w:rPr>
          <w:rFonts w:ascii="Calibri" w:hAnsi="Calibri" w:cs="Calibri"/>
          <w:u w:val="single"/>
        </w:rPr>
        <w:t xml:space="preserve"> The Conservation </w:t>
      </w:r>
      <w:proofErr w:type="gramStart"/>
      <w:r w:rsidRPr="002C7E72">
        <w:rPr>
          <w:rFonts w:ascii="Calibri" w:hAnsi="Calibri" w:cs="Calibri"/>
          <w:u w:val="single"/>
        </w:rPr>
        <w:t>Of</w:t>
      </w:r>
      <w:proofErr w:type="gramEnd"/>
      <w:r w:rsidRPr="002C7E72">
        <w:rPr>
          <w:rFonts w:ascii="Calibri" w:hAnsi="Calibri" w:cs="Calibri"/>
          <w:u w:val="single"/>
        </w:rPr>
        <w:t xml:space="preserve"> The Site Of Amarna Undertaken By The Amarna Project?</w:t>
      </w:r>
    </w:p>
    <w:p w14:paraId="54E2C5BD" w14:textId="7EFF4186" w:rsidR="002C7E72" w:rsidRDefault="002C7E72" w:rsidP="002C7E72">
      <w:pPr>
        <w:rPr>
          <w:rFonts w:ascii="Calibri" w:hAnsi="Calibri" w:cs="Calibri"/>
        </w:rPr>
      </w:pPr>
      <w:r>
        <w:rPr>
          <w:rFonts w:ascii="Calibri" w:hAnsi="Calibri" w:cs="Calibri"/>
        </w:rPr>
        <w:t xml:space="preserve">The short-lived capital, created under the rule of Akhenaten in the fifth year of his tumultuous reign, the site of Amarna, known as the ‘Horizon of the Aten’ is found located on the </w:t>
      </w:r>
      <w:r w:rsidR="002F0434">
        <w:rPr>
          <w:rFonts w:ascii="Calibri" w:hAnsi="Calibri" w:cs="Calibri"/>
        </w:rPr>
        <w:t>eastern bank of the Nile, in the modern-day province o</w:t>
      </w:r>
      <w:r w:rsidR="00AE2237">
        <w:rPr>
          <w:rFonts w:ascii="Calibri" w:hAnsi="Calibri" w:cs="Calibri"/>
        </w:rPr>
        <w:t>f</w:t>
      </w:r>
      <w:r w:rsidR="002F0434">
        <w:rPr>
          <w:rFonts w:ascii="Calibri" w:hAnsi="Calibri" w:cs="Calibri"/>
        </w:rPr>
        <w:t xml:space="preserve"> Minya.</w:t>
      </w:r>
      <w:r w:rsidR="002F0434">
        <w:rPr>
          <w:rStyle w:val="FootnoteReference"/>
          <w:rFonts w:ascii="Calibri" w:hAnsi="Calibri" w:cs="Calibri"/>
        </w:rPr>
        <w:footnoteReference w:id="1"/>
      </w:r>
      <w:r w:rsidR="002F0434">
        <w:rPr>
          <w:rFonts w:ascii="Calibri" w:hAnsi="Calibri" w:cs="Calibri"/>
        </w:rPr>
        <w:t xml:space="preserve"> This capital can be identified easily nowadays due its iconic archaeology, most notably, the boundary stelas which encircle the site, which gave modern day scholars the opportunity to learn how the city was founded, and give a cultural, political and religious insight into the lives and everyday administration during this period of Egyptian history. The conservation of this important site is </w:t>
      </w:r>
      <w:r w:rsidR="0061196D">
        <w:rPr>
          <w:rFonts w:ascii="Calibri" w:hAnsi="Calibri" w:cs="Calibri"/>
        </w:rPr>
        <w:t>nowadays undertaken by the Amarna Project. With its creation in 1977, this project has</w:t>
      </w:r>
      <w:r w:rsidR="00AE2237">
        <w:rPr>
          <w:rFonts w:ascii="Calibri" w:hAnsi="Calibri" w:cs="Calibri"/>
        </w:rPr>
        <w:t>,</w:t>
      </w:r>
      <w:r w:rsidR="0061196D">
        <w:rPr>
          <w:rFonts w:ascii="Calibri" w:hAnsi="Calibri" w:cs="Calibri"/>
        </w:rPr>
        <w:t xml:space="preserve"> for nearly fifty years held significant relevance in archaeological, cultural and historical fields, dedicating itself to the study of the site of Amarna. This essay will explore the significance of the Amarna Project and its input into </w:t>
      </w:r>
      <w:r w:rsidR="00AD1FC8">
        <w:rPr>
          <w:rFonts w:ascii="Calibri" w:hAnsi="Calibri" w:cs="Calibri"/>
        </w:rPr>
        <w:t xml:space="preserve">the </w:t>
      </w:r>
      <w:r w:rsidR="0061196D">
        <w:rPr>
          <w:rFonts w:ascii="Calibri" w:hAnsi="Calibri" w:cs="Calibri"/>
        </w:rPr>
        <w:t>wider understanding of Ancient Egypt</w:t>
      </w:r>
      <w:r w:rsidR="00AE2237">
        <w:rPr>
          <w:rFonts w:ascii="Calibri" w:hAnsi="Calibri" w:cs="Calibri"/>
        </w:rPr>
        <w:t>ian history</w:t>
      </w:r>
      <w:r w:rsidR="0061196D">
        <w:rPr>
          <w:rFonts w:ascii="Calibri" w:hAnsi="Calibri" w:cs="Calibri"/>
        </w:rPr>
        <w:t xml:space="preserve"> and how we can in modern times, </w:t>
      </w:r>
      <w:r w:rsidR="00AD1FC8">
        <w:rPr>
          <w:rFonts w:ascii="Calibri" w:hAnsi="Calibri" w:cs="Calibri"/>
        </w:rPr>
        <w:t>have a wider comprehension of ancient religions and civilisations.</w:t>
      </w:r>
      <w:r w:rsidR="00AD1FC8">
        <w:rPr>
          <w:rStyle w:val="FootnoteReference"/>
          <w:rFonts w:ascii="Calibri" w:hAnsi="Calibri" w:cs="Calibri"/>
        </w:rPr>
        <w:footnoteReference w:id="2"/>
      </w:r>
    </w:p>
    <w:p w14:paraId="62269724" w14:textId="5DBAFA6D" w:rsidR="00E519D2" w:rsidRDefault="00F608DD" w:rsidP="002C7E72">
      <w:pPr>
        <w:rPr>
          <w:rFonts w:ascii="Calibri" w:hAnsi="Calibri" w:cs="Calibri"/>
        </w:rPr>
      </w:pPr>
      <w:r>
        <w:rPr>
          <w:rFonts w:ascii="Calibri" w:hAnsi="Calibri" w:cs="Calibri"/>
        </w:rPr>
        <w:t xml:space="preserve">When Akhenaten relocated the capital from Thebes to Amarna in approximately 1346BC, he disrupted the traditional </w:t>
      </w:r>
      <w:r w:rsidR="000E6CDC">
        <w:rPr>
          <w:rFonts w:ascii="Calibri" w:hAnsi="Calibri" w:cs="Calibri"/>
        </w:rPr>
        <w:t xml:space="preserve">spheres </w:t>
      </w:r>
      <w:r w:rsidR="004628E7">
        <w:rPr>
          <w:rFonts w:ascii="Calibri" w:hAnsi="Calibri" w:cs="Calibri"/>
        </w:rPr>
        <w:t xml:space="preserve">of religion and the socio-political environment at the time. Akhenaten erected a stela at the Temple of Karnak, </w:t>
      </w:r>
      <w:r w:rsidR="00C605C5">
        <w:rPr>
          <w:rFonts w:ascii="Calibri" w:hAnsi="Calibri" w:cs="Calibri"/>
        </w:rPr>
        <w:t xml:space="preserve">before moving to Amarna, denouncing </w:t>
      </w:r>
      <w:r w:rsidR="00D21285">
        <w:rPr>
          <w:rFonts w:ascii="Calibri" w:hAnsi="Calibri" w:cs="Calibri"/>
        </w:rPr>
        <w:t xml:space="preserve">the </w:t>
      </w:r>
      <w:r w:rsidR="00D614B2">
        <w:rPr>
          <w:rFonts w:ascii="Calibri" w:hAnsi="Calibri" w:cs="Calibri"/>
        </w:rPr>
        <w:t xml:space="preserve">worship of the numerous deities, and moving to a monolatrous society, in which the Aten was to be worshipped as the sole </w:t>
      </w:r>
      <w:r w:rsidR="00EF4178">
        <w:rPr>
          <w:rFonts w:ascii="Calibri" w:hAnsi="Calibri" w:cs="Calibri"/>
        </w:rPr>
        <w:t>state-wide god</w:t>
      </w:r>
      <w:r w:rsidR="00D614B2">
        <w:rPr>
          <w:rFonts w:ascii="Calibri" w:hAnsi="Calibri" w:cs="Calibri"/>
        </w:rPr>
        <w:t>.</w:t>
      </w:r>
      <w:r w:rsidR="00EF4178">
        <w:rPr>
          <w:rStyle w:val="FootnoteReference"/>
          <w:rFonts w:ascii="Calibri" w:hAnsi="Calibri" w:cs="Calibri"/>
        </w:rPr>
        <w:footnoteReference w:id="3"/>
      </w:r>
      <w:r w:rsidR="00D614B2">
        <w:rPr>
          <w:rFonts w:ascii="Calibri" w:hAnsi="Calibri" w:cs="Calibri"/>
        </w:rPr>
        <w:t xml:space="preserve"> As a result of this radical move, Amarna represented a pivotal turning point in the history of Ancient Egypt</w:t>
      </w:r>
      <w:r w:rsidR="00EF4178">
        <w:rPr>
          <w:rFonts w:ascii="Calibri" w:hAnsi="Calibri" w:cs="Calibri"/>
        </w:rPr>
        <w:t>, and thus, the conservation of this site is crucial for scholars to understand the importance of Akhenaten’s place in the Ancient Egyptian timeline. Examples of Amarna’s iconic legacy can be seen through its material culture; the discovery of the Nefertiti Bust is viewed by scholars such as Jung as an ‘icon of Western culture and has since become deeply anchored in our cultural memory.’</w:t>
      </w:r>
      <w:r w:rsidR="00EF4178">
        <w:rPr>
          <w:rStyle w:val="FootnoteReference"/>
          <w:rFonts w:ascii="Calibri" w:hAnsi="Calibri" w:cs="Calibri"/>
        </w:rPr>
        <w:footnoteReference w:id="4"/>
      </w:r>
      <w:r w:rsidR="00E40EA7">
        <w:rPr>
          <w:rFonts w:ascii="Calibri" w:hAnsi="Calibri" w:cs="Calibri"/>
        </w:rPr>
        <w:t xml:space="preserve"> This priceless discovery has gripped Western culture since its excavation and is reminiscent of that colourful and illustrious period of history. Even smaller discoveries </w:t>
      </w:r>
      <w:r w:rsidR="00AE2237">
        <w:rPr>
          <w:rFonts w:ascii="Calibri" w:hAnsi="Calibri" w:cs="Calibri"/>
        </w:rPr>
        <w:t xml:space="preserve">that </w:t>
      </w:r>
      <w:r w:rsidR="00E40EA7">
        <w:rPr>
          <w:rFonts w:ascii="Calibri" w:hAnsi="Calibri" w:cs="Calibri"/>
        </w:rPr>
        <w:t xml:space="preserve">the Amarna Project and Egyptian Exploration Society have discovered, such as the head of Akhenaten, to the blue-painted storage jar all emphasise the extravagance and notable art styles in which the Amarna period </w:t>
      </w:r>
      <w:r w:rsidR="00E519D2">
        <w:rPr>
          <w:rFonts w:ascii="Calibri" w:hAnsi="Calibri" w:cs="Calibri"/>
        </w:rPr>
        <w:t>holds</w:t>
      </w:r>
      <w:r w:rsidR="00AE2237">
        <w:rPr>
          <w:rFonts w:ascii="Calibri" w:hAnsi="Calibri" w:cs="Calibri"/>
        </w:rPr>
        <w:t xml:space="preserve"> and the importance of the Amarna Project itself</w:t>
      </w:r>
      <w:r w:rsidR="00E519D2">
        <w:rPr>
          <w:rFonts w:ascii="Calibri" w:hAnsi="Calibri" w:cs="Calibri"/>
        </w:rPr>
        <w:t>.</w:t>
      </w:r>
      <w:r w:rsidR="00E519D2">
        <w:rPr>
          <w:rStyle w:val="FootnoteReference"/>
          <w:rFonts w:ascii="Calibri" w:hAnsi="Calibri" w:cs="Calibri"/>
        </w:rPr>
        <w:footnoteReference w:id="5"/>
      </w:r>
      <w:r w:rsidR="00E519D2">
        <w:rPr>
          <w:rStyle w:val="FootnoteReference"/>
          <w:rFonts w:ascii="Calibri" w:hAnsi="Calibri" w:cs="Calibri"/>
        </w:rPr>
        <w:footnoteReference w:id="6"/>
      </w:r>
    </w:p>
    <w:p w14:paraId="13CE721B" w14:textId="51806B7D" w:rsidR="00E519D2" w:rsidRDefault="00E519D2" w:rsidP="002C7E72">
      <w:pPr>
        <w:rPr>
          <w:rFonts w:ascii="Calibri" w:hAnsi="Calibri" w:cs="Calibri"/>
        </w:rPr>
      </w:pPr>
      <w:r w:rsidRPr="00E519D2">
        <w:rPr>
          <w:rFonts w:ascii="Calibri" w:hAnsi="Calibri" w:cs="Calibri"/>
          <w:noProof/>
        </w:rPr>
        <mc:AlternateContent>
          <mc:Choice Requires="wps">
            <w:drawing>
              <wp:anchor distT="45720" distB="45720" distL="114300" distR="114300" simplePos="0" relativeHeight="251659264" behindDoc="0" locked="0" layoutInCell="1" allowOverlap="1" wp14:anchorId="46A87154" wp14:editId="6E99CD6F">
                <wp:simplePos x="0" y="0"/>
                <wp:positionH relativeFrom="column">
                  <wp:align>center</wp:align>
                </wp:positionH>
                <wp:positionV relativeFrom="paragraph">
                  <wp:posOffset>182880</wp:posOffset>
                </wp:positionV>
                <wp:extent cx="2360930" cy="14046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noFill/>
                        <a:ln w="9525">
                          <a:noFill/>
                          <a:miter lim="800000"/>
                          <a:headEnd/>
                          <a:tailEnd/>
                        </a:ln>
                      </wps:spPr>
                      <wps:txbx>
                        <w:txbxContent>
                          <w:p w14:paraId="76591CD8" w14:textId="6495D350" w:rsidR="00E519D2" w:rsidRPr="006A601C" w:rsidRDefault="00E519D2">
                            <w:pPr>
                              <w:rPr>
                                <w:rFonts w:ascii="Calibri" w:hAnsi="Calibri" w:cs="Calibri"/>
                                <w:sz w:val="20"/>
                                <w:szCs w:val="20"/>
                              </w:rPr>
                            </w:pPr>
                            <w:r w:rsidRPr="006A601C">
                              <w:rPr>
                                <w:rFonts w:ascii="Calibri" w:hAnsi="Calibri" w:cs="Calibri"/>
                                <w:sz w:val="20"/>
                                <w:szCs w:val="20"/>
                              </w:rPr>
                              <w:t xml:space="preserve">&lt; </w:t>
                            </w:r>
                            <w:r w:rsidRPr="0017315A">
                              <w:rPr>
                                <w:rFonts w:ascii="Calibri" w:hAnsi="Calibri" w:cs="Calibri"/>
                                <w:sz w:val="20"/>
                                <w:szCs w:val="20"/>
                                <w:u w:val="single"/>
                              </w:rPr>
                              <w:t>Figure1</w:t>
                            </w:r>
                            <w:r w:rsidRPr="006A601C">
                              <w:rPr>
                                <w:rFonts w:ascii="Calibri" w:hAnsi="Calibri" w:cs="Calibri"/>
                                <w:sz w:val="20"/>
                                <w:szCs w:val="20"/>
                              </w:rPr>
                              <w:t xml:space="preserve"> – The Head of Akhenaten,</w:t>
                            </w:r>
                            <w:r w:rsidR="006A601C" w:rsidRPr="006A601C">
                              <w:rPr>
                                <w:rFonts w:ascii="Calibri" w:hAnsi="Calibri" w:cs="Calibri"/>
                                <w:sz w:val="20"/>
                                <w:szCs w:val="20"/>
                              </w:rPr>
                              <w:t xml:space="preserve"> gypsum paste, object number 14130.</w:t>
                            </w:r>
                          </w:p>
                          <w:p w14:paraId="2BA712F1" w14:textId="77777777" w:rsidR="006A601C" w:rsidRPr="006A601C" w:rsidRDefault="006A601C">
                            <w:pPr>
                              <w:rPr>
                                <w:rFonts w:ascii="Calibri" w:hAnsi="Calibri" w:cs="Calibri"/>
                                <w:sz w:val="20"/>
                                <w:szCs w:val="20"/>
                              </w:rPr>
                            </w:pPr>
                          </w:p>
                          <w:p w14:paraId="496914A5" w14:textId="7B6CC1C4" w:rsidR="006A601C" w:rsidRPr="006A601C" w:rsidRDefault="006A601C">
                            <w:pPr>
                              <w:rPr>
                                <w:rFonts w:ascii="Calibri" w:hAnsi="Calibri" w:cs="Calibri"/>
                                <w:sz w:val="20"/>
                                <w:szCs w:val="20"/>
                              </w:rPr>
                            </w:pPr>
                            <w:r w:rsidRPr="0017315A">
                              <w:rPr>
                                <w:rFonts w:ascii="Calibri" w:hAnsi="Calibri" w:cs="Calibri"/>
                                <w:sz w:val="20"/>
                                <w:szCs w:val="20"/>
                                <w:u w:val="single"/>
                              </w:rPr>
                              <w:t>Figure 2</w:t>
                            </w:r>
                            <w:r w:rsidRPr="006A601C">
                              <w:rPr>
                                <w:rFonts w:ascii="Calibri" w:hAnsi="Calibri" w:cs="Calibri"/>
                                <w:sz w:val="20"/>
                                <w:szCs w:val="20"/>
                              </w:rPr>
                              <w:t xml:space="preserve"> – Blue-painted storage jar, clay, object number 14061&gt;</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type w14:anchorId="46A87154" id="_x0000_t202" coordsize="21600,21600" o:spt="202" path="m,l,21600r21600,l21600,xe">
                <v:stroke joinstyle="miter"/>
                <v:path gradientshapeok="t" o:connecttype="rect"/>
              </v:shapetype>
              <v:shape id="Text Box 2" o:spid="_x0000_s1026" type="#_x0000_t202" style="position:absolute;margin-left:0;margin-top:14.4pt;width:185.9pt;height:110.6pt;z-index:251659264;visibility:visible;mso-wrap-style:square;mso-width-percent:400;mso-height-percent:200;mso-wrap-distance-left:9pt;mso-wrap-distance-top:3.6pt;mso-wrap-distance-right:9pt;mso-wrap-distance-bottom:3.6pt;mso-position-horizontal:center;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" filled="f" stroked="f">
                <v:textbox style="mso-fit-shape-to-text:t">
                  <w:txbxContent>
                    <w:p w14:paraId="76591CD8" w14:textId="6495D350" w:rsidR="00E519D2" w:rsidRPr="006A601C" w:rsidRDefault="00E519D2">
                      <w:pPr>
                        <w:rPr>
                          <w:rFonts w:ascii="Calibri" w:hAnsi="Calibri" w:cs="Calibri"/>
                          <w:sz w:val="20"/>
                          <w:szCs w:val="20"/>
                        </w:rPr>
                      </w:pPr>
                      <w:r w:rsidRPr="006A601C">
                        <w:rPr>
                          <w:rFonts w:ascii="Calibri" w:hAnsi="Calibri" w:cs="Calibri"/>
                          <w:sz w:val="20"/>
                          <w:szCs w:val="20"/>
                        </w:rPr>
                        <w:t xml:space="preserve">&lt; </w:t>
                      </w:r>
                      <w:r w:rsidRPr="0017315A">
                        <w:rPr>
                          <w:rFonts w:ascii="Calibri" w:hAnsi="Calibri" w:cs="Calibri"/>
                          <w:sz w:val="20"/>
                          <w:szCs w:val="20"/>
                          <w:u w:val="single"/>
                        </w:rPr>
                        <w:t>Figure1</w:t>
                      </w:r>
                      <w:r w:rsidRPr="006A601C">
                        <w:rPr>
                          <w:rFonts w:ascii="Calibri" w:hAnsi="Calibri" w:cs="Calibri"/>
                          <w:sz w:val="20"/>
                          <w:szCs w:val="20"/>
                        </w:rPr>
                        <w:t xml:space="preserve"> – The Head of Akhenaten,</w:t>
                      </w:r>
                      <w:r w:rsidR="006A601C" w:rsidRPr="006A601C">
                        <w:rPr>
                          <w:rFonts w:ascii="Calibri" w:hAnsi="Calibri" w:cs="Calibri"/>
                          <w:sz w:val="20"/>
                          <w:szCs w:val="20"/>
                        </w:rPr>
                        <w:t xml:space="preserve"> gypsum paste, object number 14130.</w:t>
                      </w:r>
                    </w:p>
                    <w:p w14:paraId="2BA712F1" w14:textId="77777777" w:rsidR="006A601C" w:rsidRPr="006A601C" w:rsidRDefault="006A601C">
                      <w:pPr>
                        <w:rPr>
                          <w:rFonts w:ascii="Calibri" w:hAnsi="Calibri" w:cs="Calibri"/>
                          <w:sz w:val="20"/>
                          <w:szCs w:val="20"/>
                        </w:rPr>
                      </w:pPr>
                    </w:p>
                    <w:p w14:paraId="496914A5" w14:textId="7B6CC1C4" w:rsidR="006A601C" w:rsidRPr="006A601C" w:rsidRDefault="006A601C">
                      <w:pPr>
                        <w:rPr>
                          <w:rFonts w:ascii="Calibri" w:hAnsi="Calibri" w:cs="Calibri"/>
                          <w:sz w:val="20"/>
                          <w:szCs w:val="20"/>
                        </w:rPr>
                      </w:pPr>
                      <w:r w:rsidRPr="0017315A">
                        <w:rPr>
                          <w:rFonts w:ascii="Calibri" w:hAnsi="Calibri" w:cs="Calibri"/>
                          <w:sz w:val="20"/>
                          <w:szCs w:val="20"/>
                          <w:u w:val="single"/>
                        </w:rPr>
                        <w:t>Figure 2</w:t>
                      </w:r>
                      <w:r w:rsidRPr="006A601C">
                        <w:rPr>
                          <w:rFonts w:ascii="Calibri" w:hAnsi="Calibri" w:cs="Calibri"/>
                          <w:sz w:val="20"/>
                          <w:szCs w:val="20"/>
                        </w:rPr>
                        <w:t xml:space="preserve"> – Blue-painted storage jar, clay, object number 14061&gt;</w:t>
                      </w:r>
                    </w:p>
                  </w:txbxContent>
                </v:textbox>
                <w10:wrap type="square"/>
              </v:shape>
            </w:pict>
          </mc:Fallback>
        </mc:AlternateContent>
      </w:r>
      <w:r>
        <w:rPr>
          <w:rFonts w:ascii="Calibri" w:hAnsi="Calibri" w:cs="Calibri"/>
          <w:noProof/>
        </w:rPr>
        <w:drawing>
          <wp:inline distT="0" distB="0" distL="0" distR="0" wp14:anchorId="18177702" wp14:editId="747FB88F">
            <wp:extent cx="1338527" cy="1470660"/>
            <wp:effectExtent l="0" t="0" r="0" b="0"/>
            <wp:docPr id="718090613" name="Picture 1" descr="A stone head with a black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90613" name="Picture 1" descr="A stone head with a black background&#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1345837" cy="1478692"/>
                    </a:xfrm>
                    <a:prstGeom prst="rect">
                      <a:avLst/>
                    </a:prstGeom>
                  </pic:spPr>
                </pic:pic>
              </a:graphicData>
            </a:graphic>
          </wp:inline>
        </w:drawing>
      </w:r>
      <w:r>
        <w:rPr>
          <w:rFonts w:ascii="Calibri" w:hAnsi="Calibri" w:cs="Calibri"/>
          <w:noProof/>
        </w:rPr>
        <w:t xml:space="preserve">                                                                                              </w:t>
      </w:r>
      <w:r>
        <w:rPr>
          <w:rFonts w:ascii="Calibri" w:hAnsi="Calibri" w:cs="Calibri"/>
          <w:noProof/>
        </w:rPr>
        <w:drawing>
          <wp:inline distT="0" distB="0" distL="0" distR="0" wp14:anchorId="3A8D2F85" wp14:editId="0641D78E">
            <wp:extent cx="1030067" cy="1577975"/>
            <wp:effectExtent l="0" t="0" r="0" b="3175"/>
            <wp:docPr id="633295352" name="Picture 2" descr="A close-up of a broken vas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3295352" name="Picture 2" descr="A close-up of a broken vase&#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1050884" cy="1609865"/>
                    </a:xfrm>
                    <a:prstGeom prst="rect">
                      <a:avLst/>
                    </a:prstGeom>
                  </pic:spPr>
                </pic:pic>
              </a:graphicData>
            </a:graphic>
          </wp:inline>
        </w:drawing>
      </w:r>
    </w:p>
    <w:p w14:paraId="7B6EF177" w14:textId="28C09C0A" w:rsidR="00AE2237" w:rsidRPr="0017315A" w:rsidRDefault="00E519D2" w:rsidP="00AE2237">
      <w:pPr>
        <w:rPr>
          <w:rFonts w:ascii="Calibri" w:hAnsi="Calibri" w:cs="Calibri"/>
          <w:sz w:val="20"/>
          <w:szCs w:val="20"/>
        </w:rPr>
      </w:pPr>
      <w:r>
        <w:rPr>
          <w:rFonts w:ascii="Calibri" w:hAnsi="Calibri" w:cs="Calibri"/>
        </w:rPr>
        <w:t>In a cultural sense, the</w:t>
      </w:r>
      <w:r w:rsidR="00825B9D">
        <w:rPr>
          <w:rFonts w:ascii="Calibri" w:hAnsi="Calibri" w:cs="Calibri"/>
        </w:rPr>
        <w:t xml:space="preserve"> legacy of, and</w:t>
      </w:r>
      <w:r>
        <w:rPr>
          <w:rFonts w:ascii="Calibri" w:hAnsi="Calibri" w:cs="Calibri"/>
        </w:rPr>
        <w:t xml:space="preserve"> findings in the Amarna site provide a fascinating insight into the everyday lives </w:t>
      </w:r>
      <w:r w:rsidR="006A601C">
        <w:rPr>
          <w:rFonts w:ascii="Calibri" w:hAnsi="Calibri" w:cs="Calibri"/>
        </w:rPr>
        <w:t>of</w:t>
      </w:r>
      <w:r>
        <w:rPr>
          <w:rFonts w:ascii="Calibri" w:hAnsi="Calibri" w:cs="Calibri"/>
        </w:rPr>
        <w:t xml:space="preserve"> both the common folk, and the </w:t>
      </w:r>
      <w:r w:rsidR="006A601C">
        <w:rPr>
          <w:rFonts w:ascii="Calibri" w:hAnsi="Calibri" w:cs="Calibri"/>
        </w:rPr>
        <w:t>elite</w:t>
      </w:r>
      <w:r>
        <w:rPr>
          <w:rFonts w:ascii="Calibri" w:hAnsi="Calibri" w:cs="Calibri"/>
        </w:rPr>
        <w:t xml:space="preserve">. </w:t>
      </w:r>
      <w:r w:rsidR="00825B9D">
        <w:rPr>
          <w:rFonts w:ascii="Calibri" w:hAnsi="Calibri" w:cs="Calibri"/>
        </w:rPr>
        <w:t xml:space="preserve">Van </w:t>
      </w:r>
      <w:proofErr w:type="spellStart"/>
      <w:r w:rsidR="00825B9D">
        <w:rPr>
          <w:rFonts w:ascii="Calibri" w:hAnsi="Calibri" w:cs="Calibri"/>
        </w:rPr>
        <w:t>Djik</w:t>
      </w:r>
      <w:proofErr w:type="spellEnd"/>
      <w:r w:rsidR="00825B9D">
        <w:rPr>
          <w:rFonts w:ascii="Calibri" w:hAnsi="Calibri" w:cs="Calibri"/>
        </w:rPr>
        <w:t xml:space="preserve"> argues that ‘it is perhaps the single most important event in Egypt’s religious and cultural history, and it left deep scars on the </w:t>
      </w:r>
      <w:r w:rsidR="00825B9D">
        <w:rPr>
          <w:rFonts w:ascii="Calibri" w:hAnsi="Calibri" w:cs="Calibri"/>
        </w:rPr>
        <w:lastRenderedPageBreak/>
        <w:t>collective consciousness of its inhabitants.’</w:t>
      </w:r>
      <w:r w:rsidR="00825B9D">
        <w:rPr>
          <w:rStyle w:val="FootnoteReference"/>
          <w:rFonts w:ascii="Calibri" w:hAnsi="Calibri" w:cs="Calibri"/>
        </w:rPr>
        <w:footnoteReference w:id="7"/>
      </w:r>
      <w:r w:rsidR="00825B9D">
        <w:rPr>
          <w:rFonts w:ascii="Calibri" w:hAnsi="Calibri" w:cs="Calibri"/>
        </w:rPr>
        <w:t xml:space="preserve"> </w:t>
      </w:r>
      <w:r w:rsidR="00A87D8C">
        <w:rPr>
          <w:rFonts w:ascii="Calibri" w:hAnsi="Calibri" w:cs="Calibri"/>
        </w:rPr>
        <w:t>Amarna a</w:t>
      </w:r>
      <w:r>
        <w:rPr>
          <w:rFonts w:ascii="Calibri" w:hAnsi="Calibri" w:cs="Calibri"/>
        </w:rPr>
        <w:t xml:space="preserve">rt </w:t>
      </w:r>
      <w:r w:rsidR="00825B9D">
        <w:rPr>
          <w:rFonts w:ascii="Calibri" w:hAnsi="Calibri" w:cs="Calibri"/>
        </w:rPr>
        <w:t>notably</w:t>
      </w:r>
      <w:r>
        <w:rPr>
          <w:rFonts w:ascii="Calibri" w:hAnsi="Calibri" w:cs="Calibri"/>
        </w:rPr>
        <w:t xml:space="preserve"> </w:t>
      </w:r>
      <w:r w:rsidR="006A601C">
        <w:rPr>
          <w:rFonts w:ascii="Calibri" w:hAnsi="Calibri" w:cs="Calibri"/>
        </w:rPr>
        <w:t>stand</w:t>
      </w:r>
      <w:r w:rsidR="00825B9D">
        <w:rPr>
          <w:rFonts w:ascii="Calibri" w:hAnsi="Calibri" w:cs="Calibri"/>
        </w:rPr>
        <w:t>s</w:t>
      </w:r>
      <w:r>
        <w:rPr>
          <w:rFonts w:ascii="Calibri" w:hAnsi="Calibri" w:cs="Calibri"/>
        </w:rPr>
        <w:t xml:space="preserve"> out amongst the whole period of Ancient Egyptian </w:t>
      </w:r>
      <w:r w:rsidR="00040E0B">
        <w:rPr>
          <w:rFonts w:ascii="Calibri" w:hAnsi="Calibri" w:cs="Calibri"/>
        </w:rPr>
        <w:t>history and</w:t>
      </w:r>
      <w:r w:rsidR="00825B9D">
        <w:rPr>
          <w:rFonts w:ascii="Calibri" w:hAnsi="Calibri" w:cs="Calibri"/>
        </w:rPr>
        <w:t xml:space="preserve"> </w:t>
      </w:r>
      <w:r w:rsidR="00F827A8">
        <w:rPr>
          <w:rFonts w:ascii="Calibri" w:hAnsi="Calibri" w:cs="Calibri"/>
        </w:rPr>
        <w:t xml:space="preserve">has </w:t>
      </w:r>
      <w:r w:rsidR="00825B9D">
        <w:rPr>
          <w:rFonts w:ascii="Calibri" w:hAnsi="Calibri" w:cs="Calibri"/>
        </w:rPr>
        <w:t xml:space="preserve">left </w:t>
      </w:r>
      <w:proofErr w:type="gramStart"/>
      <w:r w:rsidR="00825B9D">
        <w:rPr>
          <w:rFonts w:ascii="Calibri" w:hAnsi="Calibri" w:cs="Calibri"/>
        </w:rPr>
        <w:t>a lasting legacy</w:t>
      </w:r>
      <w:proofErr w:type="gramEnd"/>
      <w:r w:rsidR="00825B9D">
        <w:rPr>
          <w:rFonts w:ascii="Calibri" w:hAnsi="Calibri" w:cs="Calibri"/>
        </w:rPr>
        <w:t xml:space="preserve"> </w:t>
      </w:r>
      <w:r w:rsidR="00F827A8">
        <w:rPr>
          <w:rFonts w:ascii="Calibri" w:hAnsi="Calibri" w:cs="Calibri"/>
        </w:rPr>
        <w:t>o</w:t>
      </w:r>
      <w:r w:rsidR="00825B9D">
        <w:rPr>
          <w:rFonts w:ascii="Calibri" w:hAnsi="Calibri" w:cs="Calibri"/>
        </w:rPr>
        <w:t>n the culture of Egypt</w:t>
      </w:r>
      <w:r w:rsidR="00A87D8C">
        <w:rPr>
          <w:rFonts w:ascii="Calibri" w:hAnsi="Calibri" w:cs="Calibri"/>
        </w:rPr>
        <w:t xml:space="preserve"> itself</w:t>
      </w:r>
      <w:r w:rsidR="00825B9D">
        <w:rPr>
          <w:rFonts w:ascii="Calibri" w:hAnsi="Calibri" w:cs="Calibri"/>
        </w:rPr>
        <w:t>.</w:t>
      </w:r>
      <w:r w:rsidR="00040E0B">
        <w:rPr>
          <w:rFonts w:ascii="Calibri" w:hAnsi="Calibri" w:cs="Calibri"/>
        </w:rPr>
        <w:t xml:space="preserve"> Amarna art style</w:t>
      </w:r>
      <w:r w:rsidR="00F827A8">
        <w:rPr>
          <w:rFonts w:ascii="Calibri" w:hAnsi="Calibri" w:cs="Calibri"/>
        </w:rPr>
        <w:t>s</w:t>
      </w:r>
      <w:r w:rsidR="00040E0B">
        <w:rPr>
          <w:rFonts w:ascii="Calibri" w:hAnsi="Calibri" w:cs="Calibri"/>
        </w:rPr>
        <w:t xml:space="preserve"> implemented realism and vivid expression to an already rich material culture</w:t>
      </w:r>
      <w:r w:rsidR="00F827A8">
        <w:rPr>
          <w:rFonts w:ascii="Calibri" w:hAnsi="Calibri" w:cs="Calibri"/>
        </w:rPr>
        <w:t xml:space="preserve">, </w:t>
      </w:r>
      <w:r w:rsidR="00A87D8C">
        <w:rPr>
          <w:rFonts w:ascii="Calibri" w:hAnsi="Calibri" w:cs="Calibri"/>
        </w:rPr>
        <w:t xml:space="preserve">exaggerated kingly bodies and displays of affection between Akhenaten and Nefertiti provides a unique insight into the royal </w:t>
      </w:r>
      <w:r w:rsidR="00616369">
        <w:rPr>
          <w:rFonts w:ascii="Calibri" w:hAnsi="Calibri" w:cs="Calibri"/>
        </w:rPr>
        <w:t>family’s</w:t>
      </w:r>
      <w:r w:rsidR="00A87D8C">
        <w:rPr>
          <w:rFonts w:ascii="Calibri" w:hAnsi="Calibri" w:cs="Calibri"/>
        </w:rPr>
        <w:t xml:space="preserve"> personal life</w:t>
      </w:r>
      <w:r w:rsidR="00AE2237">
        <w:rPr>
          <w:rFonts w:ascii="Calibri" w:hAnsi="Calibri" w:cs="Calibri"/>
        </w:rPr>
        <w:t>, in a way that previous pharaonic families did not illustrate</w:t>
      </w:r>
      <w:r w:rsidR="00A87D8C">
        <w:rPr>
          <w:rFonts w:ascii="Calibri" w:hAnsi="Calibri" w:cs="Calibri"/>
        </w:rPr>
        <w:t>.</w:t>
      </w:r>
      <w:r w:rsidR="00A87D8C">
        <w:rPr>
          <w:rStyle w:val="FootnoteReference"/>
          <w:rFonts w:ascii="Calibri" w:hAnsi="Calibri" w:cs="Calibri"/>
        </w:rPr>
        <w:footnoteReference w:id="8"/>
      </w:r>
      <w:r w:rsidR="00616369">
        <w:rPr>
          <w:rFonts w:ascii="Calibri" w:hAnsi="Calibri" w:cs="Calibri"/>
        </w:rPr>
        <w:t xml:space="preserve"> Another way in which Amarna art challenged the traditional Egypt</w:t>
      </w:r>
      <w:r w:rsidR="00AE2237">
        <w:rPr>
          <w:rFonts w:ascii="Calibri" w:hAnsi="Calibri" w:cs="Calibri"/>
        </w:rPr>
        <w:t>ian</w:t>
      </w:r>
      <w:r w:rsidR="00616369">
        <w:rPr>
          <w:rFonts w:ascii="Calibri" w:hAnsi="Calibri" w:cs="Calibri"/>
        </w:rPr>
        <w:t xml:space="preserve"> style is through the portrayal of its monolatrous deity, the Aten. As most of the Egyptian pantheon was depicted in a semi-anthropomorphic style, like Horus and </w:t>
      </w:r>
      <w:proofErr w:type="spellStart"/>
      <w:r w:rsidR="00616369">
        <w:rPr>
          <w:rFonts w:ascii="Calibri" w:hAnsi="Calibri" w:cs="Calibri"/>
        </w:rPr>
        <w:t>Serqet</w:t>
      </w:r>
      <w:proofErr w:type="spellEnd"/>
      <w:r w:rsidR="00616369">
        <w:rPr>
          <w:rFonts w:ascii="Calibri" w:hAnsi="Calibri" w:cs="Calibri"/>
        </w:rPr>
        <w:t>, the Aten was instead depicted as the sun disk itself – detaching itself from the human link and becoming wholly divine.</w:t>
      </w:r>
      <w:r w:rsidR="00616369">
        <w:rPr>
          <w:rStyle w:val="FootnoteReference"/>
          <w:rFonts w:ascii="Calibri" w:hAnsi="Calibri" w:cs="Calibri"/>
        </w:rPr>
        <w:footnoteReference w:id="9"/>
      </w:r>
      <w:r w:rsidR="00AE2237" w:rsidRPr="00AE2237">
        <w:rPr>
          <w:rFonts w:ascii="Calibri" w:hAnsi="Calibri" w:cs="Calibri"/>
          <w:sz w:val="20"/>
          <w:szCs w:val="20"/>
        </w:rPr>
        <w:t xml:space="preserve"> </w:t>
      </w:r>
      <w:r w:rsidR="00AE2237">
        <w:rPr>
          <w:rFonts w:ascii="Calibri" w:hAnsi="Calibri" w:cs="Calibri"/>
          <w:sz w:val="20"/>
          <w:szCs w:val="20"/>
        </w:rPr>
        <w:t>With the cultural significance of the Amarna site, The Amarna Project is a cornerstone which can conserve what remains and discover what is still yet to be found.</w:t>
      </w:r>
    </w:p>
    <w:p w14:paraId="4C7990A3" w14:textId="0F89BF7C" w:rsidR="00616369" w:rsidRDefault="0017315A" w:rsidP="0017315A">
      <w:pPr>
        <w:jc w:val="center"/>
        <w:rPr>
          <w:rFonts w:ascii="Calibri" w:hAnsi="Calibri" w:cs="Calibri"/>
        </w:rPr>
      </w:pPr>
      <w:r>
        <w:rPr>
          <w:rFonts w:ascii="Calibri" w:hAnsi="Calibri" w:cs="Calibri"/>
          <w:noProof/>
        </w:rPr>
        <w:drawing>
          <wp:inline distT="0" distB="0" distL="0" distR="0" wp14:anchorId="3283A4EE" wp14:editId="1034D733">
            <wp:extent cx="3581400" cy="2602526"/>
            <wp:effectExtent l="0" t="0" r="0" b="7620"/>
            <wp:docPr id="1314375654" name="Picture 3" descr="A stone with a group of peopl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4375654" name="Picture 3" descr="A stone with a group of people&#10;&#10;Description automatically generated with medium confidence"/>
                    <pic:cNvPicPr/>
                  </pic:nvPicPr>
                  <pic:blipFill>
                    <a:blip r:embed="rId9" cstate="print">
                      <a:extLst>
                        <a:ext uri="{28A0092B-C50C-407E-A947-70E740481C1C}">
                          <a14:useLocalDpi xmlns:a14="http://schemas.microsoft.com/office/drawing/2010/main" val="0"/>
                        </a:ext>
                      </a:extLst>
                    </a:blip>
                    <a:stretch>
                      <a:fillRect/>
                    </a:stretch>
                  </pic:blipFill>
                  <pic:spPr>
                    <a:xfrm>
                      <a:off x="0" y="0"/>
                      <a:ext cx="3591172" cy="2609627"/>
                    </a:xfrm>
                    <a:prstGeom prst="rect">
                      <a:avLst/>
                    </a:prstGeom>
                  </pic:spPr>
                </pic:pic>
              </a:graphicData>
            </a:graphic>
          </wp:inline>
        </w:drawing>
      </w:r>
    </w:p>
    <w:p w14:paraId="737F210E" w14:textId="46B7F11B" w:rsidR="0017315A" w:rsidRDefault="0017315A" w:rsidP="0017315A">
      <w:pPr>
        <w:jc w:val="center"/>
        <w:rPr>
          <w:rFonts w:ascii="Calibri" w:hAnsi="Calibri" w:cs="Calibri"/>
          <w:sz w:val="20"/>
          <w:szCs w:val="20"/>
        </w:rPr>
      </w:pPr>
      <w:r w:rsidRPr="0017315A">
        <w:rPr>
          <w:rFonts w:ascii="Calibri" w:hAnsi="Calibri" w:cs="Calibri"/>
          <w:sz w:val="20"/>
          <w:szCs w:val="20"/>
          <w:u w:val="single"/>
        </w:rPr>
        <w:t>Figure 3</w:t>
      </w:r>
      <w:r w:rsidRPr="0017315A">
        <w:rPr>
          <w:rFonts w:ascii="Calibri" w:hAnsi="Calibri" w:cs="Calibri"/>
          <w:sz w:val="20"/>
          <w:szCs w:val="20"/>
        </w:rPr>
        <w:t xml:space="preserve"> – Akhenaten, Nefertiti and Three Daughters under the Radiation Aten, limestone, ÄM 14145 </w:t>
      </w:r>
    </w:p>
    <w:p w14:paraId="2E993780" w14:textId="76630B91" w:rsidR="00F54538" w:rsidRDefault="00F54538" w:rsidP="002C7E72">
      <w:pPr>
        <w:rPr>
          <w:rFonts w:ascii="Calibri" w:hAnsi="Calibri" w:cs="Calibri"/>
        </w:rPr>
      </w:pPr>
      <w:r>
        <w:rPr>
          <w:rFonts w:ascii="Calibri" w:hAnsi="Calibri" w:cs="Calibri"/>
        </w:rPr>
        <w:t>The Amarna Project works with the Egyptian government and</w:t>
      </w:r>
      <w:r w:rsidR="006349D0">
        <w:rPr>
          <w:rFonts w:ascii="Calibri" w:hAnsi="Calibri" w:cs="Calibri"/>
        </w:rPr>
        <w:t xml:space="preserve"> Supreme Council of Antiquities</w:t>
      </w:r>
      <w:r>
        <w:rPr>
          <w:rFonts w:ascii="Calibri" w:hAnsi="Calibri" w:cs="Calibri"/>
        </w:rPr>
        <w:t xml:space="preserve"> to provide an educational springboard for curious </w:t>
      </w:r>
      <w:r w:rsidR="006349D0">
        <w:rPr>
          <w:rFonts w:ascii="Calibri" w:hAnsi="Calibri" w:cs="Calibri"/>
        </w:rPr>
        <w:t xml:space="preserve">minds to explore and learn about the </w:t>
      </w:r>
      <w:r w:rsidR="0017315A">
        <w:rPr>
          <w:rFonts w:ascii="Calibri" w:hAnsi="Calibri" w:cs="Calibri"/>
        </w:rPr>
        <w:t>30-year</w:t>
      </w:r>
      <w:r w:rsidR="006349D0">
        <w:rPr>
          <w:rFonts w:ascii="Calibri" w:hAnsi="Calibri" w:cs="Calibri"/>
        </w:rPr>
        <w:t xml:space="preserve"> period</w:t>
      </w:r>
      <w:r w:rsidR="004434FA">
        <w:rPr>
          <w:rFonts w:ascii="Calibri" w:hAnsi="Calibri" w:cs="Calibri"/>
        </w:rPr>
        <w:t xml:space="preserve"> of discord within the 18</w:t>
      </w:r>
      <w:r w:rsidR="004434FA" w:rsidRPr="004434FA">
        <w:rPr>
          <w:rFonts w:ascii="Calibri" w:hAnsi="Calibri" w:cs="Calibri"/>
          <w:vertAlign w:val="superscript"/>
        </w:rPr>
        <w:t>th</w:t>
      </w:r>
      <w:r w:rsidR="004434FA">
        <w:rPr>
          <w:rFonts w:ascii="Calibri" w:hAnsi="Calibri" w:cs="Calibri"/>
        </w:rPr>
        <w:t xml:space="preserve"> Dynasty.</w:t>
      </w:r>
      <w:r w:rsidR="00711AA6">
        <w:rPr>
          <w:rFonts w:ascii="Calibri" w:hAnsi="Calibri" w:cs="Calibri"/>
        </w:rPr>
        <w:t xml:space="preserve"> The Amarna Visitor Centre, which was opened in 2016 gives visitors the opportunity to interact with all parts of Amarna life. The centre tackles quandaries such as: What did they eat?  Why does the site look as it does? What was everyday life like? This gives non-academics a way to further push their </w:t>
      </w:r>
      <w:r w:rsidR="0017315A">
        <w:rPr>
          <w:rFonts w:ascii="Calibri" w:hAnsi="Calibri" w:cs="Calibri"/>
        </w:rPr>
        <w:t>knowledge and</w:t>
      </w:r>
      <w:r w:rsidR="00711AA6">
        <w:rPr>
          <w:rFonts w:ascii="Calibri" w:hAnsi="Calibri" w:cs="Calibri"/>
        </w:rPr>
        <w:t xml:space="preserve"> provide a means for more people to engross themselves in the rich history and culture of the city.</w:t>
      </w:r>
      <w:r w:rsidR="0017315A">
        <w:rPr>
          <w:rStyle w:val="FootnoteReference"/>
          <w:rFonts w:ascii="Calibri" w:hAnsi="Calibri" w:cs="Calibri"/>
        </w:rPr>
        <w:footnoteReference w:id="10"/>
      </w:r>
    </w:p>
    <w:p w14:paraId="0FDBCDFF" w14:textId="6273FFB6" w:rsidR="00AE2237" w:rsidRDefault="004434FA" w:rsidP="002C7E72">
      <w:pPr>
        <w:rPr>
          <w:rFonts w:ascii="Calibri" w:hAnsi="Calibri" w:cs="Calibri"/>
        </w:rPr>
      </w:pPr>
      <w:r>
        <w:rPr>
          <w:rFonts w:ascii="Calibri" w:hAnsi="Calibri" w:cs="Calibri"/>
        </w:rPr>
        <w:t xml:space="preserve">The legacy of the Amarna period is conserved by the outstanding work and exploration of the Amarna Project. The project has been able to provide a significant input into the broader cultural, educational, and historical importance of the site. Providing not just conservation, but </w:t>
      </w:r>
      <w:r w:rsidR="00711AA6">
        <w:rPr>
          <w:rFonts w:ascii="Calibri" w:hAnsi="Calibri" w:cs="Calibri"/>
        </w:rPr>
        <w:t>continued research</w:t>
      </w:r>
      <w:r>
        <w:rPr>
          <w:rFonts w:ascii="Calibri" w:hAnsi="Calibri" w:cs="Calibri"/>
        </w:rPr>
        <w:t xml:space="preserve"> into this period, </w:t>
      </w:r>
      <w:r w:rsidR="00AE2237">
        <w:rPr>
          <w:rFonts w:ascii="Calibri" w:hAnsi="Calibri" w:cs="Calibri"/>
        </w:rPr>
        <w:t xml:space="preserve">allowing </w:t>
      </w:r>
      <w:r>
        <w:rPr>
          <w:rFonts w:ascii="Calibri" w:hAnsi="Calibri" w:cs="Calibri"/>
        </w:rPr>
        <w:t xml:space="preserve">scholars and wider communities a way </w:t>
      </w:r>
      <w:r w:rsidR="00AE2237">
        <w:rPr>
          <w:rFonts w:ascii="Calibri" w:hAnsi="Calibri" w:cs="Calibri"/>
        </w:rPr>
        <w:t xml:space="preserve">to engage </w:t>
      </w:r>
      <w:r>
        <w:rPr>
          <w:rFonts w:ascii="Calibri" w:hAnsi="Calibri" w:cs="Calibri"/>
        </w:rPr>
        <w:t xml:space="preserve">with the past, present and future of Amarna, ensuring that the chaotic, but beautiful </w:t>
      </w:r>
      <w:r w:rsidR="00711AA6">
        <w:rPr>
          <w:rFonts w:ascii="Calibri" w:hAnsi="Calibri" w:cs="Calibri"/>
        </w:rPr>
        <w:t>chapter of Egypt’s ancient history</w:t>
      </w:r>
      <w:r w:rsidR="00AE2237">
        <w:rPr>
          <w:rFonts w:ascii="Calibri" w:hAnsi="Calibri" w:cs="Calibri"/>
        </w:rPr>
        <w:t xml:space="preserve"> remains.</w:t>
      </w:r>
    </w:p>
    <w:p w14:paraId="3AAEA4E3" w14:textId="4072F5F8" w:rsidR="00AE2237" w:rsidRPr="00A7306F" w:rsidRDefault="00AE2237" w:rsidP="002C7E72">
      <w:pPr>
        <w:rPr>
          <w:rFonts w:ascii="Calibri" w:hAnsi="Calibri" w:cs="Calibri"/>
          <w:u w:val="single"/>
        </w:rPr>
      </w:pPr>
      <w:r w:rsidRPr="00A7306F">
        <w:rPr>
          <w:rFonts w:ascii="Calibri" w:hAnsi="Calibri" w:cs="Calibri"/>
          <w:u w:val="single"/>
        </w:rPr>
        <w:lastRenderedPageBreak/>
        <w:t>Bibliography</w:t>
      </w:r>
    </w:p>
    <w:p w14:paraId="2E9D633A" w14:textId="55016556" w:rsidR="00AE2237" w:rsidRPr="00A7306F" w:rsidRDefault="00E24EA7" w:rsidP="002C7E72">
      <w:pPr>
        <w:rPr>
          <w:rFonts w:ascii="Calibri" w:hAnsi="Calibri" w:cs="Calibri"/>
        </w:rPr>
      </w:pPr>
      <w:r w:rsidRPr="00A7306F">
        <w:rPr>
          <w:rFonts w:ascii="Calibri" w:hAnsi="Calibri" w:cs="Calibri"/>
        </w:rPr>
        <w:t xml:space="preserve">Kemp, Barry, </w:t>
      </w:r>
      <w:r w:rsidRPr="00A7306F">
        <w:rPr>
          <w:rFonts w:ascii="Calibri" w:hAnsi="Calibri" w:cs="Calibri"/>
          <w:i/>
          <w:iCs/>
        </w:rPr>
        <w:t xml:space="preserve">The City of Akhenaten and Nefertiti: Amarna and its </w:t>
      </w:r>
      <w:proofErr w:type="gramStart"/>
      <w:r w:rsidRPr="00A7306F">
        <w:rPr>
          <w:rFonts w:ascii="Calibri" w:hAnsi="Calibri" w:cs="Calibri"/>
          <w:i/>
          <w:iCs/>
        </w:rPr>
        <w:t>People</w:t>
      </w:r>
      <w:r w:rsidRPr="00A7306F">
        <w:rPr>
          <w:rFonts w:ascii="Calibri" w:hAnsi="Calibri" w:cs="Calibri"/>
        </w:rPr>
        <w:t>,(</w:t>
      </w:r>
      <w:proofErr w:type="gramEnd"/>
      <w:r w:rsidRPr="00A7306F">
        <w:rPr>
          <w:rFonts w:ascii="Calibri" w:hAnsi="Calibri" w:cs="Calibri"/>
        </w:rPr>
        <w:t>Thames and Hudson Ltd, London, 2012)</w:t>
      </w:r>
    </w:p>
    <w:p w14:paraId="2A79999D" w14:textId="77777777" w:rsidR="00E24EA7" w:rsidRPr="00A7306F" w:rsidRDefault="00E24EA7" w:rsidP="00E24EA7">
      <w:pPr>
        <w:rPr>
          <w:rFonts w:ascii="Calibri" w:hAnsi="Calibri" w:cs="Calibri"/>
          <w:i/>
          <w:iCs/>
        </w:rPr>
      </w:pPr>
      <w:r w:rsidRPr="00A7306F">
        <w:rPr>
          <w:rFonts w:ascii="Calibri" w:hAnsi="Calibri" w:cs="Calibri"/>
        </w:rPr>
        <w:t>Seyfried, Friederike,</w:t>
      </w:r>
      <w:r w:rsidRPr="00A7306F">
        <w:rPr>
          <w:rFonts w:ascii="Calibri" w:hAnsi="Calibri" w:cs="Calibri"/>
          <w:i/>
          <w:iCs/>
        </w:rPr>
        <w:t xml:space="preserve"> In the Light of Amarna, 100 Years of the Nefertiti Discovery, (Michael Imhof Verlag, 2012)</w:t>
      </w:r>
    </w:p>
    <w:p w14:paraId="7F647CB6" w14:textId="77777777" w:rsidR="00E24EA7" w:rsidRPr="00A7306F" w:rsidRDefault="00E24EA7" w:rsidP="00E24EA7">
      <w:pPr>
        <w:rPr>
          <w:rFonts w:ascii="Calibri" w:hAnsi="Calibri" w:cs="Calibri"/>
        </w:rPr>
      </w:pPr>
      <w:r w:rsidRPr="00A7306F">
        <w:rPr>
          <w:rFonts w:ascii="Calibri" w:hAnsi="Calibri" w:cs="Calibri"/>
        </w:rPr>
        <w:t>Shaw, Ian</w:t>
      </w:r>
      <w:r w:rsidRPr="00A7306F">
        <w:rPr>
          <w:rFonts w:ascii="Calibri" w:hAnsi="Calibri" w:cs="Calibri"/>
          <w:i/>
          <w:iCs/>
        </w:rPr>
        <w:t>, The Oxford History of Ancient Egypt</w:t>
      </w:r>
      <w:r w:rsidRPr="00A7306F">
        <w:rPr>
          <w:rFonts w:ascii="Calibri" w:hAnsi="Calibri" w:cs="Calibri"/>
        </w:rPr>
        <w:t>, (Oxford University Press, 2000)</w:t>
      </w:r>
    </w:p>
    <w:p w14:paraId="29A258D3" w14:textId="77777777" w:rsidR="00E24EA7" w:rsidRPr="00A7306F" w:rsidRDefault="00E24EA7" w:rsidP="00E24EA7">
      <w:pPr>
        <w:rPr>
          <w:rFonts w:ascii="Calibri" w:hAnsi="Calibri" w:cs="Calibri"/>
          <w:color w:val="0F1111"/>
          <w:shd w:val="clear" w:color="auto" w:fill="FFFFFF"/>
        </w:rPr>
      </w:pPr>
      <w:r w:rsidRPr="00A7306F">
        <w:rPr>
          <w:rFonts w:ascii="Calibri" w:hAnsi="Calibri" w:cs="Calibri"/>
        </w:rPr>
        <w:t xml:space="preserve">Stevens, Anna, </w:t>
      </w:r>
      <w:r w:rsidRPr="00A7306F">
        <w:rPr>
          <w:rFonts w:ascii="Calibri" w:hAnsi="Calibri" w:cs="Calibri"/>
          <w:i/>
          <w:iCs/>
        </w:rPr>
        <w:t>Amarna: A Guide to the Ancient City of Akhenaten</w:t>
      </w:r>
      <w:r w:rsidRPr="00A7306F">
        <w:rPr>
          <w:rFonts w:ascii="Calibri" w:hAnsi="Calibri" w:cs="Calibri"/>
        </w:rPr>
        <w:t>, (</w:t>
      </w:r>
      <w:r w:rsidRPr="00A7306F">
        <w:rPr>
          <w:rFonts w:ascii="Calibri" w:hAnsi="Calibri" w:cs="Calibri"/>
          <w:color w:val="0F1111"/>
          <w:shd w:val="clear" w:color="auto" w:fill="FFFFFF"/>
        </w:rPr>
        <w:t>The American University in Cairo Press, Illustrated Edition, 2020)</w:t>
      </w:r>
    </w:p>
    <w:p w14:paraId="441C8AC3" w14:textId="0AA1BC1B" w:rsidR="00E24EA7" w:rsidRPr="00A7306F" w:rsidRDefault="00E24EA7" w:rsidP="00E24EA7">
      <w:pPr>
        <w:rPr>
          <w:rFonts w:ascii="Calibri" w:hAnsi="Calibri" w:cs="Calibri"/>
          <w:color w:val="000000"/>
          <w:shd w:val="clear" w:color="auto" w:fill="FFFFFF"/>
        </w:rPr>
      </w:pPr>
      <w:proofErr w:type="spellStart"/>
      <w:r w:rsidRPr="00A7306F">
        <w:rPr>
          <w:rFonts w:ascii="Calibri" w:hAnsi="Calibri" w:cs="Calibri"/>
          <w:color w:val="0F1111"/>
          <w:shd w:val="clear" w:color="auto" w:fill="FFFFFF"/>
        </w:rPr>
        <w:t>Laboury</w:t>
      </w:r>
      <w:proofErr w:type="spellEnd"/>
      <w:r w:rsidRPr="00A7306F">
        <w:rPr>
          <w:rFonts w:ascii="Calibri" w:hAnsi="Calibri" w:cs="Calibri"/>
          <w:color w:val="0F1111"/>
          <w:shd w:val="clear" w:color="auto" w:fill="FFFFFF"/>
        </w:rPr>
        <w:t xml:space="preserve">, Dimitri, </w:t>
      </w:r>
      <w:r w:rsidR="00A2000C" w:rsidRPr="00A7306F">
        <w:rPr>
          <w:rFonts w:ascii="Calibri" w:hAnsi="Calibri" w:cs="Calibri"/>
          <w:i/>
          <w:iCs/>
          <w:color w:val="0F1111"/>
          <w:shd w:val="clear" w:color="auto" w:fill="FFFFFF"/>
        </w:rPr>
        <w:t xml:space="preserve">Amarna Art, UCLA </w:t>
      </w:r>
      <w:proofErr w:type="spellStart"/>
      <w:r w:rsidR="00A2000C" w:rsidRPr="00A7306F">
        <w:rPr>
          <w:rFonts w:ascii="Calibri" w:hAnsi="Calibri" w:cs="Calibri"/>
          <w:i/>
          <w:iCs/>
          <w:color w:val="0F1111"/>
          <w:shd w:val="clear" w:color="auto" w:fill="FFFFFF"/>
        </w:rPr>
        <w:t>Encyclopeadia</w:t>
      </w:r>
      <w:proofErr w:type="spellEnd"/>
      <w:r w:rsidR="00A2000C" w:rsidRPr="00A7306F">
        <w:rPr>
          <w:rFonts w:ascii="Calibri" w:hAnsi="Calibri" w:cs="Calibri"/>
          <w:i/>
          <w:iCs/>
          <w:color w:val="0F1111"/>
          <w:shd w:val="clear" w:color="auto" w:fill="FFFFFF"/>
        </w:rPr>
        <w:t xml:space="preserve"> of Egyptology</w:t>
      </w:r>
      <w:r w:rsidR="00A2000C" w:rsidRPr="00A7306F">
        <w:rPr>
          <w:rFonts w:ascii="Calibri" w:hAnsi="Calibri" w:cs="Calibri"/>
          <w:color w:val="0F1111"/>
          <w:shd w:val="clear" w:color="auto" w:fill="FFFFFF"/>
        </w:rPr>
        <w:t xml:space="preserve">, 1 (1), </w:t>
      </w:r>
      <w:hyperlink r:id="rId10" w:history="1">
        <w:r w:rsidR="00A2000C" w:rsidRPr="00A7306F">
          <w:rPr>
            <w:rStyle w:val="Hyperlink"/>
            <w:rFonts w:ascii="Calibri" w:hAnsi="Calibri" w:cs="Calibri"/>
            <w:shd w:val="clear" w:color="auto" w:fill="FFFFFF"/>
          </w:rPr>
          <w:t>https://escholarship.org/uc/item/0n21d4bm</w:t>
        </w:r>
      </w:hyperlink>
      <w:r w:rsidR="00A2000C" w:rsidRPr="00A7306F">
        <w:rPr>
          <w:rFonts w:ascii="Calibri" w:hAnsi="Calibri" w:cs="Calibri"/>
          <w:color w:val="000000"/>
          <w:shd w:val="clear" w:color="auto" w:fill="FFFFFF"/>
        </w:rPr>
        <w:t xml:space="preserve"> (Accessed 04/04/2024)</w:t>
      </w:r>
    </w:p>
    <w:p w14:paraId="7C95F2D7" w14:textId="6FE349C4" w:rsidR="00A2000C" w:rsidRPr="00A7306F" w:rsidRDefault="00A2000C" w:rsidP="00E24EA7">
      <w:pPr>
        <w:rPr>
          <w:rFonts w:ascii="Calibri" w:hAnsi="Calibri" w:cs="Calibri"/>
          <w:color w:val="000000"/>
          <w:shd w:val="clear" w:color="auto" w:fill="FFFFFF"/>
        </w:rPr>
      </w:pPr>
      <w:r w:rsidRPr="00A7306F">
        <w:rPr>
          <w:rFonts w:ascii="Calibri" w:hAnsi="Calibri" w:cs="Calibri"/>
          <w:color w:val="000000"/>
          <w:shd w:val="clear" w:color="auto" w:fill="FFFFFF"/>
        </w:rPr>
        <w:t xml:space="preserve">The Amarna Project, </w:t>
      </w:r>
      <w:hyperlink r:id="rId11" w:history="1">
        <w:r w:rsidRPr="00A7306F">
          <w:rPr>
            <w:rStyle w:val="Hyperlink"/>
            <w:rFonts w:ascii="Calibri" w:hAnsi="Calibri" w:cs="Calibri"/>
            <w:shd w:val="clear" w:color="auto" w:fill="FFFFFF"/>
          </w:rPr>
          <w:t>https://www.amarnaproject.com/index.shtml</w:t>
        </w:r>
      </w:hyperlink>
      <w:r w:rsidRPr="00A7306F">
        <w:rPr>
          <w:rFonts w:ascii="Calibri" w:hAnsi="Calibri" w:cs="Calibri"/>
          <w:color w:val="000000"/>
          <w:shd w:val="clear" w:color="auto" w:fill="FFFFFF"/>
        </w:rPr>
        <w:t>, (</w:t>
      </w:r>
      <w:r w:rsidR="00A7306F" w:rsidRPr="00A7306F">
        <w:rPr>
          <w:rFonts w:ascii="Calibri" w:hAnsi="Calibri" w:cs="Calibri"/>
          <w:color w:val="000000"/>
          <w:shd w:val="clear" w:color="auto" w:fill="FFFFFF"/>
        </w:rPr>
        <w:t>Accessed</w:t>
      </w:r>
      <w:r w:rsidRPr="00A7306F">
        <w:rPr>
          <w:rFonts w:ascii="Calibri" w:hAnsi="Calibri" w:cs="Calibri"/>
          <w:color w:val="000000"/>
          <w:shd w:val="clear" w:color="auto" w:fill="FFFFFF"/>
        </w:rPr>
        <w:t xml:space="preserve"> 04/04/2024)</w:t>
      </w:r>
    </w:p>
    <w:p w14:paraId="16508D43" w14:textId="77777777" w:rsidR="00A2000C" w:rsidRPr="00A7306F" w:rsidRDefault="00A2000C" w:rsidP="00E24EA7">
      <w:pPr>
        <w:rPr>
          <w:rFonts w:ascii="Calibri" w:hAnsi="Calibri" w:cs="Calibri"/>
          <w:color w:val="000000"/>
          <w:shd w:val="clear" w:color="auto" w:fill="FFFFFF"/>
        </w:rPr>
      </w:pPr>
    </w:p>
    <w:p w14:paraId="057AE315" w14:textId="5A2970EC" w:rsidR="00A2000C" w:rsidRPr="00A7306F" w:rsidRDefault="00A2000C" w:rsidP="00E24EA7">
      <w:pPr>
        <w:rPr>
          <w:rFonts w:ascii="Calibri" w:hAnsi="Calibri" w:cs="Calibri"/>
          <w:color w:val="000000"/>
          <w:u w:val="single"/>
          <w:shd w:val="clear" w:color="auto" w:fill="FFFFFF"/>
        </w:rPr>
      </w:pPr>
      <w:r w:rsidRPr="00A7306F">
        <w:rPr>
          <w:rFonts w:ascii="Calibri" w:hAnsi="Calibri" w:cs="Calibri"/>
          <w:color w:val="000000"/>
          <w:u w:val="single"/>
          <w:shd w:val="clear" w:color="auto" w:fill="FFFFFF"/>
        </w:rPr>
        <w:t>Figure 1</w:t>
      </w:r>
    </w:p>
    <w:p w14:paraId="185FA92D" w14:textId="68BFE403" w:rsidR="00A2000C" w:rsidRPr="00A7306F" w:rsidRDefault="00A2000C" w:rsidP="00E24EA7">
      <w:pPr>
        <w:rPr>
          <w:rFonts w:ascii="Calibri" w:hAnsi="Calibri" w:cs="Calibri"/>
          <w:color w:val="000000"/>
          <w:shd w:val="clear" w:color="auto" w:fill="FFFFFF"/>
        </w:rPr>
      </w:pPr>
      <w:r w:rsidRPr="00A7306F">
        <w:rPr>
          <w:rFonts w:ascii="Calibri" w:hAnsi="Calibri" w:cs="Calibri"/>
          <w:color w:val="0F1111"/>
          <w:shd w:val="clear" w:color="auto" w:fill="FFFFFF"/>
        </w:rPr>
        <w:t xml:space="preserve">The Head of Akhenaten, gypsum paste, </w:t>
      </w:r>
      <w:r w:rsidRPr="00A7306F">
        <w:rPr>
          <w:rFonts w:ascii="Calibri" w:hAnsi="Calibri" w:cs="Calibri"/>
        </w:rPr>
        <w:t>object number 14130</w:t>
      </w:r>
      <w:r w:rsidR="00A7306F" w:rsidRPr="00A7306F">
        <w:rPr>
          <w:rFonts w:ascii="Calibri" w:hAnsi="Calibri" w:cs="Calibri"/>
        </w:rPr>
        <w:t xml:space="preserve">, 2017, </w:t>
      </w:r>
      <w:hyperlink r:id="rId12" w:history="1">
        <w:r w:rsidR="00A7306F" w:rsidRPr="00A7306F">
          <w:rPr>
            <w:rStyle w:val="Hyperlink"/>
            <w:rFonts w:ascii="Calibri" w:hAnsi="Calibri" w:cs="Calibri"/>
          </w:rPr>
          <w:t>https://www.amarnaproject.com/pages/recent_projects/material_culture/statuary/akhenaten.shtml</w:t>
        </w:r>
      </w:hyperlink>
      <w:r w:rsidR="00A7306F" w:rsidRPr="00A7306F">
        <w:rPr>
          <w:rFonts w:ascii="Calibri" w:hAnsi="Calibri" w:cs="Calibri"/>
        </w:rPr>
        <w:t xml:space="preserve">  (</w:t>
      </w:r>
      <w:r w:rsidR="00A7306F" w:rsidRPr="00A7306F">
        <w:rPr>
          <w:rFonts w:ascii="Calibri" w:hAnsi="Calibri" w:cs="Calibri"/>
          <w:color w:val="000000"/>
          <w:shd w:val="clear" w:color="auto" w:fill="FFFFFF"/>
        </w:rPr>
        <w:t>Accessed 04/04/2024)</w:t>
      </w:r>
    </w:p>
    <w:p w14:paraId="5F6D4D1D" w14:textId="77777777" w:rsidR="00A7306F" w:rsidRPr="00A7306F" w:rsidRDefault="00A7306F" w:rsidP="00E24EA7">
      <w:pPr>
        <w:rPr>
          <w:rFonts w:ascii="Calibri" w:hAnsi="Calibri" w:cs="Calibri"/>
          <w:color w:val="000000"/>
          <w:shd w:val="clear" w:color="auto" w:fill="FFFFFF"/>
        </w:rPr>
      </w:pPr>
    </w:p>
    <w:p w14:paraId="13EE9FD2" w14:textId="4446A03D" w:rsidR="00A7306F" w:rsidRPr="00A7306F" w:rsidRDefault="00A7306F" w:rsidP="00E24EA7">
      <w:pPr>
        <w:rPr>
          <w:rFonts w:ascii="Calibri" w:hAnsi="Calibri" w:cs="Calibri"/>
          <w:color w:val="000000"/>
          <w:u w:val="single"/>
          <w:shd w:val="clear" w:color="auto" w:fill="FFFFFF"/>
        </w:rPr>
      </w:pPr>
      <w:r w:rsidRPr="00A7306F">
        <w:rPr>
          <w:rFonts w:ascii="Calibri" w:hAnsi="Calibri" w:cs="Calibri"/>
          <w:color w:val="000000"/>
          <w:u w:val="single"/>
          <w:shd w:val="clear" w:color="auto" w:fill="FFFFFF"/>
        </w:rPr>
        <w:t>Figure 2</w:t>
      </w:r>
    </w:p>
    <w:p w14:paraId="555A5748" w14:textId="799B508D" w:rsidR="00A7306F" w:rsidRPr="00A7306F" w:rsidRDefault="00A7306F" w:rsidP="00E24EA7">
      <w:pPr>
        <w:rPr>
          <w:rFonts w:ascii="Calibri" w:hAnsi="Calibri" w:cs="Calibri"/>
        </w:rPr>
      </w:pPr>
      <w:r w:rsidRPr="00A7306F">
        <w:rPr>
          <w:rFonts w:ascii="Calibri" w:hAnsi="Calibri" w:cs="Calibri"/>
          <w:color w:val="000000"/>
          <w:shd w:val="clear" w:color="auto" w:fill="FFFFFF"/>
        </w:rPr>
        <w:t xml:space="preserve">Blue-painted storage jar, clay, </w:t>
      </w:r>
      <w:r w:rsidRPr="00A7306F">
        <w:rPr>
          <w:rFonts w:ascii="Calibri" w:hAnsi="Calibri" w:cs="Calibri"/>
        </w:rPr>
        <w:t xml:space="preserve">object number 14061, 2017, </w:t>
      </w:r>
      <w:hyperlink r:id="rId13" w:history="1">
        <w:r w:rsidRPr="00A7306F">
          <w:rPr>
            <w:rStyle w:val="Hyperlink"/>
            <w:rFonts w:ascii="Calibri" w:hAnsi="Calibri" w:cs="Calibri"/>
          </w:rPr>
          <w:t>https://www.amarnaproject.com/pages/recent_projects/material_culture/new_kingdom.shtml</w:t>
        </w:r>
      </w:hyperlink>
      <w:r w:rsidRPr="00A7306F">
        <w:rPr>
          <w:rFonts w:ascii="Calibri" w:hAnsi="Calibri" w:cs="Calibri"/>
        </w:rPr>
        <w:t xml:space="preserve"> (Accessed 04/04/2024)</w:t>
      </w:r>
    </w:p>
    <w:p w14:paraId="5CF4EE23" w14:textId="77777777" w:rsidR="00A7306F" w:rsidRPr="00A7306F" w:rsidRDefault="00A7306F" w:rsidP="00E24EA7">
      <w:pPr>
        <w:rPr>
          <w:rFonts w:ascii="Calibri" w:hAnsi="Calibri" w:cs="Calibri"/>
        </w:rPr>
      </w:pPr>
    </w:p>
    <w:p w14:paraId="025DCE5B" w14:textId="7727139D" w:rsidR="00A7306F" w:rsidRPr="00A7306F" w:rsidRDefault="00A7306F" w:rsidP="00E24EA7">
      <w:pPr>
        <w:rPr>
          <w:rFonts w:ascii="Calibri" w:hAnsi="Calibri" w:cs="Calibri"/>
          <w:u w:val="single"/>
        </w:rPr>
      </w:pPr>
      <w:r w:rsidRPr="00A7306F">
        <w:rPr>
          <w:rFonts w:ascii="Calibri" w:hAnsi="Calibri" w:cs="Calibri"/>
          <w:u w:val="single"/>
        </w:rPr>
        <w:t>Figure 3</w:t>
      </w:r>
    </w:p>
    <w:p w14:paraId="76B2708F" w14:textId="4CF23A5B" w:rsidR="00A7306F" w:rsidRPr="00A7306F" w:rsidRDefault="00A7306F" w:rsidP="00E24EA7">
      <w:pPr>
        <w:rPr>
          <w:rFonts w:ascii="Calibri" w:hAnsi="Calibri" w:cs="Calibri"/>
          <w:color w:val="0F1111"/>
          <w:shd w:val="clear" w:color="auto" w:fill="FFFFFF"/>
        </w:rPr>
      </w:pPr>
      <w:r w:rsidRPr="00A7306F">
        <w:rPr>
          <w:rFonts w:ascii="Calibri" w:hAnsi="Calibri" w:cs="Calibri"/>
        </w:rPr>
        <w:t xml:space="preserve">Akhenaten, Nefertiti and Three Daughters under the Radiation Aten, limestone, </w:t>
      </w:r>
      <w:proofErr w:type="spellStart"/>
      <w:r w:rsidRPr="00A7306F">
        <w:rPr>
          <w:rStyle w:val="Strong"/>
          <w:rFonts w:ascii="Calibri" w:hAnsi="Calibri" w:cs="Calibri"/>
          <w:b w:val="0"/>
          <w:bCs w:val="0"/>
          <w:color w:val="000000"/>
          <w:shd w:val="clear" w:color="auto" w:fill="FFFFFF"/>
        </w:rPr>
        <w:t>Ägyptisches</w:t>
      </w:r>
      <w:proofErr w:type="spellEnd"/>
      <w:r w:rsidRPr="00A7306F">
        <w:rPr>
          <w:rStyle w:val="Strong"/>
          <w:rFonts w:ascii="Calibri" w:hAnsi="Calibri" w:cs="Calibri"/>
          <w:b w:val="0"/>
          <w:bCs w:val="0"/>
          <w:color w:val="000000"/>
          <w:shd w:val="clear" w:color="auto" w:fill="FFFFFF"/>
        </w:rPr>
        <w:t xml:space="preserve"> Museum und </w:t>
      </w:r>
      <w:proofErr w:type="spellStart"/>
      <w:r w:rsidRPr="00A7306F">
        <w:rPr>
          <w:rStyle w:val="Strong"/>
          <w:rFonts w:ascii="Calibri" w:hAnsi="Calibri" w:cs="Calibri"/>
          <w:b w:val="0"/>
          <w:bCs w:val="0"/>
          <w:color w:val="000000"/>
          <w:shd w:val="clear" w:color="auto" w:fill="FFFFFF"/>
        </w:rPr>
        <w:t>Papyrussammlung</w:t>
      </w:r>
      <w:proofErr w:type="spellEnd"/>
      <w:r w:rsidRPr="00A7306F">
        <w:rPr>
          <w:rStyle w:val="Strong"/>
          <w:rFonts w:ascii="Calibri" w:hAnsi="Calibri" w:cs="Calibri"/>
          <w:b w:val="0"/>
          <w:bCs w:val="0"/>
          <w:color w:val="000000"/>
          <w:shd w:val="clear" w:color="auto" w:fill="FFFFFF"/>
        </w:rPr>
        <w:t xml:space="preserve"> (Egyptian Museum and Papyrus Collection), </w:t>
      </w:r>
      <w:r w:rsidRPr="00A7306F">
        <w:rPr>
          <w:rFonts w:ascii="Calibri" w:hAnsi="Calibri" w:cs="Calibri"/>
        </w:rPr>
        <w:t xml:space="preserve">ÄM 14145, </w:t>
      </w:r>
      <w:hyperlink r:id="rId14" w:history="1">
        <w:r w:rsidRPr="00A7306F">
          <w:rPr>
            <w:rStyle w:val="Hyperlink"/>
            <w:rFonts w:ascii="Calibri" w:hAnsi="Calibri" w:cs="Calibri"/>
          </w:rPr>
          <w:t>https://www.smb.museum/en/museums-institutions/neues-museum/online-offers/detail/looked-at-house-altar-featuring-akhenaten-nefertiti-and-three-of-their-daughters-under-the-solar-aten/</w:t>
        </w:r>
      </w:hyperlink>
      <w:r w:rsidRPr="00A7306F">
        <w:rPr>
          <w:rFonts w:ascii="Calibri" w:hAnsi="Calibri" w:cs="Calibri"/>
        </w:rPr>
        <w:t xml:space="preserve"> (Accessed 04/04/2024)</w:t>
      </w:r>
    </w:p>
    <w:p w14:paraId="4B497AC6" w14:textId="77777777" w:rsidR="00E24EA7" w:rsidRPr="00E24EA7" w:rsidRDefault="00E24EA7" w:rsidP="002C7E72">
      <w:pPr>
        <w:rPr>
          <w:rFonts w:ascii="Calibri" w:hAnsi="Calibri" w:cs="Calibri"/>
        </w:rPr>
      </w:pPr>
    </w:p>
    <w:sectPr w:rsidR="00E24EA7" w:rsidRPr="00E24EA7">
      <w:head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0BA5BE8" w14:textId="77777777" w:rsidR="00934924" w:rsidRDefault="00934924" w:rsidP="002C7E72">
      <w:pPr>
        <w:spacing w:after="0" w:line="240" w:lineRule="auto"/>
      </w:pPr>
      <w:r>
        <w:separator/>
      </w:r>
    </w:p>
  </w:endnote>
  <w:endnote w:type="continuationSeparator" w:id="0">
    <w:p w14:paraId="14DD2348" w14:textId="77777777" w:rsidR="00934924" w:rsidRDefault="00934924" w:rsidP="002C7E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FE9EC87" w14:textId="77777777" w:rsidR="00934924" w:rsidRDefault="00934924" w:rsidP="002C7E72">
      <w:pPr>
        <w:spacing w:after="0" w:line="240" w:lineRule="auto"/>
      </w:pPr>
      <w:r>
        <w:separator/>
      </w:r>
    </w:p>
  </w:footnote>
  <w:footnote w:type="continuationSeparator" w:id="0">
    <w:p w14:paraId="522E8102" w14:textId="77777777" w:rsidR="00934924" w:rsidRDefault="00934924" w:rsidP="002C7E72">
      <w:pPr>
        <w:spacing w:after="0" w:line="240" w:lineRule="auto"/>
      </w:pPr>
      <w:r>
        <w:continuationSeparator/>
      </w:r>
    </w:p>
  </w:footnote>
  <w:footnote w:id="1">
    <w:p w14:paraId="0AEF9317" w14:textId="2427F4F7" w:rsidR="002F0434" w:rsidRPr="00F827A8" w:rsidRDefault="002F0434">
      <w:pPr>
        <w:pStyle w:val="FootnoteText"/>
        <w:rPr>
          <w:rFonts w:ascii="Calibri" w:hAnsi="Calibri" w:cs="Calibri"/>
          <w:sz w:val="18"/>
          <w:szCs w:val="18"/>
          <w:lang w:val="en-US"/>
        </w:rPr>
      </w:pPr>
      <w:r w:rsidRPr="00F827A8">
        <w:rPr>
          <w:rStyle w:val="FootnoteReference"/>
          <w:rFonts w:ascii="Calibri" w:hAnsi="Calibri" w:cs="Calibri"/>
          <w:sz w:val="18"/>
          <w:szCs w:val="18"/>
        </w:rPr>
        <w:footnoteRef/>
      </w:r>
      <w:r w:rsidRPr="00F827A8">
        <w:rPr>
          <w:rFonts w:ascii="Calibri" w:hAnsi="Calibri" w:cs="Calibri"/>
          <w:sz w:val="18"/>
          <w:szCs w:val="18"/>
        </w:rPr>
        <w:t xml:space="preserve"> Anna Stevens, </w:t>
      </w:r>
      <w:r w:rsidRPr="00F827A8">
        <w:rPr>
          <w:rFonts w:ascii="Calibri" w:hAnsi="Calibri" w:cs="Calibri"/>
          <w:i/>
          <w:iCs/>
          <w:sz w:val="18"/>
          <w:szCs w:val="18"/>
        </w:rPr>
        <w:t xml:space="preserve">Amarna: A Guide </w:t>
      </w:r>
      <w:r w:rsidR="00EF4178" w:rsidRPr="00F827A8">
        <w:rPr>
          <w:rFonts w:ascii="Calibri" w:hAnsi="Calibri" w:cs="Calibri"/>
          <w:i/>
          <w:iCs/>
          <w:sz w:val="18"/>
          <w:szCs w:val="18"/>
        </w:rPr>
        <w:t>to</w:t>
      </w:r>
      <w:r w:rsidRPr="00F827A8">
        <w:rPr>
          <w:rFonts w:ascii="Calibri" w:hAnsi="Calibri" w:cs="Calibri"/>
          <w:i/>
          <w:iCs/>
          <w:sz w:val="18"/>
          <w:szCs w:val="18"/>
        </w:rPr>
        <w:t xml:space="preserve"> The Ancient City of Akhenaten</w:t>
      </w:r>
      <w:r w:rsidRPr="00F827A8">
        <w:rPr>
          <w:rFonts w:ascii="Calibri" w:hAnsi="Calibri" w:cs="Calibri"/>
          <w:sz w:val="18"/>
          <w:szCs w:val="18"/>
        </w:rPr>
        <w:t>, 2020, p.20</w:t>
      </w:r>
    </w:p>
  </w:footnote>
  <w:footnote w:id="2">
    <w:p w14:paraId="4A430D3A" w14:textId="3E1A7666" w:rsidR="00AD1FC8" w:rsidRPr="00F827A8" w:rsidRDefault="00AD1FC8">
      <w:pPr>
        <w:pStyle w:val="FootnoteText"/>
        <w:rPr>
          <w:rFonts w:ascii="Calibri" w:hAnsi="Calibri" w:cs="Calibri"/>
          <w:sz w:val="18"/>
          <w:szCs w:val="18"/>
          <w:lang w:val="en-US"/>
        </w:rPr>
      </w:pPr>
      <w:r w:rsidRPr="00F827A8">
        <w:rPr>
          <w:rStyle w:val="FootnoteReference"/>
          <w:rFonts w:ascii="Calibri" w:hAnsi="Calibri" w:cs="Calibri"/>
          <w:sz w:val="18"/>
          <w:szCs w:val="18"/>
        </w:rPr>
        <w:footnoteRef/>
      </w:r>
      <w:r w:rsidRPr="00F827A8">
        <w:rPr>
          <w:rFonts w:ascii="Calibri" w:hAnsi="Calibri" w:cs="Calibri"/>
          <w:sz w:val="18"/>
          <w:szCs w:val="18"/>
        </w:rPr>
        <w:t xml:space="preserve"> Barry Kemp, </w:t>
      </w:r>
      <w:r w:rsidRPr="00F827A8">
        <w:rPr>
          <w:rFonts w:ascii="Calibri" w:hAnsi="Calibri" w:cs="Calibri"/>
          <w:i/>
          <w:iCs/>
          <w:sz w:val="18"/>
          <w:szCs w:val="18"/>
        </w:rPr>
        <w:t>The City of Akhenaten and Nefertiti: Amarna and its People</w:t>
      </w:r>
      <w:r w:rsidRPr="00F827A8">
        <w:rPr>
          <w:rFonts w:ascii="Calibri" w:hAnsi="Calibri" w:cs="Calibri"/>
          <w:sz w:val="18"/>
          <w:szCs w:val="18"/>
        </w:rPr>
        <w:t>, 2012, p.</w:t>
      </w:r>
      <w:r w:rsidRPr="00F827A8">
        <w:rPr>
          <w:rFonts w:ascii="Calibri" w:hAnsi="Calibri" w:cs="Calibri"/>
          <w:sz w:val="18"/>
          <w:szCs w:val="18"/>
          <w:lang w:val="en-US"/>
        </w:rPr>
        <w:t>8-10</w:t>
      </w:r>
    </w:p>
  </w:footnote>
  <w:footnote w:id="3">
    <w:p w14:paraId="35C4965C" w14:textId="4DBF3BAE" w:rsidR="00EF4178" w:rsidRPr="00F827A8" w:rsidRDefault="00EF4178">
      <w:pPr>
        <w:pStyle w:val="FootnoteText"/>
        <w:rPr>
          <w:rFonts w:ascii="Calibri" w:hAnsi="Calibri" w:cs="Calibri"/>
          <w:sz w:val="18"/>
          <w:szCs w:val="18"/>
        </w:rPr>
      </w:pPr>
      <w:r w:rsidRPr="00F827A8">
        <w:rPr>
          <w:rStyle w:val="FootnoteReference"/>
          <w:rFonts w:ascii="Calibri" w:hAnsi="Calibri" w:cs="Calibri"/>
          <w:sz w:val="18"/>
          <w:szCs w:val="18"/>
        </w:rPr>
        <w:footnoteRef/>
      </w:r>
      <w:r w:rsidRPr="00F827A8">
        <w:rPr>
          <w:rFonts w:ascii="Calibri" w:hAnsi="Calibri" w:cs="Calibri"/>
          <w:sz w:val="18"/>
          <w:szCs w:val="18"/>
        </w:rPr>
        <w:t xml:space="preserve"> Anna Stevens, </w:t>
      </w:r>
      <w:r w:rsidRPr="00F827A8">
        <w:rPr>
          <w:rFonts w:ascii="Calibri" w:hAnsi="Calibri" w:cs="Calibri"/>
          <w:i/>
          <w:iCs/>
          <w:sz w:val="18"/>
          <w:szCs w:val="18"/>
        </w:rPr>
        <w:t>Amarna: A Guide to The Ancient City of Akhenaten</w:t>
      </w:r>
      <w:r w:rsidRPr="00F827A8">
        <w:rPr>
          <w:rFonts w:ascii="Calibri" w:hAnsi="Calibri" w:cs="Calibri"/>
          <w:sz w:val="18"/>
          <w:szCs w:val="18"/>
        </w:rPr>
        <w:t>, 2020, p.13</w:t>
      </w:r>
    </w:p>
  </w:footnote>
  <w:footnote w:id="4">
    <w:p w14:paraId="181BF66F" w14:textId="190CA0FA" w:rsidR="00EF4178" w:rsidRPr="00F827A8" w:rsidRDefault="00EF4178">
      <w:pPr>
        <w:pStyle w:val="FootnoteText"/>
        <w:rPr>
          <w:rFonts w:ascii="Calibri" w:hAnsi="Calibri" w:cs="Calibri"/>
          <w:sz w:val="18"/>
          <w:szCs w:val="18"/>
        </w:rPr>
      </w:pPr>
      <w:r w:rsidRPr="00F827A8">
        <w:rPr>
          <w:rStyle w:val="FootnoteReference"/>
          <w:rFonts w:ascii="Calibri" w:hAnsi="Calibri" w:cs="Calibri"/>
          <w:sz w:val="18"/>
          <w:szCs w:val="18"/>
        </w:rPr>
        <w:footnoteRef/>
      </w:r>
      <w:r w:rsidRPr="00F827A8">
        <w:rPr>
          <w:rFonts w:ascii="Calibri" w:hAnsi="Calibri" w:cs="Calibri"/>
          <w:sz w:val="18"/>
          <w:szCs w:val="18"/>
        </w:rPr>
        <w:t xml:space="preserve"> </w:t>
      </w:r>
      <w:r w:rsidR="00E24EA7">
        <w:rPr>
          <w:rFonts w:ascii="Calibri" w:hAnsi="Calibri" w:cs="Calibri"/>
          <w:sz w:val="18"/>
          <w:szCs w:val="18"/>
        </w:rPr>
        <w:t xml:space="preserve">Friederick Seyfried, </w:t>
      </w:r>
      <w:r w:rsidRPr="00F827A8">
        <w:rPr>
          <w:rFonts w:ascii="Calibri" w:hAnsi="Calibri" w:cs="Calibri"/>
          <w:sz w:val="18"/>
          <w:szCs w:val="18"/>
        </w:rPr>
        <w:t xml:space="preserve">Michael Imhof Verlag, Mariana Jung, </w:t>
      </w:r>
      <w:r w:rsidRPr="00F827A8">
        <w:rPr>
          <w:rFonts w:ascii="Calibri" w:hAnsi="Calibri" w:cs="Calibri"/>
          <w:i/>
          <w:iCs/>
          <w:sz w:val="18"/>
          <w:szCs w:val="18"/>
        </w:rPr>
        <w:t xml:space="preserve">In the Light of Amarna: 100 Years of the Nefertiti </w:t>
      </w:r>
      <w:r w:rsidR="00E40EA7" w:rsidRPr="00F827A8">
        <w:rPr>
          <w:rFonts w:ascii="Calibri" w:hAnsi="Calibri" w:cs="Calibri"/>
          <w:i/>
          <w:iCs/>
          <w:sz w:val="18"/>
          <w:szCs w:val="18"/>
        </w:rPr>
        <w:t>Discovery</w:t>
      </w:r>
      <w:r w:rsidR="00E40EA7" w:rsidRPr="00F827A8">
        <w:rPr>
          <w:rFonts w:ascii="Calibri" w:hAnsi="Calibri" w:cs="Calibri"/>
          <w:sz w:val="18"/>
          <w:szCs w:val="18"/>
        </w:rPr>
        <w:t>, 2012, p.426</w:t>
      </w:r>
    </w:p>
  </w:footnote>
  <w:footnote w:id="5">
    <w:p w14:paraId="4CDBB52D" w14:textId="7C8F802F" w:rsidR="00E519D2" w:rsidRPr="00F827A8" w:rsidRDefault="00E519D2">
      <w:pPr>
        <w:pStyle w:val="FootnoteText"/>
        <w:rPr>
          <w:rFonts w:ascii="Calibri" w:hAnsi="Calibri" w:cs="Calibri"/>
          <w:sz w:val="18"/>
          <w:szCs w:val="18"/>
        </w:rPr>
      </w:pPr>
      <w:r w:rsidRPr="00F827A8">
        <w:rPr>
          <w:rStyle w:val="FootnoteReference"/>
          <w:rFonts w:ascii="Calibri" w:hAnsi="Calibri" w:cs="Calibri"/>
          <w:sz w:val="18"/>
          <w:szCs w:val="18"/>
        </w:rPr>
        <w:footnoteRef/>
      </w:r>
      <w:r w:rsidRPr="00F827A8">
        <w:rPr>
          <w:rFonts w:ascii="Calibri" w:hAnsi="Calibri" w:cs="Calibri"/>
          <w:sz w:val="18"/>
          <w:szCs w:val="18"/>
        </w:rPr>
        <w:t xml:space="preserve"> </w:t>
      </w:r>
      <w:r w:rsidR="006A601C" w:rsidRPr="00F827A8">
        <w:rPr>
          <w:rFonts w:ascii="Calibri" w:hAnsi="Calibri" w:cs="Calibri"/>
          <w:sz w:val="18"/>
          <w:szCs w:val="18"/>
        </w:rPr>
        <w:t xml:space="preserve">Figure 1, </w:t>
      </w:r>
      <w:r w:rsidRPr="00F827A8">
        <w:rPr>
          <w:rFonts w:ascii="Calibri" w:hAnsi="Calibri" w:cs="Calibri"/>
          <w:sz w:val="18"/>
          <w:szCs w:val="18"/>
        </w:rPr>
        <w:t>The Amarna Project, The Head of Akhenaten,</w:t>
      </w:r>
      <w:r w:rsidR="006A601C" w:rsidRPr="00F827A8">
        <w:rPr>
          <w:rFonts w:ascii="Calibri" w:hAnsi="Calibri" w:cs="Calibri"/>
          <w:sz w:val="18"/>
          <w:szCs w:val="18"/>
        </w:rPr>
        <w:t xml:space="preserve"> object number 14130,</w:t>
      </w:r>
      <w:r w:rsidRPr="00F827A8">
        <w:rPr>
          <w:rFonts w:ascii="Calibri" w:hAnsi="Calibri" w:cs="Calibri"/>
          <w:sz w:val="18"/>
          <w:szCs w:val="18"/>
        </w:rPr>
        <w:t xml:space="preserve"> 2017</w:t>
      </w:r>
    </w:p>
  </w:footnote>
  <w:footnote w:id="6">
    <w:p w14:paraId="531C4886" w14:textId="25810A47" w:rsidR="00E519D2" w:rsidRDefault="00E519D2">
      <w:pPr>
        <w:pStyle w:val="FootnoteText"/>
      </w:pPr>
      <w:r w:rsidRPr="00F827A8">
        <w:rPr>
          <w:rStyle w:val="FootnoteReference"/>
          <w:rFonts w:ascii="Calibri" w:hAnsi="Calibri" w:cs="Calibri"/>
          <w:sz w:val="18"/>
          <w:szCs w:val="18"/>
        </w:rPr>
        <w:footnoteRef/>
      </w:r>
      <w:r w:rsidR="006A601C" w:rsidRPr="00F827A8">
        <w:rPr>
          <w:rFonts w:ascii="Calibri" w:hAnsi="Calibri" w:cs="Calibri"/>
          <w:sz w:val="18"/>
          <w:szCs w:val="18"/>
        </w:rPr>
        <w:t xml:space="preserve"> Figure 2, </w:t>
      </w:r>
      <w:r w:rsidRPr="00F827A8">
        <w:rPr>
          <w:rFonts w:ascii="Calibri" w:hAnsi="Calibri" w:cs="Calibri"/>
          <w:sz w:val="18"/>
          <w:szCs w:val="18"/>
        </w:rPr>
        <w:t xml:space="preserve">The Amarna </w:t>
      </w:r>
      <w:r w:rsidR="00A7306F" w:rsidRPr="00F827A8">
        <w:rPr>
          <w:rFonts w:ascii="Calibri" w:hAnsi="Calibri" w:cs="Calibri"/>
          <w:sz w:val="18"/>
          <w:szCs w:val="18"/>
        </w:rPr>
        <w:t>Project,</w:t>
      </w:r>
      <w:r w:rsidRPr="00F827A8">
        <w:rPr>
          <w:rFonts w:ascii="Calibri" w:hAnsi="Calibri" w:cs="Calibri"/>
          <w:sz w:val="18"/>
          <w:szCs w:val="18"/>
        </w:rPr>
        <w:t xml:space="preserve"> Blue-Painted storage jar,</w:t>
      </w:r>
      <w:r w:rsidR="006A601C" w:rsidRPr="00F827A8">
        <w:rPr>
          <w:rFonts w:ascii="Calibri" w:hAnsi="Calibri" w:cs="Calibri"/>
          <w:sz w:val="18"/>
          <w:szCs w:val="18"/>
        </w:rPr>
        <w:t xml:space="preserve"> object number 14061,</w:t>
      </w:r>
      <w:r w:rsidRPr="00F827A8">
        <w:rPr>
          <w:rFonts w:ascii="Calibri" w:hAnsi="Calibri" w:cs="Calibri"/>
          <w:sz w:val="18"/>
          <w:szCs w:val="18"/>
        </w:rPr>
        <w:t xml:space="preserve"> 2017</w:t>
      </w:r>
    </w:p>
  </w:footnote>
  <w:footnote w:id="7">
    <w:p w14:paraId="215CBECF" w14:textId="6EA582CE" w:rsidR="00825B9D" w:rsidRPr="00711AA6" w:rsidRDefault="00825B9D">
      <w:pPr>
        <w:pStyle w:val="FootnoteText"/>
        <w:rPr>
          <w:rFonts w:ascii="Calibri" w:hAnsi="Calibri" w:cs="Calibri"/>
          <w:sz w:val="18"/>
          <w:szCs w:val="18"/>
        </w:rPr>
      </w:pPr>
      <w:r w:rsidRPr="00711AA6">
        <w:rPr>
          <w:rStyle w:val="FootnoteReference"/>
          <w:rFonts w:ascii="Calibri" w:hAnsi="Calibri" w:cs="Calibri"/>
          <w:sz w:val="18"/>
          <w:szCs w:val="18"/>
        </w:rPr>
        <w:footnoteRef/>
      </w:r>
      <w:r w:rsidRPr="00711AA6">
        <w:rPr>
          <w:rFonts w:ascii="Calibri" w:hAnsi="Calibri" w:cs="Calibri"/>
          <w:sz w:val="18"/>
          <w:szCs w:val="18"/>
        </w:rPr>
        <w:t xml:space="preserve"> Ian Shaw, Jacobus Van </w:t>
      </w:r>
      <w:proofErr w:type="spellStart"/>
      <w:r w:rsidRPr="00711AA6">
        <w:rPr>
          <w:rFonts w:ascii="Calibri" w:hAnsi="Calibri" w:cs="Calibri"/>
          <w:sz w:val="18"/>
          <w:szCs w:val="18"/>
        </w:rPr>
        <w:t>Djik</w:t>
      </w:r>
      <w:proofErr w:type="spellEnd"/>
      <w:r w:rsidRPr="00711AA6">
        <w:rPr>
          <w:rFonts w:ascii="Calibri" w:hAnsi="Calibri" w:cs="Calibri"/>
          <w:sz w:val="18"/>
          <w:szCs w:val="18"/>
        </w:rPr>
        <w:t xml:space="preserve">, </w:t>
      </w:r>
      <w:r w:rsidRPr="00711AA6">
        <w:rPr>
          <w:rFonts w:ascii="Calibri" w:hAnsi="Calibri" w:cs="Calibri"/>
          <w:i/>
          <w:iCs/>
          <w:sz w:val="18"/>
          <w:szCs w:val="18"/>
        </w:rPr>
        <w:t>The Oxford History of Ancient History</w:t>
      </w:r>
      <w:r w:rsidRPr="00711AA6">
        <w:rPr>
          <w:rFonts w:ascii="Calibri" w:hAnsi="Calibri" w:cs="Calibri"/>
          <w:sz w:val="18"/>
          <w:szCs w:val="18"/>
        </w:rPr>
        <w:t>, ‘The Amarna Period and later New Kingdom’, 2000, p.279</w:t>
      </w:r>
    </w:p>
  </w:footnote>
  <w:footnote w:id="8">
    <w:p w14:paraId="633C0C22" w14:textId="3665873A" w:rsidR="00A87D8C" w:rsidRPr="00616369" w:rsidRDefault="00A87D8C">
      <w:pPr>
        <w:pStyle w:val="FootnoteText"/>
        <w:rPr>
          <w:rFonts w:ascii="Calibri" w:hAnsi="Calibri" w:cs="Calibri"/>
          <w:sz w:val="18"/>
          <w:szCs w:val="18"/>
        </w:rPr>
      </w:pPr>
      <w:r>
        <w:rPr>
          <w:rStyle w:val="FootnoteReference"/>
        </w:rPr>
        <w:footnoteRef/>
      </w:r>
      <w:r>
        <w:t xml:space="preserve"> </w:t>
      </w:r>
      <w:r w:rsidRPr="00F827A8">
        <w:rPr>
          <w:rFonts w:ascii="Calibri" w:hAnsi="Calibri" w:cs="Calibri"/>
          <w:sz w:val="18"/>
          <w:szCs w:val="18"/>
        </w:rPr>
        <w:t xml:space="preserve">Michael Imhof Verlag, </w:t>
      </w:r>
      <w:r w:rsidRPr="00F827A8">
        <w:rPr>
          <w:rFonts w:ascii="Calibri" w:hAnsi="Calibri" w:cs="Calibri"/>
          <w:i/>
          <w:iCs/>
          <w:sz w:val="18"/>
          <w:szCs w:val="18"/>
        </w:rPr>
        <w:t>In the Light of Amarna: 100 Years of the Nefertiti Discovery</w:t>
      </w:r>
      <w:r w:rsidRPr="00F827A8">
        <w:rPr>
          <w:rFonts w:ascii="Calibri" w:hAnsi="Calibri" w:cs="Calibri"/>
          <w:sz w:val="18"/>
          <w:szCs w:val="18"/>
        </w:rPr>
        <w:t>,</w:t>
      </w:r>
      <w:r>
        <w:rPr>
          <w:rFonts w:ascii="Calibri" w:hAnsi="Calibri" w:cs="Calibri"/>
          <w:sz w:val="18"/>
          <w:szCs w:val="18"/>
        </w:rPr>
        <w:t xml:space="preserve"> Fig.2, Family Altar with Amenhotep IV/Akhenten, Nefertiti and three </w:t>
      </w:r>
      <w:r w:rsidR="00616369">
        <w:rPr>
          <w:rFonts w:ascii="Calibri" w:hAnsi="Calibri" w:cs="Calibri"/>
          <w:sz w:val="18"/>
          <w:szCs w:val="18"/>
        </w:rPr>
        <w:t>daughters</w:t>
      </w:r>
      <w:r>
        <w:rPr>
          <w:rFonts w:ascii="Calibri" w:hAnsi="Calibri" w:cs="Calibri"/>
          <w:sz w:val="18"/>
          <w:szCs w:val="18"/>
        </w:rPr>
        <w:t xml:space="preserve">, limestone, </w:t>
      </w:r>
      <w:proofErr w:type="spellStart"/>
      <w:r>
        <w:rPr>
          <w:rFonts w:ascii="Calibri" w:hAnsi="Calibri" w:cs="Calibri"/>
          <w:sz w:val="18"/>
          <w:szCs w:val="18"/>
        </w:rPr>
        <w:t>Ägyptisches</w:t>
      </w:r>
      <w:proofErr w:type="spellEnd"/>
      <w:r>
        <w:rPr>
          <w:rFonts w:ascii="Calibri" w:hAnsi="Calibri" w:cs="Calibri"/>
          <w:sz w:val="18"/>
          <w:szCs w:val="18"/>
        </w:rPr>
        <w:t xml:space="preserve"> Museum Berlin, ÄM</w:t>
      </w:r>
      <w:r w:rsidR="00616369">
        <w:rPr>
          <w:rFonts w:ascii="Calibri" w:hAnsi="Calibri" w:cs="Calibri"/>
          <w:sz w:val="18"/>
          <w:szCs w:val="18"/>
        </w:rPr>
        <w:t xml:space="preserve"> </w:t>
      </w:r>
      <w:proofErr w:type="gramStart"/>
      <w:r w:rsidR="00616369">
        <w:rPr>
          <w:rFonts w:ascii="Calibri" w:hAnsi="Calibri" w:cs="Calibri"/>
          <w:sz w:val="18"/>
          <w:szCs w:val="18"/>
        </w:rPr>
        <w:t>14145,</w:t>
      </w:r>
      <w:r>
        <w:rPr>
          <w:rFonts w:ascii="Calibri" w:hAnsi="Calibri" w:cs="Calibri"/>
          <w:sz w:val="18"/>
          <w:szCs w:val="18"/>
        </w:rPr>
        <w:t xml:space="preserve"> </w:t>
      </w:r>
      <w:r w:rsidRPr="00F827A8">
        <w:rPr>
          <w:rFonts w:ascii="Calibri" w:hAnsi="Calibri" w:cs="Calibri"/>
          <w:sz w:val="18"/>
          <w:szCs w:val="18"/>
        </w:rPr>
        <w:t xml:space="preserve"> 2012</w:t>
      </w:r>
      <w:proofErr w:type="gramEnd"/>
      <w:r w:rsidRPr="00F827A8">
        <w:rPr>
          <w:rFonts w:ascii="Calibri" w:hAnsi="Calibri" w:cs="Calibri"/>
          <w:sz w:val="18"/>
          <w:szCs w:val="18"/>
        </w:rPr>
        <w:t>, p.426</w:t>
      </w:r>
    </w:p>
  </w:footnote>
  <w:footnote w:id="9">
    <w:p w14:paraId="4A790AF9" w14:textId="032F13F4" w:rsidR="00616369" w:rsidRDefault="00616369">
      <w:pPr>
        <w:pStyle w:val="FootnoteText"/>
      </w:pPr>
      <w:r>
        <w:rPr>
          <w:rStyle w:val="FootnoteReference"/>
        </w:rPr>
        <w:footnoteRef/>
      </w:r>
      <w:r>
        <w:t xml:space="preserve"> </w:t>
      </w:r>
      <w:r w:rsidRPr="00616369">
        <w:rPr>
          <w:rFonts w:ascii="Calibri" w:hAnsi="Calibri" w:cs="Calibri"/>
          <w:sz w:val="18"/>
          <w:szCs w:val="18"/>
        </w:rPr>
        <w:t xml:space="preserve">Dimitri </w:t>
      </w:r>
      <w:proofErr w:type="spellStart"/>
      <w:r w:rsidRPr="00616369">
        <w:rPr>
          <w:rFonts w:ascii="Calibri" w:hAnsi="Calibri" w:cs="Calibri"/>
          <w:sz w:val="18"/>
          <w:szCs w:val="18"/>
        </w:rPr>
        <w:t>Laboury</w:t>
      </w:r>
      <w:proofErr w:type="spellEnd"/>
      <w:r w:rsidRPr="00616369">
        <w:rPr>
          <w:rFonts w:ascii="Calibri" w:hAnsi="Calibri" w:cs="Calibri"/>
          <w:sz w:val="18"/>
          <w:szCs w:val="18"/>
        </w:rPr>
        <w:t>, Amarna Art, UCLA Encyclopaedia of Egyptology, 1 (1),</w:t>
      </w:r>
      <w:r w:rsidRPr="00616369">
        <w:rPr>
          <w:rFonts w:ascii="Calibri" w:hAnsi="Calibri" w:cs="Calibri"/>
          <w:color w:val="000000"/>
          <w:sz w:val="18"/>
          <w:szCs w:val="18"/>
          <w:shd w:val="clear" w:color="auto" w:fill="FFFFFF"/>
        </w:rPr>
        <w:t xml:space="preserve"> </w:t>
      </w:r>
      <w:r w:rsidRPr="00616369">
        <w:rPr>
          <w:rFonts w:ascii="Calibri" w:hAnsi="Calibri" w:cs="Calibri"/>
          <w:sz w:val="18"/>
          <w:szCs w:val="18"/>
        </w:rPr>
        <w:t>p.3</w:t>
      </w:r>
    </w:p>
  </w:footnote>
  <w:footnote w:id="10">
    <w:p w14:paraId="77CB31D7" w14:textId="28E9EF8E" w:rsidR="0017315A" w:rsidRDefault="0017315A">
      <w:pPr>
        <w:pStyle w:val="FootnoteText"/>
      </w:pPr>
      <w:r>
        <w:rPr>
          <w:rStyle w:val="FootnoteReference"/>
        </w:rPr>
        <w:footnoteRef/>
      </w:r>
      <w:r>
        <w:t xml:space="preserve"> </w:t>
      </w:r>
      <w:r w:rsidRPr="0017315A">
        <w:rPr>
          <w:rFonts w:ascii="Calibri" w:hAnsi="Calibri" w:cs="Calibri"/>
          <w:sz w:val="18"/>
          <w:szCs w:val="18"/>
        </w:rPr>
        <w:t xml:space="preserve">The Amarna Project, </w:t>
      </w:r>
      <w:r w:rsidRPr="00A2000C">
        <w:rPr>
          <w:rFonts w:ascii="Calibri" w:hAnsi="Calibri" w:cs="Calibri"/>
          <w:i/>
          <w:iCs/>
          <w:sz w:val="18"/>
          <w:szCs w:val="18"/>
        </w:rPr>
        <w:t>The Amarna Visitor Centre</w:t>
      </w:r>
      <w:r w:rsidRPr="0017315A">
        <w:rPr>
          <w:rFonts w:ascii="Calibri" w:hAnsi="Calibri" w:cs="Calibri"/>
          <w:sz w:val="18"/>
          <w:szCs w:val="18"/>
        </w:rPr>
        <w:t xml:space="preserve">, </w:t>
      </w:r>
      <w:r>
        <w:rPr>
          <w:rFonts w:ascii="Calibri" w:hAnsi="Calibri" w:cs="Calibri"/>
          <w:sz w:val="18"/>
          <w:szCs w:val="18"/>
        </w:rPr>
        <w:t>2017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6A991A" w14:textId="7B6BE581" w:rsidR="002C7E72" w:rsidRDefault="002C7E72">
    <w:pPr>
      <w:pStyle w:val="Header"/>
    </w:pPr>
    <w:r>
      <w:t>Rayer_Samuel_2122233_</w:t>
    </w:r>
    <w:r w:rsidR="00A45A7F">
      <w:t>HPAH7022_</w:t>
    </w:r>
    <w:r>
      <w:t>A2</w:t>
    </w:r>
  </w:p>
  <w:p w14:paraId="5526D271" w14:textId="77777777" w:rsidR="002C7E72" w:rsidRDefault="002C7E7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C7E72"/>
    <w:rsid w:val="00040E0B"/>
    <w:rsid w:val="0007597F"/>
    <w:rsid w:val="000E6CDC"/>
    <w:rsid w:val="0017315A"/>
    <w:rsid w:val="00194B51"/>
    <w:rsid w:val="0022414A"/>
    <w:rsid w:val="002C7E72"/>
    <w:rsid w:val="002F0434"/>
    <w:rsid w:val="004434FA"/>
    <w:rsid w:val="004628E7"/>
    <w:rsid w:val="00516F5A"/>
    <w:rsid w:val="0061196D"/>
    <w:rsid w:val="00616369"/>
    <w:rsid w:val="00624DEA"/>
    <w:rsid w:val="006349D0"/>
    <w:rsid w:val="006A601C"/>
    <w:rsid w:val="006B0E8B"/>
    <w:rsid w:val="00711AA6"/>
    <w:rsid w:val="00825B9D"/>
    <w:rsid w:val="00934924"/>
    <w:rsid w:val="00A2000C"/>
    <w:rsid w:val="00A240C9"/>
    <w:rsid w:val="00A45A7F"/>
    <w:rsid w:val="00A7306F"/>
    <w:rsid w:val="00A83DB1"/>
    <w:rsid w:val="00A87D8C"/>
    <w:rsid w:val="00AD1FC8"/>
    <w:rsid w:val="00AE2237"/>
    <w:rsid w:val="00B63EFB"/>
    <w:rsid w:val="00BD78C7"/>
    <w:rsid w:val="00C605C5"/>
    <w:rsid w:val="00C71116"/>
    <w:rsid w:val="00D11B30"/>
    <w:rsid w:val="00D21285"/>
    <w:rsid w:val="00D614B2"/>
    <w:rsid w:val="00E24EA7"/>
    <w:rsid w:val="00E40EA7"/>
    <w:rsid w:val="00E519D2"/>
    <w:rsid w:val="00EF4178"/>
    <w:rsid w:val="00F54538"/>
    <w:rsid w:val="00F608DD"/>
    <w:rsid w:val="00F82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964B9E"/>
  <w15:chartTrackingRefBased/>
  <w15:docId w15:val="{ED55206C-5A38-44BA-A6D7-2C6A17424D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C7E7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C7E7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C7E7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C7E7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C7E7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C7E7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C7E7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C7E7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C7E7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C7E7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C7E7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C7E7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C7E7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C7E7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C7E7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C7E7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C7E7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C7E72"/>
    <w:rPr>
      <w:rFonts w:eastAsiaTheme="majorEastAsia" w:cstheme="majorBidi"/>
      <w:color w:val="272727" w:themeColor="text1" w:themeTint="D8"/>
    </w:rPr>
  </w:style>
  <w:style w:type="paragraph" w:styleId="Title">
    <w:name w:val="Title"/>
    <w:basedOn w:val="Normal"/>
    <w:next w:val="Normal"/>
    <w:link w:val="TitleChar"/>
    <w:uiPriority w:val="10"/>
    <w:qFormat/>
    <w:rsid w:val="002C7E7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C7E7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C7E7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C7E7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C7E72"/>
    <w:pPr>
      <w:spacing w:before="160"/>
      <w:jc w:val="center"/>
    </w:pPr>
    <w:rPr>
      <w:i/>
      <w:iCs/>
      <w:color w:val="404040" w:themeColor="text1" w:themeTint="BF"/>
    </w:rPr>
  </w:style>
  <w:style w:type="character" w:customStyle="1" w:styleId="QuoteChar">
    <w:name w:val="Quote Char"/>
    <w:basedOn w:val="DefaultParagraphFont"/>
    <w:link w:val="Quote"/>
    <w:uiPriority w:val="29"/>
    <w:rsid w:val="002C7E72"/>
    <w:rPr>
      <w:i/>
      <w:iCs/>
      <w:color w:val="404040" w:themeColor="text1" w:themeTint="BF"/>
    </w:rPr>
  </w:style>
  <w:style w:type="paragraph" w:styleId="ListParagraph">
    <w:name w:val="List Paragraph"/>
    <w:basedOn w:val="Normal"/>
    <w:uiPriority w:val="34"/>
    <w:qFormat/>
    <w:rsid w:val="002C7E72"/>
    <w:pPr>
      <w:ind w:left="720"/>
      <w:contextualSpacing/>
    </w:pPr>
  </w:style>
  <w:style w:type="character" w:styleId="IntenseEmphasis">
    <w:name w:val="Intense Emphasis"/>
    <w:basedOn w:val="DefaultParagraphFont"/>
    <w:uiPriority w:val="21"/>
    <w:qFormat/>
    <w:rsid w:val="002C7E72"/>
    <w:rPr>
      <w:i/>
      <w:iCs/>
      <w:color w:val="0F4761" w:themeColor="accent1" w:themeShade="BF"/>
    </w:rPr>
  </w:style>
  <w:style w:type="paragraph" w:styleId="IntenseQuote">
    <w:name w:val="Intense Quote"/>
    <w:basedOn w:val="Normal"/>
    <w:next w:val="Normal"/>
    <w:link w:val="IntenseQuoteChar"/>
    <w:uiPriority w:val="30"/>
    <w:qFormat/>
    <w:rsid w:val="002C7E7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C7E72"/>
    <w:rPr>
      <w:i/>
      <w:iCs/>
      <w:color w:val="0F4761" w:themeColor="accent1" w:themeShade="BF"/>
    </w:rPr>
  </w:style>
  <w:style w:type="character" w:styleId="IntenseReference">
    <w:name w:val="Intense Reference"/>
    <w:basedOn w:val="DefaultParagraphFont"/>
    <w:uiPriority w:val="32"/>
    <w:qFormat/>
    <w:rsid w:val="002C7E72"/>
    <w:rPr>
      <w:b/>
      <w:bCs/>
      <w:smallCaps/>
      <w:color w:val="0F4761" w:themeColor="accent1" w:themeShade="BF"/>
      <w:spacing w:val="5"/>
    </w:rPr>
  </w:style>
  <w:style w:type="paragraph" w:styleId="Header">
    <w:name w:val="header"/>
    <w:basedOn w:val="Normal"/>
    <w:link w:val="HeaderChar"/>
    <w:uiPriority w:val="99"/>
    <w:unhideWhenUsed/>
    <w:rsid w:val="002C7E72"/>
    <w:pPr>
      <w:tabs>
        <w:tab w:val="center" w:pos="4513"/>
        <w:tab w:val="right" w:pos="9026"/>
      </w:tabs>
      <w:spacing w:after="0" w:line="240" w:lineRule="auto"/>
    </w:pPr>
  </w:style>
  <w:style w:type="character" w:customStyle="1" w:styleId="HeaderChar">
    <w:name w:val="Header Char"/>
    <w:basedOn w:val="DefaultParagraphFont"/>
    <w:link w:val="Header"/>
    <w:uiPriority w:val="99"/>
    <w:rsid w:val="002C7E72"/>
  </w:style>
  <w:style w:type="paragraph" w:styleId="Footer">
    <w:name w:val="footer"/>
    <w:basedOn w:val="Normal"/>
    <w:link w:val="FooterChar"/>
    <w:uiPriority w:val="99"/>
    <w:unhideWhenUsed/>
    <w:rsid w:val="002C7E72"/>
    <w:pPr>
      <w:tabs>
        <w:tab w:val="center" w:pos="4513"/>
        <w:tab w:val="right" w:pos="9026"/>
      </w:tabs>
      <w:spacing w:after="0" w:line="240" w:lineRule="auto"/>
    </w:pPr>
  </w:style>
  <w:style w:type="character" w:customStyle="1" w:styleId="FooterChar">
    <w:name w:val="Footer Char"/>
    <w:basedOn w:val="DefaultParagraphFont"/>
    <w:link w:val="Footer"/>
    <w:uiPriority w:val="99"/>
    <w:rsid w:val="002C7E72"/>
  </w:style>
  <w:style w:type="paragraph" w:styleId="FootnoteText">
    <w:name w:val="footnote text"/>
    <w:basedOn w:val="Normal"/>
    <w:link w:val="FootnoteTextChar"/>
    <w:uiPriority w:val="99"/>
    <w:semiHidden/>
    <w:unhideWhenUsed/>
    <w:rsid w:val="002F0434"/>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F0434"/>
    <w:rPr>
      <w:sz w:val="20"/>
      <w:szCs w:val="20"/>
    </w:rPr>
  </w:style>
  <w:style w:type="character" w:styleId="FootnoteReference">
    <w:name w:val="footnote reference"/>
    <w:basedOn w:val="DefaultParagraphFont"/>
    <w:uiPriority w:val="99"/>
    <w:semiHidden/>
    <w:unhideWhenUsed/>
    <w:rsid w:val="002F0434"/>
    <w:rPr>
      <w:vertAlign w:val="superscript"/>
    </w:rPr>
  </w:style>
  <w:style w:type="character" w:styleId="Hyperlink">
    <w:name w:val="Hyperlink"/>
    <w:basedOn w:val="DefaultParagraphFont"/>
    <w:uiPriority w:val="99"/>
    <w:unhideWhenUsed/>
    <w:rsid w:val="00E519D2"/>
    <w:rPr>
      <w:color w:val="467886" w:themeColor="hyperlink"/>
      <w:u w:val="single"/>
    </w:rPr>
  </w:style>
  <w:style w:type="character" w:styleId="UnresolvedMention">
    <w:name w:val="Unresolved Mention"/>
    <w:basedOn w:val="DefaultParagraphFont"/>
    <w:uiPriority w:val="99"/>
    <w:semiHidden/>
    <w:unhideWhenUsed/>
    <w:rsid w:val="00E519D2"/>
    <w:rPr>
      <w:color w:val="605E5C"/>
      <w:shd w:val="clear" w:color="auto" w:fill="E1DFDD"/>
    </w:rPr>
  </w:style>
  <w:style w:type="character" w:styleId="Strong">
    <w:name w:val="Strong"/>
    <w:basedOn w:val="DefaultParagraphFont"/>
    <w:uiPriority w:val="22"/>
    <w:qFormat/>
    <w:rsid w:val="00A7306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g"/><Relationship Id="rId13" Type="http://schemas.openxmlformats.org/officeDocument/2006/relationships/hyperlink" Target="https://www.amarnaproject.com/pages/recent_projects/material_culture/new_kingdom.shtml" TargetMode="Externa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amarnaproject.com/pages/recent_projects/material_culture/statuary/akhenaten.shtml"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amarnaproject.com/index.shtml"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escholarship.org/uc/item/0n21d4bm"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s://www.smb.museum/en/museums-institutions/neues-museum/online-offers/detail/looked-at-house-altar-featuring-akhenaten-nefertiti-and-three-of-their-daughters-under-the-solar-ate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DD61D4-8712-4CB7-80B0-8B10F129DBA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964</TotalTime>
  <Pages>3</Pages>
  <Words>1073</Words>
  <Characters>6119</Characters>
  <Application>Microsoft Office Word</Application>
  <DocSecurity>0</DocSecurity>
  <Lines>50</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7178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 Rayer (2122233)</dc:creator>
  <cp:keywords/>
  <dc:description/>
  <cp:lastModifiedBy>Sam Rayer (2122233)</cp:lastModifiedBy>
  <cp:revision>7</cp:revision>
  <dcterms:created xsi:type="dcterms:W3CDTF">2024-04-28T09:15:00Z</dcterms:created>
  <dcterms:modified xsi:type="dcterms:W3CDTF">2024-04-29T19:27:00Z</dcterms:modified>
</cp:coreProperties>
</file>