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0AB3" w:rsidRDefault="00680AB3" w:rsidP="00680AB3">
      <w:pPr>
        <w:ind w:firstLine="720"/>
      </w:pPr>
      <w:r>
        <w:t xml:space="preserve">The following essay will reflect on coping strategies that I have used during my time in my tutorship period as a South Wales Police Constable to develop resilience and minimise stress. This includes dealing with the nature of the work, shift patterns, pressures of work, and joining a new team. </w:t>
      </w:r>
    </w:p>
    <w:p w:rsidR="00680AB3" w:rsidRDefault="00680AB3" w:rsidP="00680AB3">
      <w:pPr>
        <w:ind w:firstLine="720"/>
      </w:pPr>
      <w:r>
        <w:t xml:space="preserve">My tutorship period came with different pressures, that caused stress, then the ones encountered during my training school period. This included the pressures of trying to bond with a new team of people who have potentially known each other for a long period of time, knowing that your experience is going to be the lowest on the shift with the role of a Police officer. Other stress was caused from being with a tutor throughout your day to day work tasks, who you knew was marking your practical and admin skills. The final stress factor I found significant was the time required for research and essay writing during rest days. I feel that due to the high stress factors of the job the amount of time for rest and relaxation allocated is necessary. However taking this time away to structure essays can take away from the mental breaks needed to be efficient at this form of public service. </w:t>
      </w:r>
    </w:p>
    <w:p w:rsidR="00680AB3" w:rsidRDefault="00680AB3" w:rsidP="00680AB3">
      <w:pPr>
        <w:ind w:firstLine="720"/>
      </w:pPr>
      <w:r>
        <w:t>However some elements of my tutorship period were less stressful than those in my training school placement. Distance of travel was one of these elements as my travel time reduced from over 38 miles to 4.1 miles. This was a lot less financial stress due to fuel costs and also less time taken out of the day travelling in heavy traffic. The other significant element that I found less stressful was the shift pattern. I have never worked a 9am till 5pm, five day a week, job and have always worked shifts since leaving full time education 9 years ago. Working only daytimes during my training school placement I found jarring as I have never considered myself a “morning person.”</w:t>
      </w:r>
    </w:p>
    <w:p w:rsidR="00680AB3" w:rsidRDefault="00680AB3" w:rsidP="00680AB3">
      <w:pPr>
        <w:ind w:firstLine="720"/>
      </w:pPr>
      <w:r>
        <w:t>During my tutorship period there were many techniques I used to develop resilience and minimise stress. The first technique I used was continuing to exercise regularly. However I found that finding time to construct essays cut into this time making it less effective. “An effective way to improve understanding and involvement is to tailor the regimen to fit the person’s schedule, preferences and tolerance levels. If a program is adapted to better fit a person’s schedule and preferences it is more likely to keep the individual interested and motivated. After all, exercise requires not only physical output, but also psychological discipline and commitment.” (Cooper, C &amp; Payne, R, 1994) Time to construct essays has cut into my scheduled time for exercise causing more stress in the working environment.</w:t>
      </w:r>
    </w:p>
    <w:p w:rsidR="00680AB3" w:rsidRDefault="00680AB3" w:rsidP="00680AB3">
      <w:pPr>
        <w:ind w:firstLine="720"/>
      </w:pPr>
      <w:r>
        <w:t xml:space="preserve">Another technique I used was to be mindful of what I was doing and the actions I was taking. After a day of work I would use almost a meditation technique, whereby, I would reflect on the shift just gone and reviewed all of the actions I had taken and explore the options available to me. Almost every time this would re-enforce that the decision I made was the most effective even though it didn’t feel like this at the time. I’d use this technique as a way to reduce anxiety as I could try and predict future outcomes in a similar scenario therefore reducing the fear of the unknown. “Anxiety is a state of worry, fear or apprehension” (Hodson, C, </w:t>
      </w:r>
      <w:r w:rsidRPr="00484A3F">
        <w:t>2001).</w:t>
      </w:r>
      <w:r>
        <w:t xml:space="preserve"> Using this technique helps me reduce these effects.</w:t>
      </w:r>
    </w:p>
    <w:p w:rsidR="00680AB3" w:rsidRDefault="00680AB3" w:rsidP="00680AB3">
      <w:pPr>
        <w:ind w:firstLine="720"/>
      </w:pPr>
      <w:r>
        <w:t>Reducing stress I feel will become a significant part of my role as a Police Constable for the South Wales Police. Going forward with my career I will continue and find new techniques to help achieve a healthy work/life balance.</w:t>
      </w:r>
    </w:p>
    <w:p w:rsidR="00680AB3" w:rsidRDefault="00680AB3" w:rsidP="00680AB3"/>
    <w:p w:rsidR="00680AB3" w:rsidRPr="005E354A" w:rsidRDefault="00680AB3" w:rsidP="00680AB3">
      <w:pPr>
        <w:rPr>
          <w:b/>
        </w:rPr>
      </w:pPr>
      <w:r>
        <w:rPr>
          <w:b/>
        </w:rPr>
        <w:t>626 Words</w:t>
      </w:r>
    </w:p>
    <w:p w:rsidR="00680AB3" w:rsidRDefault="00680AB3" w:rsidP="00680AB3">
      <w:pPr>
        <w:ind w:firstLine="720"/>
      </w:pPr>
      <w:r>
        <w:lastRenderedPageBreak/>
        <w:t>The following essay will reflect on times during my tutorship period as a Police constable for the South Wales Police where I have had to consider vulnerable people and my responsibilities for safeguarding these individuals. I will outline my role in managing these factors to reduce risk to these vulnerable people. I will also review the elements of effective communication I used, verbally and non-verbally, during this process.</w:t>
      </w:r>
    </w:p>
    <w:p w:rsidR="00680AB3" w:rsidRDefault="00680AB3" w:rsidP="00680AB3">
      <w:pPr>
        <w:ind w:firstLine="720"/>
      </w:pPr>
      <w:r>
        <w:t>Part of my role as a Police Constable is to safeguard vulnerable people to prevent harm or further harm coming to them. There are many ways a person can be considered vulnerable. These include being physically disabled, mentally disabled, having a learning disorder or difficulties, or having a traumatic experience causing it to affect your short or long term mental state. Therefore every person can be considered vulnerable depending on the circumstances. It is important to remember that the role of a Police Constable is that of an impartial investigator and not of a protection agency. Therefore you must know where your responsibility ends with regards of the protection of people whether they are vulnerable or not.</w:t>
      </w:r>
    </w:p>
    <w:p w:rsidR="00680AB3" w:rsidRDefault="00680AB3" w:rsidP="00680AB3">
      <w:pPr>
        <w:ind w:firstLine="720"/>
      </w:pPr>
      <w:r>
        <w:t>During late December 2019 my tutor and I had been called to a flat in Swansea, whereby, a female had reported that her ex-boyfriend had contacted her. The ex-boyfriend had a restraining order in place for him not to contact her directly or indirectly. Once the female had left prison, a week before, she began getting antagonising messages from him via texts threatening to hurt her. Earlier that night the ex-boyfriend then arrived at her address and started throwing stones at her window and shouting to her that he was going to hurt her.</w:t>
      </w:r>
    </w:p>
    <w:p w:rsidR="00680AB3" w:rsidRDefault="00680AB3" w:rsidP="00680AB3">
      <w:pPr>
        <w:ind w:firstLine="720"/>
      </w:pPr>
      <w:r>
        <w:t xml:space="preserve">The first step in protecting vulnerable members of the public is effective communication. This is important as the more information you can gather from the person the more of an idea you have of all the risks involved and how best to safeguard the individual. Also, certain factors from previous experiences the member of the public has had with the police may also affect how they interact with Police Constables. For example, the female I am interacting with has just been released from prison and also disclosed to me she had her baby taken off her after she had given birth in prison. Therefore, you can expect that her bias is negative towards Police. However, whatever her past interactions with the Police service may be or her attitude towards Police at this time you must always remember that the person is still vulnerable and could be </w:t>
      </w:r>
      <w:r>
        <w:t>dependent</w:t>
      </w:r>
      <w:r>
        <w:t xml:space="preserve"> on our help. Therefore, you must remain unbiased and professional at all times when helping a vulnerable person.</w:t>
      </w:r>
    </w:p>
    <w:p w:rsidR="00680AB3" w:rsidRDefault="00680AB3" w:rsidP="00680AB3">
      <w:pPr>
        <w:ind w:firstLine="720"/>
      </w:pPr>
      <w:r>
        <w:t>To communicate effectively the best way to this is to pay attention to nonverbal communication or body language techniques. These can be described in the following:</w:t>
      </w:r>
    </w:p>
    <w:p w:rsidR="00680AB3" w:rsidRDefault="00680AB3" w:rsidP="00680AB3">
      <w:pPr>
        <w:ind w:firstLine="720"/>
      </w:pPr>
      <w:r>
        <w:t>“. Facial Expression- The most obvious use of facial expression is smiling. However, this term also refers to other significant gestures such as raising an eyebrow.</w:t>
      </w:r>
    </w:p>
    <w:p w:rsidR="00680AB3" w:rsidRDefault="00680AB3" w:rsidP="00680AB3">
      <w:pPr>
        <w:ind w:firstLine="720"/>
      </w:pPr>
      <w:r>
        <w:t>. Eye contact- It can be used for a wide variety of purposes ranging from establishing solidary and concern through being threatening and intimidating.</w:t>
      </w:r>
    </w:p>
    <w:p w:rsidR="00680AB3" w:rsidRDefault="00680AB3" w:rsidP="00680AB3">
      <w:pPr>
        <w:ind w:firstLine="720"/>
      </w:pPr>
      <w:r>
        <w:t>. Posture- The posture we adopt in sitting or standing can say a lot about our frame of mind or our emotional state….. In some situations, posture can be very revealing.</w:t>
      </w:r>
    </w:p>
    <w:p w:rsidR="00680AB3" w:rsidRDefault="00680AB3" w:rsidP="00680AB3">
      <w:pPr>
        <w:ind w:firstLine="720"/>
      </w:pPr>
      <w:r>
        <w:t>. Orientation- Whether we face towards someone or away from them can speak volumes about our attitude towards them, how we value them (or not) and perhaps even our intentions towards them.</w:t>
      </w:r>
    </w:p>
    <w:p w:rsidR="00680AB3" w:rsidRDefault="00680AB3" w:rsidP="00680AB3">
      <w:pPr>
        <w:ind w:firstLine="720"/>
      </w:pPr>
      <w:r>
        <w:t xml:space="preserve">. Proximity- How close or otherwise we sit or stand in relation to someone can be very meaningful indeed. </w:t>
      </w:r>
    </w:p>
    <w:p w:rsidR="00680AB3" w:rsidRDefault="00680AB3" w:rsidP="00680AB3">
      <w:pPr>
        <w:ind w:firstLine="720"/>
      </w:pPr>
      <w:r>
        <w:lastRenderedPageBreak/>
        <w:t>. Fine movement- This refers to small movements of parts of the body which can be very significant.</w:t>
      </w:r>
    </w:p>
    <w:p w:rsidR="00680AB3" w:rsidRDefault="00680AB3" w:rsidP="00680AB3">
      <w:pPr>
        <w:ind w:firstLine="720"/>
      </w:pPr>
      <w:r>
        <w:t>. Gross Movement- This refers to more large scale movement of the body….These are often associated with more extreme situations, but do none the less occur quite frequently.</w:t>
      </w:r>
    </w:p>
    <w:p w:rsidR="00680AB3" w:rsidRDefault="00680AB3" w:rsidP="00680AB3">
      <w:pPr>
        <w:ind w:firstLine="720"/>
        <w:rPr>
          <w:rFonts w:ascii="Verdana" w:hAnsi="Verdana"/>
          <w:color w:val="000000"/>
          <w:sz w:val="20"/>
          <w:szCs w:val="20"/>
        </w:rPr>
      </w:pPr>
      <w:r>
        <w:t>. Clothing and Artefacts- In the majority of situations, the clothing we wear will say something about how we perceive that situation.” (</w:t>
      </w:r>
      <w:r>
        <w:rPr>
          <w:rFonts w:ascii="Verdana" w:hAnsi="Verdana"/>
          <w:color w:val="000000"/>
          <w:sz w:val="20"/>
          <w:szCs w:val="20"/>
        </w:rPr>
        <w:t>Thompson, N-2011).</w:t>
      </w:r>
    </w:p>
    <w:p w:rsidR="00680AB3" w:rsidRDefault="00680AB3" w:rsidP="00680AB3">
      <w:pPr>
        <w:rPr>
          <w:rFonts w:cstheme="minorHAnsi"/>
          <w:color w:val="000000"/>
        </w:rPr>
      </w:pPr>
      <w:r w:rsidRPr="00182D82">
        <w:rPr>
          <w:rFonts w:cstheme="minorHAnsi"/>
          <w:color w:val="000000"/>
        </w:rPr>
        <w:t>It is important</w:t>
      </w:r>
      <w:r>
        <w:rPr>
          <w:rFonts w:cstheme="minorHAnsi"/>
          <w:color w:val="000000"/>
        </w:rPr>
        <w:t>,</w:t>
      </w:r>
      <w:r w:rsidRPr="00182D82">
        <w:rPr>
          <w:rFonts w:cstheme="minorHAnsi"/>
          <w:color w:val="000000"/>
        </w:rPr>
        <w:t xml:space="preserve"> however</w:t>
      </w:r>
      <w:r>
        <w:rPr>
          <w:rFonts w:cstheme="minorHAnsi"/>
          <w:color w:val="000000"/>
        </w:rPr>
        <w:t>,</w:t>
      </w:r>
      <w:r w:rsidRPr="00182D82">
        <w:rPr>
          <w:rFonts w:cstheme="minorHAnsi"/>
          <w:color w:val="000000"/>
        </w:rPr>
        <w:t xml:space="preserve"> not just to concentrate on your own </w:t>
      </w:r>
      <w:r>
        <w:rPr>
          <w:rFonts w:cstheme="minorHAnsi"/>
          <w:color w:val="000000"/>
        </w:rPr>
        <w:t>nonverbal communication but to also pay attention to the subject. With the female I could see she felt intimidated by the situation as she would sit on the stairs in a slumped fashion and wouldn’t make eye contact. Therefore, I reacted to this by using an empathetic facial expression and eye contact while facing her to let her know I was listening to her every word. Also, to look professional, I would wear matching uniform to my tutor as it creates a better image that we are united to help the public.</w:t>
      </w:r>
    </w:p>
    <w:p w:rsidR="00680AB3" w:rsidRDefault="00680AB3" w:rsidP="00680AB3">
      <w:pPr>
        <w:ind w:firstLine="720"/>
        <w:rPr>
          <w:rFonts w:cstheme="minorHAnsi"/>
          <w:color w:val="000000"/>
        </w:rPr>
      </w:pPr>
      <w:r>
        <w:rPr>
          <w:rFonts w:cstheme="minorHAnsi"/>
          <w:color w:val="000000"/>
        </w:rPr>
        <w:t>Another technique to use whilst communicating with vulnerable members of the public is Paralanguage. Paralanguage can be described as inflections made in your voice to create a desired emotion and connection with the person you are communicating with. These techniques can be described in the following:</w:t>
      </w:r>
    </w:p>
    <w:p w:rsidR="00680AB3" w:rsidRDefault="00680AB3" w:rsidP="00680AB3">
      <w:pPr>
        <w:ind w:firstLine="720"/>
        <w:rPr>
          <w:rFonts w:cstheme="minorHAnsi"/>
          <w:color w:val="000000"/>
        </w:rPr>
      </w:pPr>
      <w:r>
        <w:rPr>
          <w:rFonts w:cstheme="minorHAnsi"/>
          <w:color w:val="000000"/>
        </w:rPr>
        <w:t>“. Speed- The speed at which we speak can add extra meaning… Fast speed can indicate a degree of excitement, while slow speed can indicate boredom or depression.</w:t>
      </w:r>
    </w:p>
    <w:p w:rsidR="00680AB3" w:rsidRDefault="00680AB3" w:rsidP="00680AB3">
      <w:pPr>
        <w:ind w:firstLine="720"/>
        <w:rPr>
          <w:rFonts w:cstheme="minorHAnsi"/>
          <w:color w:val="000000"/>
        </w:rPr>
      </w:pPr>
      <w:r>
        <w:rPr>
          <w:rFonts w:cstheme="minorHAnsi"/>
          <w:color w:val="000000"/>
        </w:rPr>
        <w:t>. Tone- Spoken Language can be seen as a form of music in which tonality plays an important part. This is a multidimensional aspect of language use but, as its simplest, it can be seen in terms of a continuum between gentle tone at one extreme to harsh tone at the other</w:t>
      </w:r>
    </w:p>
    <w:p w:rsidR="00680AB3" w:rsidRDefault="00680AB3" w:rsidP="00680AB3">
      <w:pPr>
        <w:ind w:firstLine="720"/>
        <w:rPr>
          <w:rFonts w:cstheme="minorHAnsi"/>
          <w:color w:val="000000"/>
        </w:rPr>
      </w:pPr>
      <w:r>
        <w:rPr>
          <w:rFonts w:cstheme="minorHAnsi"/>
          <w:color w:val="000000"/>
        </w:rPr>
        <w:t>. Loudness- Changes in loudness can be highly significant. Uncharacteristically loud speech can indicate a number of emotions, such as aggression or anxiety. Quiet speech could indicate timidity or could actually be a deliberately strategy on the part of the speaker to calm down the other party.</w:t>
      </w:r>
    </w:p>
    <w:p w:rsidR="00680AB3" w:rsidRDefault="00680AB3" w:rsidP="00680AB3">
      <w:pPr>
        <w:ind w:firstLine="720"/>
        <w:rPr>
          <w:rFonts w:cstheme="minorHAnsi"/>
          <w:color w:val="000000"/>
        </w:rPr>
      </w:pPr>
      <w:r>
        <w:rPr>
          <w:rFonts w:cstheme="minorHAnsi"/>
          <w:color w:val="000000"/>
        </w:rPr>
        <w:t>. Pitch and intonation- Pitch refers to how high or low a particular word or utterance is made. Intonation refers to the musicality of an utterance-that is, the way pitch rises and falls while speaking.” (Thompson, N-2011)</w:t>
      </w:r>
    </w:p>
    <w:p w:rsidR="00680AB3" w:rsidRDefault="00680AB3" w:rsidP="00680AB3">
      <w:pPr>
        <w:rPr>
          <w:rFonts w:cstheme="minorHAnsi"/>
          <w:color w:val="000000"/>
        </w:rPr>
      </w:pPr>
      <w:r>
        <w:rPr>
          <w:rFonts w:cstheme="minorHAnsi"/>
          <w:color w:val="000000"/>
        </w:rPr>
        <w:t>Therefore, whilst speaking to the female I made sure I spoke at a slow pace, soft quiet tone, with a higher than usual pitch. I did this to create an empathetic voice to attempt for the female to open up to me and tell me all the risk factors that she is vulnerable to.</w:t>
      </w:r>
    </w:p>
    <w:p w:rsidR="00680AB3" w:rsidRDefault="00680AB3" w:rsidP="00680AB3">
      <w:pPr>
        <w:spacing w:before="240"/>
      </w:pPr>
      <w:r>
        <w:rPr>
          <w:rFonts w:cstheme="minorHAnsi"/>
          <w:color w:val="000000"/>
        </w:rPr>
        <w:tab/>
        <w:t>“Officers at the scene of an incident need to consider the needs for support of victims, witnesses or suspects in an ethical and appropriate manner. Victims and witnesses may have suffered a physical injury and stress, and may also be emotional, confused, aggressive, angry, and/or scared.” (</w:t>
      </w:r>
      <w:r>
        <w:t>Bryant, R and Bryant, S-2018) After effectively communicating with the female she revealed to me her needs for support. The first thing she disclosed to my tutor and I was that her ex-partner had been abusive to her in the past and broke her leg. After this information I checked her ex-partners warning markers on the police databases. It showed that he had warnings for violence and for weapons. The female then disclosed that he knew where she lived as she told him as they were talking again after she left prison as she wanted to see if they could get back into a relationship with him again.</w:t>
      </w:r>
    </w:p>
    <w:p w:rsidR="00680AB3" w:rsidRDefault="00680AB3" w:rsidP="00680AB3">
      <w:pPr>
        <w:spacing w:before="240"/>
        <w:rPr>
          <w:color w:val="222222"/>
        </w:rPr>
      </w:pPr>
      <w:r>
        <w:lastRenderedPageBreak/>
        <w:tab/>
        <w:t>After knowing these risk factors my tutor and I decided that her risk was high so immediately took a statement from her detailing what had happened to help arrest her ex-partner therefore taking him off the street to help safeguard the female. We also decided to complete a public protection notice with her which will be passed to other agencies for them to help her at a later date. During the questions of the public protection notice the female also relieved to us that the ex-partner had harmed animals and family pets in the past. This increased our perceived risk level as “</w:t>
      </w:r>
      <w:r w:rsidRPr="00CB4565">
        <w:rPr>
          <w:color w:val="222222"/>
        </w:rPr>
        <w:t>Ministry of Justice figures last year showed that 13 convicted murderers, 22 child rapists and 99 people guilty of child cruelty had also been convicted or cautioned for animal cruelty offences over the previous decade</w:t>
      </w:r>
      <w:r>
        <w:rPr>
          <w:color w:val="222222"/>
        </w:rPr>
        <w:t>.” (</w:t>
      </w:r>
      <w:r>
        <w:rPr>
          <w:rFonts w:cstheme="minorHAnsi"/>
          <w:color w:val="000000"/>
        </w:rPr>
        <w:t>Dalton, J-</w:t>
      </w:r>
      <w:r w:rsidRPr="0056772C">
        <w:rPr>
          <w:rFonts w:cstheme="minorHAnsi"/>
          <w:color w:val="000000"/>
        </w:rPr>
        <w:t>2019</w:t>
      </w:r>
      <w:r>
        <w:rPr>
          <w:rFonts w:cstheme="minorHAnsi"/>
          <w:color w:val="000000"/>
        </w:rPr>
        <w:t xml:space="preserve">) </w:t>
      </w:r>
      <w:r>
        <w:rPr>
          <w:color w:val="222222"/>
        </w:rPr>
        <w:t xml:space="preserve">Therefore the statistics show that this could lead to a very violent outcome if not handled appropriately. </w:t>
      </w:r>
    </w:p>
    <w:p w:rsidR="00680AB3" w:rsidRDefault="00680AB3" w:rsidP="00680AB3">
      <w:pPr>
        <w:spacing w:before="240"/>
        <w:rPr>
          <w:color w:val="222222"/>
        </w:rPr>
      </w:pPr>
      <w:r>
        <w:rPr>
          <w:color w:val="222222"/>
        </w:rPr>
        <w:tab/>
        <w:t>My tutor and I decided that the best cause of action was to remove her from her flat as the ex-partner knew where she lived and take her to a friend’s house to stay the night where he wouldn’t know where she was. We then advised her that she should visit housing options in the morning to see if she could find a new place to stay where she would be safe. My tutor and I then circulated the ex-partner as wanted for the breech of the court order and for malicious communications. A couple days later the ex-partner was arrested and charged for these offences. Overall the safeguarding measures applied were a success as no further contact came between the two.</w:t>
      </w:r>
    </w:p>
    <w:p w:rsidR="00680AB3" w:rsidRDefault="00680AB3" w:rsidP="00680AB3">
      <w:pPr>
        <w:spacing w:before="240"/>
        <w:rPr>
          <w:color w:val="222222"/>
        </w:rPr>
      </w:pPr>
      <w:r>
        <w:rPr>
          <w:color w:val="222222"/>
        </w:rPr>
        <w:tab/>
        <w:t>In conclusion it is best to find all factors that may impose risk to a vulnerable person and should always accommodate to their needs if possible. This is used to prevent crime from happening which is always the best outcome rather than having to manage the harmed and investigate the crime after it has taken place.</w:t>
      </w:r>
    </w:p>
    <w:p w:rsidR="00680AB3" w:rsidRDefault="00680AB3" w:rsidP="00680AB3">
      <w:pPr>
        <w:spacing w:before="240"/>
        <w:rPr>
          <w:color w:val="222222"/>
        </w:rPr>
      </w:pPr>
    </w:p>
    <w:p w:rsidR="00680AB3" w:rsidRPr="00583DB4" w:rsidRDefault="00680AB3" w:rsidP="00680AB3">
      <w:pPr>
        <w:spacing w:before="240"/>
        <w:rPr>
          <w:rFonts w:cstheme="minorHAnsi"/>
          <w:b/>
          <w:color w:val="000000"/>
        </w:rPr>
      </w:pPr>
      <w:r w:rsidRPr="00583DB4">
        <w:rPr>
          <w:b/>
          <w:color w:val="222222"/>
        </w:rPr>
        <w:t>1528 Words</w:t>
      </w:r>
    </w:p>
    <w:p w:rsidR="00680AB3" w:rsidRDefault="00680AB3">
      <w:pPr>
        <w:rPr>
          <w:b/>
        </w:rPr>
      </w:pPr>
    </w:p>
    <w:p w:rsidR="00680AB3" w:rsidRDefault="00680AB3">
      <w:pPr>
        <w:rPr>
          <w:b/>
        </w:rPr>
      </w:pPr>
    </w:p>
    <w:p w:rsidR="00680AB3" w:rsidRDefault="00680AB3">
      <w:pPr>
        <w:rPr>
          <w:b/>
        </w:rPr>
      </w:pPr>
    </w:p>
    <w:p w:rsidR="00680AB3" w:rsidRDefault="00680AB3">
      <w:pPr>
        <w:rPr>
          <w:b/>
        </w:rPr>
      </w:pPr>
    </w:p>
    <w:p w:rsidR="00680AB3" w:rsidRDefault="00680AB3">
      <w:pPr>
        <w:rPr>
          <w:b/>
        </w:rPr>
      </w:pPr>
    </w:p>
    <w:p w:rsidR="00680AB3" w:rsidRDefault="00680AB3">
      <w:pPr>
        <w:rPr>
          <w:b/>
        </w:rPr>
      </w:pPr>
    </w:p>
    <w:p w:rsidR="00680AB3" w:rsidRDefault="00680AB3">
      <w:pPr>
        <w:rPr>
          <w:b/>
        </w:rPr>
      </w:pPr>
    </w:p>
    <w:p w:rsidR="00680AB3" w:rsidRDefault="00680AB3">
      <w:pPr>
        <w:rPr>
          <w:b/>
        </w:rPr>
      </w:pPr>
    </w:p>
    <w:p w:rsidR="00680AB3" w:rsidRDefault="00680AB3">
      <w:pPr>
        <w:rPr>
          <w:b/>
        </w:rPr>
      </w:pPr>
    </w:p>
    <w:p w:rsidR="00680AB3" w:rsidRDefault="00680AB3">
      <w:pPr>
        <w:rPr>
          <w:b/>
        </w:rPr>
      </w:pPr>
    </w:p>
    <w:p w:rsidR="00680AB3" w:rsidRDefault="00680AB3">
      <w:pPr>
        <w:rPr>
          <w:b/>
        </w:rPr>
      </w:pPr>
    </w:p>
    <w:p w:rsidR="00680AB3" w:rsidRDefault="00680AB3">
      <w:pPr>
        <w:rPr>
          <w:b/>
        </w:rPr>
      </w:pPr>
    </w:p>
    <w:p w:rsidR="00680AB3" w:rsidRDefault="00680AB3" w:rsidP="00680AB3">
      <w:r>
        <w:lastRenderedPageBreak/>
        <w:tab/>
        <w:t>The following essay will reflect on my time during my tutorship period when conducting interviews as a Police Constable for the South Wales Police. I will outline my planning and preparation for interview, such as gathering evidence and suspect’s needs. I will explain and reflect on my responsibilities when conducting an interview in accordance with the interview process. I will then evaluate my performance in the interview and its effectiveness in the investigation process.</w:t>
      </w:r>
    </w:p>
    <w:p w:rsidR="00680AB3" w:rsidRDefault="00680AB3" w:rsidP="00680AB3">
      <w:r>
        <w:tab/>
        <w:t xml:space="preserve">In late November 2019 I came onto a night shift and was informed of an incident that had taken place the night before. The incident involved a couple who had left a night club in the early hours of the morning. Whilst walking home they saw a car drive past at speed and crash into railings cemented into the pavement. The car came to a stop due to this. The couple then went to the car to investigate the welfare of the people in the car. Four males were in the car and got out slowly. Allegedly the males told the couple not to contact the police and then proceeded to assault them to prevent them alerting authorities. Two officers were then alerted to the incident via a taxi driver who drove past the scene and stopped when he saw the vehicle. They then arrested the males who were found outside the vehicle. Both males failed a breathalyser when brought into custody. I was task with interviewing two males who were allegedly in the car at the time for the offence of driving a vehicle whilst being over the prescribed limit of alcohol. </w:t>
      </w:r>
    </w:p>
    <w:p w:rsidR="00680AB3" w:rsidRDefault="00680AB3" w:rsidP="00680AB3">
      <w:r>
        <w:tab/>
        <w:t>“Police forces in England and Wales use the P.E.A.C.E approach to interviewing:</w:t>
      </w:r>
    </w:p>
    <w:p w:rsidR="00680AB3" w:rsidRDefault="00680AB3" w:rsidP="00680AB3">
      <w:r>
        <w:t>. Planning and preparation</w:t>
      </w:r>
    </w:p>
    <w:p w:rsidR="00680AB3" w:rsidRDefault="00680AB3" w:rsidP="00680AB3">
      <w:r>
        <w:t>. Engage and Explain</w:t>
      </w:r>
    </w:p>
    <w:p w:rsidR="00680AB3" w:rsidRDefault="00680AB3" w:rsidP="00680AB3">
      <w:r>
        <w:t>. Account</w:t>
      </w:r>
    </w:p>
    <w:p w:rsidR="00680AB3" w:rsidRDefault="00680AB3" w:rsidP="00680AB3">
      <w:r>
        <w:t>. Clarification, Challenge and closure</w:t>
      </w:r>
    </w:p>
    <w:p w:rsidR="00680AB3" w:rsidRDefault="00680AB3" w:rsidP="00680AB3">
      <w:r>
        <w:t>.Evaluation</w:t>
      </w:r>
    </w:p>
    <w:p w:rsidR="00680AB3" w:rsidRDefault="00680AB3" w:rsidP="00680AB3">
      <w:r>
        <w:t>Each of these elements will be considered in turn, but the detail will depend on whether the interview is with a suspect or a witness. The key points are as follows:</w:t>
      </w:r>
    </w:p>
    <w:p w:rsidR="00680AB3" w:rsidRDefault="00680AB3" w:rsidP="00680AB3">
      <w:r>
        <w:t>.The objectives</w:t>
      </w:r>
    </w:p>
    <w:p w:rsidR="00680AB3" w:rsidRDefault="00680AB3" w:rsidP="00680AB3">
      <w:r>
        <w:t>. The relevant law</w:t>
      </w:r>
    </w:p>
    <w:p w:rsidR="00680AB3" w:rsidRDefault="00680AB3" w:rsidP="00680AB3">
      <w:r>
        <w:t>.Possible defences</w:t>
      </w:r>
    </w:p>
    <w:p w:rsidR="00680AB3" w:rsidRDefault="00680AB3" w:rsidP="00680AB3">
      <w:r>
        <w:t>.Possible mitigating and aggravating factors and</w:t>
      </w:r>
    </w:p>
    <w:p w:rsidR="00680AB3" w:rsidRDefault="00680AB3" w:rsidP="00680AB3">
      <w:r>
        <w:t>. Pre-interview briefing” (Bryant, R and Bryant, S-2018)</w:t>
      </w:r>
    </w:p>
    <w:p w:rsidR="00680AB3" w:rsidRDefault="00680AB3" w:rsidP="00680AB3">
      <w:pPr>
        <w:ind w:firstLine="720"/>
      </w:pPr>
      <w:r>
        <w:t>The first precaution during the interview process is make sure all the steps comply to P.A.C.E 1984 to make sure everything is done legally and ethically. The interview process begins when the suspect is brought to custody. “P.A.C.E both increased police powers and introduced a new system of safeguards. It created a new type of police officer-the custody officer- whom responsibility rests on the protection of the rights of suspects and who is independent of the investigation of the crime. P.A.C.E, and its associated Codes of Practice set out how suspects are to be treated. Arrested suspects must be “booked in” by custody officers, and must be informed of their rights, both orally and by giving them notice in writing. P.A.C.E Codes of Practice make a number of stipulations about the conditions of detention in the police station. These cover standards of physical comfort, provisions of refreshments, detentions of juveniles, use of reasonable force and the frequency of welfare checks.”</w:t>
      </w:r>
      <w:r w:rsidRPr="008D237D">
        <w:rPr>
          <w:rFonts w:ascii="Verdana" w:hAnsi="Verdana"/>
          <w:color w:val="000000"/>
          <w:sz w:val="20"/>
          <w:szCs w:val="20"/>
        </w:rPr>
        <w:t xml:space="preserve"> </w:t>
      </w:r>
      <w:r w:rsidRPr="00C60AF1">
        <w:rPr>
          <w:rFonts w:cstheme="minorHAnsi"/>
          <w:color w:val="000000"/>
        </w:rPr>
        <w:t>(Newburn, T &amp; Hayman S- 2002).</w:t>
      </w:r>
      <w:r>
        <w:t xml:space="preserve"> Before starting the preparation phase of the </w:t>
      </w:r>
      <w:r>
        <w:lastRenderedPageBreak/>
        <w:t>interview I checked the arrest log as the suspects had been in custody for a 15 hours. I made sure all the welfare checks had been done and refreshments given as they had been there for a long time. All precautions were in place so I could continue with the Planning and Preparation stage of the interview.</w:t>
      </w:r>
    </w:p>
    <w:p w:rsidR="00680AB3" w:rsidRDefault="00680AB3" w:rsidP="00680AB3">
      <w:r>
        <w:rPr>
          <w:color w:val="FFFFFF" w:themeColor="background1"/>
        </w:rPr>
        <w:tab/>
      </w:r>
      <w:r>
        <w:t>“Preparation is essential before any interview. This preparation should include the following:</w:t>
      </w:r>
    </w:p>
    <w:p w:rsidR="00680AB3" w:rsidRDefault="00680AB3" w:rsidP="00680AB3">
      <w:r>
        <w:t>. Decide where the interview will be conducted Consider the availability of a room and the timing of the interview.</w:t>
      </w:r>
    </w:p>
    <w:p w:rsidR="00680AB3" w:rsidRDefault="00680AB3" w:rsidP="00680AB3">
      <w:r>
        <w:t xml:space="preserve">. The location must have a seat for the person being interviewed and should be adequately lit, heated and ventilated. The detained person must also have adequate clothing. </w:t>
      </w:r>
    </w:p>
    <w:p w:rsidR="00680AB3" w:rsidRDefault="00680AB3" w:rsidP="00680AB3">
      <w:r>
        <w:t>. If the interview is being taped, ensure that there are sufficient tapes for the anticipated length of the interview. If the interview is being recorded in writing, ensure there are enough forms.</w:t>
      </w:r>
    </w:p>
    <w:p w:rsidR="00680AB3" w:rsidRDefault="00680AB3" w:rsidP="00680AB3">
      <w:r>
        <w:t xml:space="preserve">. If the interview is being taped, ensure the notice as set out in Code E (of P.A.C.E), para. 4.16 is available. </w:t>
      </w:r>
    </w:p>
    <w:p w:rsidR="00680AB3" w:rsidRDefault="00680AB3" w:rsidP="00680AB3">
      <w:r>
        <w:t>. In deciding the timing of the interview you will need to consider detainee’s rest periods, review times and whether the detained person is fit to be interviewed at the proposed time of interview. If the detained person is not fit, or he/she is having a rest period, then the interview must be delayed unless Code C, para. 12.2</w:t>
      </w:r>
    </w:p>
    <w:p w:rsidR="00680AB3" w:rsidRDefault="00680AB3" w:rsidP="00680AB3">
      <w:r>
        <w:t>. If legal advice has been requested you must arrange for legal representative to be present at the interview unless Code C, para 6.6</w:t>
      </w:r>
    </w:p>
    <w:p w:rsidR="00680AB3" w:rsidRPr="00CB2239" w:rsidRDefault="00680AB3" w:rsidP="00680AB3">
      <w:r>
        <w:t xml:space="preserve">. If a person has asked for legal advice and an interview is initiated in the absence of a legal adviser, a record must be made in the interview record.” </w:t>
      </w:r>
      <w:r w:rsidRPr="00C60AF1">
        <w:rPr>
          <w:rFonts w:cstheme="minorHAnsi"/>
        </w:rPr>
        <w:t>(</w:t>
      </w:r>
      <w:r w:rsidRPr="00C60AF1">
        <w:rPr>
          <w:rFonts w:cstheme="minorHAnsi"/>
          <w:color w:val="000000"/>
        </w:rPr>
        <w:t>Hutton, G &amp; Johnston, D-2000).</w:t>
      </w:r>
    </w:p>
    <w:p w:rsidR="00680AB3" w:rsidRDefault="00680AB3" w:rsidP="00680AB3">
      <w:pPr>
        <w:rPr>
          <w:rFonts w:cstheme="minorHAnsi"/>
          <w:color w:val="000000"/>
        </w:rPr>
      </w:pPr>
      <w:r>
        <w:rPr>
          <w:rFonts w:ascii="Verdana" w:hAnsi="Verdana"/>
          <w:color w:val="000000"/>
          <w:sz w:val="20"/>
          <w:szCs w:val="20"/>
        </w:rPr>
        <w:t xml:space="preserve"> </w:t>
      </w:r>
      <w:r>
        <w:rPr>
          <w:rFonts w:cstheme="minorHAnsi"/>
          <w:color w:val="000000"/>
        </w:rPr>
        <w:t>Both suspects needed different interview preparation due to their needs. The first suspect requested an independent solicitor for this interview. The second suspect didn’t request a solicitor to be present however he spoke little to no English. Therefore, I had to request an interpreter to be present. This turned out to be more difficult as expected as the suspect spoke a very specific dialect in his language so finding an appropriate interpreter was a challenge. As it would take time to find the interpreter I decided to manage my time most effectively by interviewing the first suspect while the interpreter was travelling to the station. Apart from these differences most aspects of interview preparation were the same as they were both suspects therefore needed to be interviewed in a Police station to comply with P.A.C.E 1984.</w:t>
      </w:r>
    </w:p>
    <w:p w:rsidR="00680AB3" w:rsidRDefault="00680AB3" w:rsidP="00680AB3">
      <w:pPr>
        <w:rPr>
          <w:rFonts w:cstheme="minorHAnsi"/>
          <w:color w:val="000000"/>
        </w:rPr>
      </w:pPr>
      <w:r>
        <w:rPr>
          <w:rFonts w:cstheme="minorHAnsi"/>
          <w:color w:val="000000"/>
        </w:rPr>
        <w:tab/>
        <w:t>I prepared the interview questions based around statements from the couple and the taxi driver. I also viewed the CCTV and made questions based on this and brought a photo of the car as an exhibit and made questions based on this as well. I made sure to make “no comment” questions based on this. These are short questions clearly displaying the topics being asked so that in an event of the interviewee answering “no comment” it is clear what they are answering. I then met with the suspect’s solicitor and displayed to them all the evidence that I would be presenting in the interview. After this disclosure the suspect and his solicitor gave me a prepared statement simply stating that he didn’t drive the vehicle and that it was someone else. From this statement I made more questions regarding this.</w:t>
      </w:r>
    </w:p>
    <w:p w:rsidR="00680AB3" w:rsidRDefault="00680AB3" w:rsidP="00680AB3">
      <w:pPr>
        <w:rPr>
          <w:rFonts w:cstheme="minorHAnsi"/>
          <w:color w:val="000000"/>
        </w:rPr>
      </w:pPr>
      <w:r>
        <w:rPr>
          <w:rFonts w:cstheme="minorHAnsi"/>
          <w:color w:val="000000"/>
        </w:rPr>
        <w:tab/>
        <w:t xml:space="preserve">At this point I sit in the interview room with the suspect and enter the Engage and Explain part of the interview. I explain that the interview is to be recorded. When the recording starts I introduce myself and everyone present in the room. I then explain to the suspect how the interview </w:t>
      </w:r>
      <w:r>
        <w:rPr>
          <w:rFonts w:cstheme="minorHAnsi"/>
          <w:color w:val="000000"/>
        </w:rPr>
        <w:lastRenderedPageBreak/>
        <w:t>will work, with the help of a prepared memo card. In this phase I explain that the tapes can be shown in court and that if he says something different here than in court they may think he is not telling the truth. I then ask if he understands this. I then caution the suspect and break down the caution and ask if he understands all the details of the caution. With the second suspect I asked him why he didn’t want a solicitor on tape so that it was recorded the reason why.</w:t>
      </w:r>
    </w:p>
    <w:p w:rsidR="00680AB3" w:rsidRDefault="00680AB3" w:rsidP="00680AB3">
      <w:pPr>
        <w:rPr>
          <w:rFonts w:cstheme="minorHAnsi"/>
          <w:color w:val="000000"/>
        </w:rPr>
      </w:pPr>
      <w:r>
        <w:rPr>
          <w:rFonts w:cstheme="minorHAnsi"/>
          <w:color w:val="000000"/>
        </w:rPr>
        <w:tab/>
        <w:t>I then enter the Account and Clarification stage of the interview. With the first suspect, he decided to answer “no comment” to every question. However, I made sure that I spoke slowly and clearly so that he understood each question I asked him. I also reminded him that he is free to exercise his right to silence, however, answering the questions may help him to prove his innocence. The second suspect answered my questions openly and told his version of events. He claimed that they both work together, had been out drinking and that the first suspect drove home until he crashed the car. I then clarified that what the person said is what is to be recorded.</w:t>
      </w:r>
    </w:p>
    <w:p w:rsidR="00680AB3" w:rsidRDefault="00680AB3" w:rsidP="00680AB3">
      <w:pPr>
        <w:rPr>
          <w:rFonts w:cstheme="minorHAnsi"/>
          <w:color w:val="000000"/>
        </w:rPr>
      </w:pPr>
      <w:r>
        <w:rPr>
          <w:rFonts w:cstheme="minorHAnsi"/>
          <w:color w:val="000000"/>
        </w:rPr>
        <w:tab/>
        <w:t>After this phase I would then ask challenging questions to test their version of events. The first suspect said “no comment” to interview so therefore no challenge was necessary. With the second suspect I simply asked “Did you drive the car that night” to which he answered “No, it is not my car.”</w:t>
      </w:r>
    </w:p>
    <w:p w:rsidR="00680AB3" w:rsidRDefault="00680AB3" w:rsidP="00680AB3">
      <w:pPr>
        <w:rPr>
          <w:rFonts w:cstheme="minorHAnsi"/>
          <w:color w:val="000000"/>
        </w:rPr>
      </w:pPr>
      <w:r>
        <w:rPr>
          <w:rFonts w:cstheme="minorHAnsi"/>
          <w:color w:val="000000"/>
        </w:rPr>
        <w:tab/>
        <w:t>After the interview concluded the tapes are then appropriately stored for evidence and the events are recorded and put into the detention log. Then enters the Evaluation stage whereby you evaluate your performance and what effect the interview had on the investigation. I felt the interview went well although my tutor felt I asked too many questions during the “No comment” interview, however, I feel I would rather ask too many then not enough during the investigation to be thorough. In terms of the investigation, all statements pointed towards the first suspect to be driving that night therefore he was charged with the offence, therefore I believe the interview had a positive outcome.</w:t>
      </w:r>
    </w:p>
    <w:p w:rsidR="00680AB3" w:rsidRDefault="00680AB3" w:rsidP="00680AB3">
      <w:pPr>
        <w:rPr>
          <w:rFonts w:cstheme="minorHAnsi"/>
          <w:color w:val="000000"/>
        </w:rPr>
      </w:pPr>
      <w:r>
        <w:rPr>
          <w:rFonts w:cstheme="minorHAnsi"/>
          <w:color w:val="000000"/>
        </w:rPr>
        <w:tab/>
        <w:t>I believe that I remained unbiased and appropriately accommodated the needs of the suspects and was patient with the language barrier during the investigation. Therefore displaying the ethical ability shown in the principles of policing and adhering to P.A.C.E 1984 at all times.</w:t>
      </w:r>
    </w:p>
    <w:p w:rsidR="00680AB3" w:rsidRDefault="00680AB3" w:rsidP="00680AB3">
      <w:pPr>
        <w:rPr>
          <w:rFonts w:cstheme="minorHAnsi"/>
          <w:color w:val="000000"/>
        </w:rPr>
      </w:pPr>
    </w:p>
    <w:p w:rsidR="00680AB3" w:rsidRPr="00680AB3" w:rsidRDefault="00680AB3">
      <w:pPr>
        <w:rPr>
          <w:rFonts w:cstheme="minorHAnsi"/>
          <w:b/>
          <w:color w:val="000000"/>
        </w:rPr>
      </w:pPr>
      <w:r w:rsidRPr="00680AB3">
        <w:rPr>
          <w:rFonts w:cstheme="minorHAnsi"/>
          <w:b/>
          <w:color w:val="000000"/>
        </w:rPr>
        <w:t>1553 Words</w:t>
      </w:r>
    </w:p>
    <w:p w:rsidR="00680AB3" w:rsidRDefault="00680AB3">
      <w:pPr>
        <w:rPr>
          <w:b/>
        </w:rPr>
      </w:pPr>
    </w:p>
    <w:p w:rsidR="00680AB3" w:rsidRDefault="00680AB3">
      <w:pPr>
        <w:rPr>
          <w:b/>
        </w:rPr>
      </w:pPr>
    </w:p>
    <w:p w:rsidR="00680AB3" w:rsidRDefault="00680AB3" w:rsidP="00680AB3">
      <w:r w:rsidRPr="00680AB3">
        <w:tab/>
      </w:r>
    </w:p>
    <w:p w:rsidR="00680AB3" w:rsidRDefault="00680AB3" w:rsidP="00680AB3"/>
    <w:p w:rsidR="00680AB3" w:rsidRDefault="00680AB3" w:rsidP="00680AB3"/>
    <w:p w:rsidR="00680AB3" w:rsidRDefault="00680AB3" w:rsidP="00680AB3"/>
    <w:p w:rsidR="00680AB3" w:rsidRDefault="00680AB3" w:rsidP="00680AB3"/>
    <w:p w:rsidR="00680AB3" w:rsidRDefault="00680AB3" w:rsidP="00680AB3"/>
    <w:p w:rsidR="00680AB3" w:rsidRDefault="00680AB3" w:rsidP="00680AB3"/>
    <w:p w:rsidR="00680AB3" w:rsidRPr="00680AB3" w:rsidRDefault="00680AB3" w:rsidP="00680AB3">
      <w:pPr>
        <w:ind w:firstLine="720"/>
        <w:rPr>
          <w:rFonts w:cstheme="minorHAnsi"/>
        </w:rPr>
      </w:pPr>
      <w:r w:rsidRPr="00680AB3">
        <w:rPr>
          <w:rFonts w:cstheme="minorHAnsi"/>
        </w:rPr>
        <w:lastRenderedPageBreak/>
        <w:t>The following Essay will reflect the impact of Anti-social Behaviour on the local community and what constitutes effective and appropriate police action. I will outline the responsibilities when responding to Anti-social Behaviour including enforcement, prevention activity and partnership activity. I will then illustrate how policing values were engaged through the analysis of potential impact of bias on the decision making process. I will then give my opinion through my experience to reflect on the problem solving, evidence based policing, decision making and discretion that impacts the wider police community relations.</w:t>
      </w:r>
    </w:p>
    <w:p w:rsidR="00680AB3" w:rsidRPr="00680AB3" w:rsidRDefault="00680AB3" w:rsidP="00680AB3">
      <w:pPr>
        <w:rPr>
          <w:rFonts w:cstheme="minorHAnsi"/>
        </w:rPr>
      </w:pPr>
      <w:r w:rsidRPr="00680AB3">
        <w:rPr>
          <w:rFonts w:cstheme="minorHAnsi"/>
        </w:rPr>
        <w:tab/>
        <w:t>The starting point of tackling Anti-social behaviour is to analyse what exactly it is and how it impacts the local and wider community in the United Kingdom. “The definition of anti-social behaviour which caused or is likely to cause harassment alarm or distress to any person of the Anti-social Behaviour, Crime and Policing Act 2014.” (Bryant, R and Bryant, S-2018).</w:t>
      </w:r>
    </w:p>
    <w:p w:rsidR="00680AB3" w:rsidRPr="00680AB3" w:rsidRDefault="00680AB3" w:rsidP="00680AB3">
      <w:pPr>
        <w:rPr>
          <w:rFonts w:cstheme="minorHAnsi"/>
        </w:rPr>
      </w:pPr>
      <w:r w:rsidRPr="00680AB3">
        <w:rPr>
          <w:rFonts w:cstheme="minorHAnsi"/>
        </w:rPr>
        <w:t>Anti-social behaviour can be broken down into the following categories:</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“Vehicle abandoned:</w:t>
      </w:r>
      <w:r w:rsidRPr="00680AB3">
        <w:rPr>
          <w:rFonts w:eastAsia="Times New Roman" w:cstheme="minorHAnsi"/>
          <w:color w:val="1F2025"/>
          <w:lang w:eastAsia="en-GB"/>
        </w:rPr>
        <w:t> This covers vehicles that appear to have been left by their owner, rather than stolen and abandoned. It includes scrap or ‘end of life’ vehicles and those damaged at the scene of a road traffic collision that have been abandoned and aren’t awaiting recovery.</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Vehicle nuisance or inappropriate use:</w:t>
      </w:r>
      <w:r w:rsidRPr="00680AB3">
        <w:rPr>
          <w:rFonts w:eastAsia="Times New Roman" w:cstheme="minorHAnsi"/>
          <w:color w:val="1F2025"/>
          <w:lang w:eastAsia="en-GB"/>
        </w:rPr>
        <w:t xml:space="preserve"> This relates to vehicles being used in acts such as street cruising (driving up and down the street causing annoyance and bothering other road users), vehicle convoys and riding or driving on land other than a road. It also covers the misuse of go-peds, motorised skateboards and electric-propelled cycles, and the unlicensed dealing of vehicles where a person has two or more vehicles on the same road within 500 metres of each other.</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Rowdy or inconsiderate behaviour:</w:t>
      </w:r>
      <w:r w:rsidRPr="00680AB3">
        <w:rPr>
          <w:rFonts w:eastAsia="Times New Roman" w:cstheme="minorHAnsi"/>
          <w:color w:val="1F2025"/>
          <w:lang w:eastAsia="en-GB"/>
        </w:rPr>
        <w:t xml:space="preserve"> This refers to general nuisance behaviour in a public place or a place to which the public have access, such as private clubs. It does not include domestic-related behaviour, harassment or public disorder which should be reported as crimes.</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Rowdy or nuisance neighbours:</w:t>
      </w:r>
      <w:r w:rsidRPr="00680AB3">
        <w:rPr>
          <w:rFonts w:eastAsia="Times New Roman" w:cstheme="minorHAnsi"/>
          <w:color w:val="1F2025"/>
          <w:lang w:eastAsia="en-GB"/>
        </w:rPr>
        <w:t xml:space="preserve"> This covers any rowdy behaviour or general nuisance caused by neighbours, including boundary and parking disputes. It also covers noise nuisance from parties or playing loud music.</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Littering or drugs paraphernalia:</w:t>
      </w:r>
      <w:r w:rsidRPr="00680AB3">
        <w:rPr>
          <w:rFonts w:eastAsia="Times New Roman" w:cstheme="minorHAnsi"/>
          <w:color w:val="1F2025"/>
          <w:lang w:eastAsia="en-GB"/>
        </w:rPr>
        <w:t xml:space="preserve"> This includes fly posting and discarding litter, rubbish or drugs paraphernalia in any public place.</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Animal problems:</w:t>
      </w:r>
      <w:r w:rsidRPr="00680AB3">
        <w:rPr>
          <w:rFonts w:eastAsia="Times New Roman" w:cstheme="minorHAnsi"/>
          <w:color w:val="1F2025"/>
          <w:lang w:eastAsia="en-GB"/>
        </w:rPr>
        <w:t xml:space="preserve"> This covers any situation where animals are creating a nuisance or people’s behaviour associated with the use of animals is deemed as antisocial. It includes uncontrolled animals, stray dogs, barking, fouling and intimidation by an animal.</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Trespassing:</w:t>
      </w:r>
      <w:r w:rsidRPr="00680AB3">
        <w:rPr>
          <w:rFonts w:eastAsia="Times New Roman" w:cstheme="minorHAnsi"/>
          <w:color w:val="1F2025"/>
          <w:lang w:eastAsia="en-GB"/>
        </w:rPr>
        <w:t xml:space="preserve"> This is any situation in which people have entered land, water or premises without lawful authority or permission. It ranges from taking an unauthorised shortcut through a garden to setting up unauthorised campsites.</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Nuisance calls:</w:t>
      </w:r>
      <w:r w:rsidRPr="00680AB3">
        <w:rPr>
          <w:rFonts w:eastAsia="Times New Roman" w:cstheme="minorHAnsi"/>
          <w:color w:val="1F2025"/>
          <w:lang w:eastAsia="en-GB"/>
        </w:rPr>
        <w:t xml:space="preserve"> This covers any type of communication by phone that causes anxiety and annoyance, including silent calls and intrusive ‘cold calling’ from businesses. It does not cover indecent, threatening or offensive behaviour which should be reported as crimes.</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Street drinking:</w:t>
      </w:r>
      <w:r w:rsidRPr="00680AB3">
        <w:rPr>
          <w:rFonts w:eastAsia="Times New Roman" w:cstheme="minorHAnsi"/>
          <w:color w:val="1F2025"/>
          <w:lang w:eastAsia="en-GB"/>
        </w:rPr>
        <w:t xml:space="preserve"> This relates to unlicensed drinking in public spaces, where the behaviour of the persons involved is deemed as antisocial. It also covers unplanned and spontaneous parties which encroach on the street.</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lastRenderedPageBreak/>
        <w:t xml:space="preserve">Prostitution-related activity: </w:t>
      </w:r>
      <w:r w:rsidRPr="00680AB3">
        <w:rPr>
          <w:rFonts w:eastAsia="Times New Roman" w:cstheme="minorHAnsi"/>
          <w:color w:val="1F2025"/>
          <w:lang w:eastAsia="en-GB"/>
        </w:rPr>
        <w:t>This relates to any activity involving prostitution such as loitering, displaying cards or promoting prostitution. It may also refer to activities in and around a brothel that impact on local residents. It does not include ‘kerb-crawling’ which should be reported as a crime.</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Nuisance noise:</w:t>
      </w:r>
      <w:r w:rsidRPr="00680AB3">
        <w:rPr>
          <w:rFonts w:eastAsia="Times New Roman" w:cstheme="minorHAnsi"/>
          <w:color w:val="1F2025"/>
          <w:lang w:eastAsia="en-GB"/>
        </w:rPr>
        <w:t xml:space="preserve"> This relates to all incidents of noise nuisance that do not involve neighbours (see ‘Nuisance neighbours’ above).</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Begging:</w:t>
      </w:r>
      <w:r w:rsidRPr="00680AB3">
        <w:rPr>
          <w:rFonts w:eastAsia="Times New Roman" w:cstheme="minorHAnsi"/>
          <w:color w:val="1F2025"/>
          <w:lang w:eastAsia="en-GB"/>
        </w:rPr>
        <w:t xml:space="preserve"> This covers anyone begging or asking for charitable donations in a public place, or encouraging a child to do so, without a license. Unlicensed ticket sellers at or near public transport hubs may also fall into this category.</w:t>
      </w:r>
    </w:p>
    <w:p w:rsidR="00680AB3" w:rsidRPr="00680AB3" w:rsidRDefault="00680AB3" w:rsidP="00680AB3">
      <w:pPr>
        <w:numPr>
          <w:ilvl w:val="0"/>
          <w:numId w:val="1"/>
        </w:numPr>
        <w:spacing w:after="0" w:line="333" w:lineRule="atLeast"/>
        <w:ind w:left="450"/>
        <w:textAlignment w:val="baseline"/>
        <w:rPr>
          <w:rFonts w:eastAsia="Times New Roman" w:cstheme="minorHAnsi"/>
          <w:color w:val="1F2025"/>
          <w:lang w:eastAsia="en-GB"/>
        </w:rPr>
      </w:pPr>
      <w:r w:rsidRPr="00680AB3">
        <w:rPr>
          <w:rFonts w:eastAsia="Times New Roman" w:cstheme="minorHAnsi"/>
          <w:color w:val="1F2025"/>
          <w:bdr w:val="none" w:sz="0" w:space="0" w:color="auto" w:frame="1"/>
          <w:lang w:eastAsia="en-GB"/>
        </w:rPr>
        <w:t>Misuse of fireworks:</w:t>
      </w:r>
      <w:r w:rsidRPr="00680AB3">
        <w:rPr>
          <w:rFonts w:eastAsia="Times New Roman" w:cstheme="minorHAnsi"/>
          <w:color w:val="1F2025"/>
          <w:lang w:eastAsia="en-GB"/>
        </w:rPr>
        <w:t xml:space="preserve"> This will include the inappropriate use of fireworks, the unlawful sale or possession of fireworks and noise created by fireworks.”(</w:t>
      </w:r>
      <w:r w:rsidRPr="00680AB3">
        <w:rPr>
          <w:rFonts w:eastAsia="Times New Roman" w:cstheme="minorHAnsi"/>
          <w:color w:val="000000"/>
          <w:lang w:eastAsia="en-GB"/>
        </w:rPr>
        <w:t>Thames Valley Police-2020)</w:t>
      </w:r>
    </w:p>
    <w:p w:rsidR="00680AB3" w:rsidRPr="00680AB3" w:rsidRDefault="00680AB3" w:rsidP="00680AB3">
      <w:pPr>
        <w:spacing w:after="0" w:line="333" w:lineRule="atLeast"/>
        <w:ind w:left="450"/>
        <w:textAlignment w:val="baseline"/>
        <w:rPr>
          <w:rFonts w:eastAsia="Times New Roman" w:cstheme="minorHAnsi"/>
          <w:color w:val="1F2025"/>
          <w:lang w:eastAsia="en-GB"/>
        </w:rPr>
      </w:pPr>
    </w:p>
    <w:p w:rsidR="00680AB3" w:rsidRPr="00680AB3" w:rsidRDefault="00680AB3" w:rsidP="00680AB3">
      <w:pPr>
        <w:rPr>
          <w:rFonts w:cstheme="minorHAnsi"/>
        </w:rPr>
      </w:pPr>
      <w:r w:rsidRPr="00680AB3">
        <w:rPr>
          <w:rFonts w:cstheme="minorHAnsi"/>
        </w:rPr>
        <w:t xml:space="preserve">  Local communities and local authorities have tried to tackle Anti-social behaviour in the past to limited success. “There has been increasing interest in the role of the community and victims in working with the police to address Anti-social Behaviour. Local authorities, the police and courts now have new powers to combat Anti-social Behaviour, replacing earlier interventions such as Anti-social Behaviour Orders (ASBOs) which were perceived to be ineffective, slow, bureaucratic, and expensive” (Bryant, R and Bryant, S-2018).</w:t>
      </w:r>
    </w:p>
    <w:p w:rsidR="00680AB3" w:rsidRPr="00680AB3" w:rsidRDefault="00680AB3" w:rsidP="00680AB3">
      <w:pPr>
        <w:spacing w:before="240"/>
        <w:rPr>
          <w:rFonts w:cstheme="minorHAnsi"/>
          <w:color w:val="000000"/>
        </w:rPr>
      </w:pPr>
      <w:r w:rsidRPr="00680AB3">
        <w:rPr>
          <w:rFonts w:cstheme="minorHAnsi"/>
        </w:rPr>
        <w:tab/>
        <w:t>After understanding what Anti-social behaviour is the next step is to explore what the impacts of not resolving Anti-social behaviour in the greater community are. “Community leaders believe the Britain’s police is just running about here and there, making noise to show that they are actively pursuing criminal elements while, in reality, they have failed to provide good services to the community. The police have collectively failed in countering multi-cultural crimes in cities and towns. They need to respect colour, culture and different ways to life.” (</w:t>
      </w:r>
      <w:r w:rsidRPr="00680AB3">
        <w:rPr>
          <w:rFonts w:cstheme="minorHAnsi"/>
          <w:color w:val="000000"/>
        </w:rPr>
        <w:t>Jalalzai, M-2012) The previous was a reaction to the Anti-social behaviour that impacted Asian communities after the 2005 and 2007 London bombings. When it comes to Anti-social Behaviour regarding race relations it is important to understand that the prejudice can work both ways which causes Anti-social behaviour against both sides. “Perceptions of prejudice themselves often prejudice: there is a tendency to believe that certain groups (such as older white male managers) are prejudiced or that its victims are members of certain groups (such as Bangladeshi women). That is, perceptions of prejudice are strongly influenced by specific expectations regarding who are the prototypic perpetrators and victims of prejudice”. (Guirdham, M-1999) Failure to stop Anti-social behaviour can cause whole communities to turn against each other, people to have no respect for their local environment and commit more crime due to this, and or violence between certain members of the community. Also a spike in other crimes may become a pattern in the area (e.g. drug dealers showing up more often where graffiti and criminal damage is present as they assume the place is unpoliced due to these factors.)</w:t>
      </w:r>
    </w:p>
    <w:p w:rsidR="00680AB3" w:rsidRPr="00680AB3" w:rsidRDefault="00680AB3" w:rsidP="00680AB3">
      <w:pPr>
        <w:spacing w:after="240" w:line="240" w:lineRule="auto"/>
        <w:rPr>
          <w:rFonts w:eastAsia="Times New Roman" w:cstheme="minorHAnsi"/>
          <w:color w:val="000000"/>
          <w:lang w:eastAsia="en-GB"/>
        </w:rPr>
      </w:pPr>
      <w:r w:rsidRPr="00680AB3">
        <w:rPr>
          <w:rFonts w:eastAsia="Times New Roman" w:cstheme="minorHAnsi"/>
          <w:color w:val="000000"/>
          <w:lang w:eastAsia="en-GB"/>
        </w:rPr>
        <w:tab/>
        <w:t>On top of Anti-social behaviour effecting greater communities it can also have a negative effect on individuals as well. This can be seen by the effects taken on Fiona Pilkinton. “</w:t>
      </w:r>
      <w:r w:rsidRPr="00680AB3">
        <w:rPr>
          <w:rFonts w:eastAsia="Times New Roman" w:cstheme="minorHAnsi"/>
          <w:color w:val="121212"/>
          <w:lang w:eastAsia="en-GB"/>
        </w:rPr>
        <w:t xml:space="preserve">In October 2007, Pilkington, then 38, drove herself and her 18-year-old daughter, Francecca Hardwick, to a layby near her home in Barwell, near Hinckley. She also took the family's pet rabbit to soothe Hardwick, who had severe learning disabilities and a mental age of about four. She then set the Austin Maestro on fire, killing them both. </w:t>
      </w:r>
      <w:hyperlink r:id="rId7" w:history="1">
        <w:r w:rsidRPr="00680AB3">
          <w:rPr>
            <w:rFonts w:eastAsia="Times New Roman" w:cstheme="minorHAnsi"/>
            <w:lang w:eastAsia="en-GB"/>
          </w:rPr>
          <w:t>An inquest two years later heard how</w:t>
        </w:r>
      </w:hyperlink>
      <w:r w:rsidRPr="00680AB3">
        <w:rPr>
          <w:rFonts w:eastAsia="Times New Roman" w:cstheme="minorHAnsi"/>
          <w:color w:val="121212"/>
          <w:lang w:eastAsia="en-GB"/>
        </w:rPr>
        <w:t xml:space="preserve"> the family had been kept virtual prisoners in their home by youths who threw stones, flour and other objects, and kept up a relentless stream of abuse. The jury ruled that failings by police contributed to the deaths, as </w:t>
      </w:r>
      <w:r w:rsidRPr="00680AB3">
        <w:rPr>
          <w:rFonts w:eastAsia="Times New Roman" w:cstheme="minorHAnsi"/>
          <w:color w:val="121212"/>
          <w:lang w:eastAsia="en-GB"/>
        </w:rPr>
        <w:lastRenderedPageBreak/>
        <w:t>did the failure of Leicestershire county council and Hinckley and Bosworth borough council to share information.” (</w:t>
      </w:r>
      <w:r w:rsidRPr="00680AB3">
        <w:rPr>
          <w:rFonts w:eastAsia="Times New Roman" w:cstheme="minorHAnsi"/>
          <w:color w:val="000000"/>
          <w:lang w:eastAsia="en-GB"/>
        </w:rPr>
        <w:t>Walker, P-2011)</w:t>
      </w:r>
    </w:p>
    <w:p w:rsidR="00680AB3" w:rsidRPr="00680AB3" w:rsidRDefault="00680AB3" w:rsidP="00680AB3">
      <w:pPr>
        <w:spacing w:after="240" w:line="240" w:lineRule="auto"/>
        <w:rPr>
          <w:rFonts w:eastAsia="Times New Roman" w:cstheme="minorHAnsi"/>
          <w:color w:val="121212"/>
          <w:lang w:eastAsia="en-GB"/>
        </w:rPr>
      </w:pPr>
      <w:r w:rsidRPr="00680AB3">
        <w:rPr>
          <w:rFonts w:eastAsia="Times New Roman" w:cstheme="minorHAnsi"/>
          <w:color w:val="000000"/>
          <w:lang w:eastAsia="en-GB"/>
        </w:rPr>
        <w:tab/>
        <w:t>Although the harms of Anti-social behaviour are often focused on the victims, especially as the Police service is victim led, studies have shown that negative impacts are also made on the offenders. “Childhood predictors of teenage offending predicted injury and cardiovascular and psychological illness at age 27–32. Delinquency predicted road, home and self-injury and psychological disorder, but was associated with less illness and hospital admission. Measures of antisocial behaviour at age 18 which most strongly predicted illness/injury at age 32 were drunk driving, ﬁghting after drinking, sexual promiscuity and heavy smoking. Relationships at age 16–18 between heavy alcohol consumption and less infection and less organic illness remained at age 27–32. Links common to both age 16–18 and age 27–32 were those between convictions, heavy regular drinking, low job status and injury; and links between convictions and less organic illness. Principal differences included links between convictions and psychological disorders only found at age 27–32. Antisocial lifestyle was associated with injury and psychological disorders up to age 32 but also with less organic illness. Alcohol consumption at age 16–18 predicted fewer illnesses overall, and fewer infections 15 years later. These negative associations are important and deserve further study.” (</w:t>
      </w:r>
      <w:r w:rsidRPr="00680AB3">
        <w:rPr>
          <w:rFonts w:eastAsia="Times New Roman" w:cstheme="minorHAnsi"/>
          <w:i/>
          <w:iCs/>
          <w:color w:val="2A2A2A"/>
          <w:bdr w:val="none" w:sz="0" w:space="0" w:color="auto" w:frame="1"/>
          <w:lang w:eastAsia="en-GB"/>
        </w:rPr>
        <w:t>Journal of Public Health</w:t>
      </w:r>
      <w:r w:rsidRPr="00680AB3">
        <w:rPr>
          <w:rFonts w:eastAsia="Times New Roman" w:cstheme="minorHAnsi"/>
          <w:color w:val="2A2A2A"/>
          <w:lang w:eastAsia="en-GB"/>
        </w:rPr>
        <w:t>, (2004)</w:t>
      </w:r>
    </w:p>
    <w:p w:rsidR="00680AB3" w:rsidRPr="00680AB3" w:rsidRDefault="00680AB3" w:rsidP="00680AB3">
      <w:pPr>
        <w:spacing w:before="240"/>
        <w:rPr>
          <w:rFonts w:cstheme="minorHAnsi"/>
        </w:rPr>
      </w:pPr>
      <w:r w:rsidRPr="00680AB3">
        <w:rPr>
          <w:rFonts w:cstheme="minorHAnsi"/>
        </w:rPr>
        <w:tab/>
        <w:t>There are many different techniques and tools you can use as a Police Constable to combat Anti-social Behaviour. The following will show and describe these methods:</w:t>
      </w:r>
    </w:p>
    <w:p w:rsidR="00680AB3" w:rsidRPr="00680AB3" w:rsidRDefault="00680AB3" w:rsidP="00680AB3">
      <w:pPr>
        <w:spacing w:before="240"/>
        <w:rPr>
          <w:rFonts w:cstheme="minorHAnsi"/>
        </w:rPr>
      </w:pPr>
      <w:r w:rsidRPr="00680AB3">
        <w:rPr>
          <w:rFonts w:cstheme="minorHAnsi"/>
        </w:rPr>
        <w:t>. Civil injunctions- “They are intended for use in non-housing related Anti-social behaviour where the behaviour either caused or was likely to cause harassment alarm or distress and for the housing related Anti-social Behaviour where the conduct is capable of causing a nuisance or annoyance……Breaching an injunction is not a criminal offence but there are penalties, and the breach must be proved to criminal standard.” (Bryant, R and Bryant, S-2018)</w:t>
      </w:r>
    </w:p>
    <w:p w:rsidR="00680AB3" w:rsidRPr="00680AB3" w:rsidRDefault="00680AB3" w:rsidP="00680AB3">
      <w:pPr>
        <w:spacing w:before="240"/>
        <w:rPr>
          <w:rFonts w:cstheme="minorHAnsi"/>
        </w:rPr>
      </w:pPr>
      <w:r w:rsidRPr="00680AB3">
        <w:rPr>
          <w:rFonts w:cstheme="minorHAnsi"/>
        </w:rPr>
        <w:t>. Dispersal Powers (Section 35</w:t>
      </w:r>
      <w:r w:rsidRPr="00680AB3">
        <w:rPr>
          <w:rFonts w:cstheme="minorHAnsi"/>
          <w:color w:val="000000"/>
        </w:rPr>
        <w:t>-Anti-social Behaviour, Crime and Policing Act 2014</w:t>
      </w:r>
      <w:r w:rsidRPr="00680AB3">
        <w:rPr>
          <w:rFonts w:cstheme="minorHAnsi"/>
        </w:rPr>
        <w:t>)- “Dispersal powers enable the police to disperse individuals or groups, directing them to leave a specified area and not return for up to 48 hours. The police must have reasonable grounds to believe that the individual’s or group’s presence in an area is likely to contribute to members of the public being harassed, alarmed or distressed, or result in crime and disorder; and the police consider the direction to leave is necessary to prevent or reduce the likelihood of such events.” (Pyper, D Lalic, M &amp; Hollan, S-2019).  It is to be noted that this can be given by a Police Constable or a Police Community Support Officer and must have the authorisation of an inspector or above.</w:t>
      </w:r>
    </w:p>
    <w:p w:rsidR="00680AB3" w:rsidRPr="00680AB3" w:rsidRDefault="00680AB3" w:rsidP="00680AB3">
      <w:pPr>
        <w:spacing w:before="240"/>
        <w:rPr>
          <w:rFonts w:cstheme="minorHAnsi"/>
        </w:rPr>
      </w:pPr>
      <w:r w:rsidRPr="00680AB3">
        <w:rPr>
          <w:rFonts w:cstheme="minorHAnsi"/>
        </w:rPr>
        <w:t>. High Visibility Foot Patrol- “One early product of police effectiveness research was the rediscovery of foot patrol. Crucially, it was found that foot patrol made the public feel safer and improved the public’s attitude toward the police.....It became more common to instruct police officers to get out of their patrol cars as often as possible, in order to interact with the public on a more frequent basis.” (Reisig,M &amp; Kane,R-2019).  In my limited experience I have established that the prevention of crime is more effective then dealing with the aftermath. I believe high visibility patrol to be one of the most effective immediate enablers of this method.</w:t>
      </w:r>
    </w:p>
    <w:p w:rsidR="00680AB3" w:rsidRPr="00680AB3" w:rsidRDefault="00680AB3" w:rsidP="00680AB3">
      <w:pPr>
        <w:spacing w:before="240"/>
        <w:rPr>
          <w:rFonts w:cstheme="minorHAnsi"/>
        </w:rPr>
      </w:pPr>
      <w:r w:rsidRPr="00680AB3">
        <w:rPr>
          <w:rFonts w:cstheme="minorHAnsi"/>
        </w:rPr>
        <w:t xml:space="preserve">. Using the Broken Window Theory- This is a model of Police from Washington D.C which in simple terms is dealing with low level crime to make the surrounding areas more respectable, therefore, causing the public to treat the area with more respect. Therefore leading to less anti-social Behaviour. “The “broken windows” thesis postulates that when police pay attention to minor crime </w:t>
      </w:r>
      <w:r w:rsidRPr="00680AB3">
        <w:rPr>
          <w:rFonts w:cstheme="minorHAnsi"/>
        </w:rPr>
        <w:lastRenderedPageBreak/>
        <w:t>and incivilities, neighbourhood residents notice and are reassured about safety of their neighbourhoods and dependability of their police.” (Reisig,M &amp; Kane,R 2019)</w:t>
      </w:r>
    </w:p>
    <w:p w:rsidR="00680AB3" w:rsidRPr="00680AB3" w:rsidRDefault="00680AB3" w:rsidP="00680AB3">
      <w:pPr>
        <w:spacing w:before="240"/>
        <w:rPr>
          <w:rFonts w:cstheme="minorHAnsi"/>
        </w:rPr>
      </w:pPr>
      <w:r w:rsidRPr="00680AB3">
        <w:rPr>
          <w:rFonts w:cstheme="minorHAnsi"/>
        </w:rPr>
        <w:t>. Working with Community organisations and leaders (Neighbourhood Watch)- Working with these people can bring the community closer and create the feeling that the public are the police and the police are the public which was the goal of the original Peelian Principles. “At a local level our members and coordinators help to ensure the police meet the needs of their communities, as well as providing information about crime and suspicious incidents. At force area level, each police force has a ‘single point of contact’ (SPOC) for Watch issues. They liaise with the force area level Neighbourhood Watch Association.”- (Neighbourhood watch-2019)</w:t>
      </w:r>
    </w:p>
    <w:p w:rsidR="00680AB3" w:rsidRPr="00680AB3" w:rsidRDefault="00680AB3" w:rsidP="00680AB3">
      <w:pPr>
        <w:spacing w:before="240"/>
        <w:rPr>
          <w:rFonts w:cstheme="minorHAnsi"/>
        </w:rPr>
      </w:pPr>
      <w:r w:rsidRPr="00680AB3">
        <w:rPr>
          <w:rFonts w:cstheme="minorHAnsi"/>
        </w:rPr>
        <w:tab/>
        <w:t>During my time as a Constable with the South Wales Police I have encountered Anti-social Behaviour hotspots. Policing these areas requires different approaches based on the factors in those areas. The first being the notorious Wind Street, Swansea. Whereby there is over fifteen night clubs on one street. This therefore causes there to be many people in the street who are intoxicated with alcohol. These aren’t necessarily “bad people” or criminals, however, after a high dose of alcohol with friends it sometimes causes undesirable behaviour which can be considered Anti-social Behaviour and can lead to potential public order offences or even assaults violent or sexual. To combat this, the method the South Wales Police have implement, is to have high visibility patrols on the street with extra numbers of Officers donated from the Western force area during when the street is busy (e.g. Saturday night, Student night, etc). The general consensus from sergeants in charge is to use high amounts of discretion and to keep everyone safe. This approach works as the relationship with the public remains intact as they don’t have to fear their career and or life can be ruined by a criminal record after doing something stupid on a drunken night out. My colleagues more often than not end up taking drunk people, who will potentially breach the peace, home other than arrest them which makes sure everyone is safe and no need for a criminal record on the potential offender. However it is worth mentioning that if an offence committed is more than a minor one then Police will have no choice but to arrest them and begin the investigation process. This includes high level assaults and crimes aggravated by racial or sexual intention.</w:t>
      </w:r>
    </w:p>
    <w:p w:rsidR="00680AB3" w:rsidRPr="00680AB3" w:rsidRDefault="00680AB3" w:rsidP="00680AB3">
      <w:pPr>
        <w:spacing w:before="240"/>
        <w:rPr>
          <w:rFonts w:cstheme="minorHAnsi"/>
        </w:rPr>
      </w:pPr>
      <w:r w:rsidRPr="00680AB3">
        <w:rPr>
          <w:rFonts w:cstheme="minorHAnsi"/>
        </w:rPr>
        <w:tab/>
        <w:t>The other Anti-social Behaviour hotspot in my force area is one, whereby, there is a lot of soliciting prostitution and “curb crawling.” The South Wales Police use a different approach for this by putting an operation on where Police Constables wearing plain clothes patrol the area in unmarked cars to try and spot behaviour related to this. The plain clothes and unmarked cars allow Constables to be more covert to monitor this behaviour. This works as if the officers were participating in high visibility patrols this activity will simply move to another location as they know the Police are monitoring them. This problem would simply get moved and not resolved if this happened.</w:t>
      </w:r>
    </w:p>
    <w:p w:rsidR="00680AB3" w:rsidRPr="00680AB3" w:rsidRDefault="00680AB3" w:rsidP="00680AB3">
      <w:pPr>
        <w:spacing w:before="240"/>
        <w:rPr>
          <w:rFonts w:cstheme="minorHAnsi"/>
        </w:rPr>
      </w:pPr>
      <w:r w:rsidRPr="00680AB3">
        <w:rPr>
          <w:rFonts w:cstheme="minorHAnsi"/>
        </w:rPr>
        <w:tab/>
        <w:t>In my time working as a Police Constable I have learnt that different methods can be used and tailored to combat any Anti-social Behaviour. I also can see the effects and change in areas with or without regular Police patrols and how the public attitude changes for the better when there is more of an active presence in that area.</w:t>
      </w:r>
    </w:p>
    <w:p w:rsidR="00680AB3" w:rsidRPr="00680AB3" w:rsidRDefault="00680AB3" w:rsidP="00680AB3">
      <w:pPr>
        <w:spacing w:before="240"/>
        <w:rPr>
          <w:rFonts w:cstheme="minorHAnsi"/>
        </w:rPr>
      </w:pPr>
    </w:p>
    <w:p w:rsidR="00680AB3" w:rsidRPr="00680AB3" w:rsidRDefault="00680AB3" w:rsidP="00680AB3">
      <w:pPr>
        <w:spacing w:before="240"/>
        <w:rPr>
          <w:rFonts w:cstheme="minorHAnsi"/>
          <w:b/>
        </w:rPr>
      </w:pPr>
      <w:r w:rsidRPr="00680AB3">
        <w:rPr>
          <w:rFonts w:cstheme="minorHAnsi"/>
          <w:b/>
        </w:rPr>
        <w:t xml:space="preserve">2351 Words </w:t>
      </w:r>
    </w:p>
    <w:p w:rsidR="00680AB3" w:rsidRDefault="00680AB3">
      <w:pPr>
        <w:rPr>
          <w:b/>
        </w:rPr>
      </w:pPr>
    </w:p>
    <w:p w:rsidR="00680AB3" w:rsidRPr="00680AB3" w:rsidRDefault="00680AB3" w:rsidP="00680AB3">
      <w:pPr>
        <w:rPr>
          <w:rFonts w:cstheme="minorHAnsi"/>
          <w:b/>
          <w:color w:val="000000"/>
          <w:u w:val="single"/>
        </w:rPr>
      </w:pPr>
      <w:r>
        <w:rPr>
          <w:rFonts w:cstheme="minorHAnsi"/>
          <w:b/>
          <w:color w:val="000000"/>
          <w:u w:val="single"/>
        </w:rPr>
        <w:lastRenderedPageBreak/>
        <w:t>Reference List</w:t>
      </w:r>
      <w:bookmarkStart w:id="0" w:name="_GoBack"/>
      <w:bookmarkEnd w:id="0"/>
    </w:p>
    <w:p w:rsidR="00680AB3" w:rsidRDefault="00680AB3" w:rsidP="00680AB3">
      <w:pPr>
        <w:rPr>
          <w:rFonts w:cstheme="minorHAnsi"/>
          <w:color w:val="000000"/>
        </w:rPr>
      </w:pPr>
    </w:p>
    <w:p w:rsidR="00680AB3" w:rsidRPr="00704881" w:rsidRDefault="00680AB3" w:rsidP="00680AB3">
      <w:pPr>
        <w:rPr>
          <w:rFonts w:cstheme="minorHAnsi"/>
          <w:color w:val="000000"/>
        </w:rPr>
      </w:pPr>
      <w:r w:rsidRPr="00704881">
        <w:rPr>
          <w:rFonts w:cstheme="minorHAnsi"/>
          <w:color w:val="000000"/>
        </w:rPr>
        <w:t xml:space="preserve">Cooper, C &amp; Payne, R (1994). </w:t>
      </w:r>
      <w:r w:rsidRPr="00704881">
        <w:rPr>
          <w:rFonts w:cstheme="minorHAnsi"/>
          <w:i/>
          <w:iCs/>
          <w:color w:val="000000"/>
        </w:rPr>
        <w:t>Causes, Coping &amp; Consequences of Stress at Work</w:t>
      </w:r>
      <w:r w:rsidRPr="00704881">
        <w:rPr>
          <w:rFonts w:cstheme="minorHAnsi"/>
          <w:color w:val="000000"/>
        </w:rPr>
        <w:t>. 4th ed. Great Britain: Libary of Congress Catalo</w:t>
      </w:r>
      <w:r>
        <w:rPr>
          <w:rFonts w:cstheme="minorHAnsi"/>
          <w:color w:val="000000"/>
        </w:rPr>
        <w:t>ging-in-publication Data. p276.</w:t>
      </w:r>
    </w:p>
    <w:p w:rsidR="00680AB3" w:rsidRPr="00704881" w:rsidRDefault="00680AB3" w:rsidP="00680AB3">
      <w:pPr>
        <w:rPr>
          <w:rFonts w:cstheme="minorHAnsi"/>
          <w:color w:val="000000"/>
        </w:rPr>
      </w:pPr>
      <w:r w:rsidRPr="00704881">
        <w:rPr>
          <w:rFonts w:cstheme="minorHAnsi"/>
          <w:color w:val="000000"/>
        </w:rPr>
        <w:t xml:space="preserve">Hodson, C (2001). </w:t>
      </w:r>
      <w:r w:rsidRPr="00704881">
        <w:rPr>
          <w:rFonts w:cstheme="minorHAnsi"/>
          <w:i/>
          <w:iCs/>
          <w:color w:val="000000"/>
        </w:rPr>
        <w:t>Psychology at Work</w:t>
      </w:r>
      <w:r w:rsidRPr="00704881">
        <w:rPr>
          <w:rFonts w:cstheme="minorHAnsi"/>
          <w:color w:val="000000"/>
        </w:rPr>
        <w:t>. Sussex, UK: Routledge. p66.</w:t>
      </w:r>
    </w:p>
    <w:p w:rsidR="00680AB3" w:rsidRPr="00704881" w:rsidRDefault="00680AB3" w:rsidP="00680AB3">
      <w:pPr>
        <w:rPr>
          <w:rFonts w:cstheme="minorHAnsi"/>
          <w:color w:val="000000"/>
        </w:rPr>
      </w:pPr>
      <w:r w:rsidRPr="00704881">
        <w:rPr>
          <w:rFonts w:cstheme="minorHAnsi"/>
          <w:color w:val="000000"/>
        </w:rPr>
        <w:t xml:space="preserve">Thompson, N (2011). </w:t>
      </w:r>
      <w:r w:rsidRPr="00704881">
        <w:rPr>
          <w:rFonts w:cstheme="minorHAnsi"/>
          <w:i/>
          <w:iCs/>
          <w:color w:val="000000"/>
        </w:rPr>
        <w:t>Effective Communication: A guide for the people profession</w:t>
      </w:r>
      <w:r w:rsidRPr="00704881">
        <w:rPr>
          <w:rFonts w:cstheme="minorHAnsi"/>
          <w:color w:val="000000"/>
        </w:rPr>
        <w:t>. 2nd ed. England: Palgrave Macmillian. p100-p101,p102-p103.</w:t>
      </w:r>
    </w:p>
    <w:p w:rsidR="00680AB3" w:rsidRPr="00704881" w:rsidRDefault="00680AB3" w:rsidP="00680AB3">
      <w:pPr>
        <w:rPr>
          <w:rFonts w:cstheme="minorHAnsi"/>
        </w:rPr>
      </w:pPr>
      <w:r w:rsidRPr="00704881">
        <w:rPr>
          <w:rFonts w:cstheme="minorHAnsi"/>
        </w:rPr>
        <w:t xml:space="preserve">Bryant, R and Bryant, S (2018). </w:t>
      </w:r>
      <w:r w:rsidRPr="00704881">
        <w:rPr>
          <w:rFonts w:cstheme="minorHAnsi"/>
          <w:i/>
        </w:rPr>
        <w:t xml:space="preserve">Blackstone’s handbook for Policing Students. </w:t>
      </w:r>
      <w:r w:rsidRPr="00704881">
        <w:rPr>
          <w:rFonts w:cstheme="minorHAnsi"/>
        </w:rPr>
        <w:t>13</w:t>
      </w:r>
      <w:r w:rsidRPr="00704881">
        <w:rPr>
          <w:rFonts w:cstheme="minorHAnsi"/>
          <w:vertAlign w:val="superscript"/>
        </w:rPr>
        <w:t>th</w:t>
      </w:r>
      <w:r w:rsidRPr="00704881">
        <w:rPr>
          <w:rFonts w:cstheme="minorHAnsi"/>
        </w:rPr>
        <w:t xml:space="preserve"> ed. Oxford, UK: Oxford University Press. p796, p1386, p807, p808 (Apple Books Edition)</w:t>
      </w:r>
    </w:p>
    <w:p w:rsidR="00680AB3" w:rsidRPr="00704881" w:rsidRDefault="00680AB3" w:rsidP="00680AB3">
      <w:pPr>
        <w:pStyle w:val="NormalWeb"/>
        <w:spacing w:line="300" w:lineRule="atLeast"/>
        <w:rPr>
          <w:rFonts w:asciiTheme="minorHAnsi" w:hAnsiTheme="minorHAnsi" w:cstheme="minorHAnsi"/>
          <w:color w:val="000000"/>
          <w:sz w:val="22"/>
          <w:szCs w:val="22"/>
        </w:rPr>
      </w:pPr>
      <w:r w:rsidRPr="00704881">
        <w:rPr>
          <w:rFonts w:asciiTheme="minorHAnsi" w:hAnsiTheme="minorHAnsi" w:cstheme="minorHAnsi"/>
          <w:color w:val="000000"/>
          <w:sz w:val="22"/>
          <w:szCs w:val="22"/>
        </w:rPr>
        <w:t xml:space="preserve">Dalton, J. (2019). </w:t>
      </w:r>
      <w:r w:rsidRPr="00704881">
        <w:rPr>
          <w:rFonts w:asciiTheme="minorHAnsi" w:hAnsiTheme="minorHAnsi" w:cstheme="minorHAnsi"/>
          <w:i/>
          <w:iCs/>
          <w:color w:val="000000"/>
          <w:sz w:val="22"/>
          <w:szCs w:val="22"/>
        </w:rPr>
        <w:t>The link is established between serial killers and animal cruelty.</w:t>
      </w:r>
      <w:r w:rsidRPr="00704881">
        <w:rPr>
          <w:rFonts w:asciiTheme="minorHAnsi" w:hAnsiTheme="minorHAnsi" w:cstheme="minorHAnsi"/>
          <w:color w:val="000000"/>
          <w:sz w:val="22"/>
          <w:szCs w:val="22"/>
        </w:rPr>
        <w:t xml:space="preserve"> Available: https://www.independent.co.uk/news/long_reads/domestic-violence-animal-cruelty-abuse-neglect-murder-children-dogs-a9018071.html. Last accessed 16/01/20.</w:t>
      </w:r>
    </w:p>
    <w:p w:rsidR="00680AB3" w:rsidRPr="00704881" w:rsidRDefault="00680AB3" w:rsidP="00680AB3">
      <w:pPr>
        <w:rPr>
          <w:rFonts w:cstheme="minorHAnsi"/>
          <w:color w:val="000000"/>
        </w:rPr>
      </w:pPr>
      <w:r w:rsidRPr="00704881">
        <w:rPr>
          <w:rFonts w:cstheme="minorHAnsi"/>
          <w:color w:val="000000"/>
        </w:rPr>
        <w:t xml:space="preserve">Newburn, T &amp; Hayman S (2002). </w:t>
      </w:r>
      <w:r w:rsidRPr="00704881">
        <w:rPr>
          <w:rFonts w:cstheme="minorHAnsi"/>
          <w:i/>
          <w:iCs/>
          <w:color w:val="000000"/>
        </w:rPr>
        <w:t>Policing, Surveilance and Social Control. CCTV and plice monitoring of suspects</w:t>
      </w:r>
      <w:r w:rsidRPr="00704881">
        <w:rPr>
          <w:rFonts w:cstheme="minorHAnsi"/>
          <w:color w:val="000000"/>
        </w:rPr>
        <w:t>. Devon, UK: Wilan Publishing. p6-p7.</w:t>
      </w:r>
    </w:p>
    <w:p w:rsidR="00680AB3" w:rsidRPr="00704881" w:rsidRDefault="00680AB3" w:rsidP="00680AB3">
      <w:pPr>
        <w:rPr>
          <w:rFonts w:cstheme="minorHAnsi"/>
          <w:color w:val="000000"/>
        </w:rPr>
      </w:pPr>
      <w:r w:rsidRPr="00704881">
        <w:rPr>
          <w:rFonts w:cstheme="minorHAnsi"/>
          <w:color w:val="000000"/>
        </w:rPr>
        <w:t xml:space="preserve">Hutton, G &amp; Johnston, D (2000). </w:t>
      </w:r>
      <w:r w:rsidRPr="00704881">
        <w:rPr>
          <w:rFonts w:cstheme="minorHAnsi"/>
          <w:i/>
          <w:iCs/>
          <w:color w:val="000000"/>
        </w:rPr>
        <w:t>Evidence And Procedure</w:t>
      </w:r>
      <w:r w:rsidRPr="00704881">
        <w:rPr>
          <w:rFonts w:cstheme="minorHAnsi"/>
          <w:color w:val="000000"/>
        </w:rPr>
        <w:t>. 3rd ed. Great Britain: Blackstone Press Limited. p293-p294</w:t>
      </w:r>
    </w:p>
    <w:p w:rsidR="00680AB3" w:rsidRPr="00704881" w:rsidRDefault="00680AB3" w:rsidP="00680AB3">
      <w:pPr>
        <w:rPr>
          <w:rFonts w:cstheme="minorHAnsi"/>
          <w:color w:val="000000"/>
        </w:rPr>
      </w:pPr>
      <w:r w:rsidRPr="00704881">
        <w:rPr>
          <w:rFonts w:cstheme="minorHAnsi"/>
          <w:color w:val="000000"/>
        </w:rPr>
        <w:t xml:space="preserve">Jalalzai, M (2012). </w:t>
      </w:r>
      <w:r w:rsidRPr="00704881">
        <w:rPr>
          <w:rFonts w:cstheme="minorHAnsi"/>
          <w:i/>
          <w:iCs/>
          <w:color w:val="000000"/>
        </w:rPr>
        <w:t>Policing In Multiculteral Britain: Racism, Colours, Riots and Cyber Terrorism</w:t>
      </w:r>
      <w:r w:rsidRPr="00704881">
        <w:rPr>
          <w:rFonts w:cstheme="minorHAnsi"/>
          <w:color w:val="000000"/>
        </w:rPr>
        <w:t>. London, UK: Afghan Security Studies Ltd. p48.</w:t>
      </w:r>
    </w:p>
    <w:p w:rsidR="00680AB3" w:rsidRPr="00704881" w:rsidRDefault="00680AB3" w:rsidP="00680AB3">
      <w:pPr>
        <w:rPr>
          <w:rFonts w:cstheme="minorHAnsi"/>
          <w:color w:val="000000"/>
        </w:rPr>
      </w:pPr>
      <w:r w:rsidRPr="00704881">
        <w:rPr>
          <w:rFonts w:cstheme="minorHAnsi"/>
          <w:color w:val="000000"/>
        </w:rPr>
        <w:t xml:space="preserve">Guirdham, M (1999). </w:t>
      </w:r>
      <w:r w:rsidRPr="00704881">
        <w:rPr>
          <w:rFonts w:cstheme="minorHAnsi"/>
          <w:i/>
          <w:iCs/>
          <w:color w:val="000000"/>
        </w:rPr>
        <w:t>Communicating Across Cultures</w:t>
      </w:r>
      <w:r w:rsidRPr="00704881">
        <w:rPr>
          <w:rFonts w:cstheme="minorHAnsi"/>
          <w:color w:val="000000"/>
        </w:rPr>
        <w:t>. Hampshire, UK: Palgrave. p168.</w:t>
      </w:r>
    </w:p>
    <w:p w:rsidR="00680AB3" w:rsidRPr="00704881" w:rsidRDefault="00680AB3" w:rsidP="00680AB3">
      <w:pPr>
        <w:rPr>
          <w:rFonts w:cstheme="minorHAnsi"/>
          <w:color w:val="000000"/>
        </w:rPr>
      </w:pPr>
      <w:r w:rsidRPr="00704881">
        <w:rPr>
          <w:rFonts w:cstheme="minorHAnsi"/>
          <w:color w:val="000000"/>
        </w:rPr>
        <w:t xml:space="preserve">Thames Valley Police. (). </w:t>
      </w:r>
      <w:r w:rsidRPr="00704881">
        <w:rPr>
          <w:rFonts w:cstheme="minorHAnsi"/>
          <w:i/>
          <w:iCs/>
          <w:color w:val="000000"/>
        </w:rPr>
        <w:t>What is antisocial behaviour?.</w:t>
      </w:r>
      <w:r w:rsidRPr="00704881">
        <w:rPr>
          <w:rFonts w:cstheme="minorHAnsi"/>
          <w:color w:val="000000"/>
        </w:rPr>
        <w:t xml:space="preserve"> Available: https://www.thamesvalley.police.uk/advice/advice-and-information/asb/af/antisocial-behaviour/. Last accessed 17/01/20.</w:t>
      </w:r>
    </w:p>
    <w:p w:rsidR="00680AB3" w:rsidRPr="00704881" w:rsidRDefault="00680AB3" w:rsidP="00680AB3">
      <w:pPr>
        <w:rPr>
          <w:rFonts w:cstheme="minorHAnsi"/>
          <w:color w:val="000000"/>
        </w:rPr>
      </w:pPr>
      <w:r w:rsidRPr="00704881">
        <w:rPr>
          <w:rFonts w:cstheme="minorHAnsi"/>
          <w:color w:val="000000"/>
        </w:rPr>
        <w:t xml:space="preserve">Walker, P. (2011). </w:t>
      </w:r>
      <w:r w:rsidRPr="00704881">
        <w:rPr>
          <w:rFonts w:cstheme="minorHAnsi"/>
          <w:i/>
          <w:iCs/>
          <w:color w:val="000000"/>
        </w:rPr>
        <w:t>Fiona Pilkington case: police face misconduct proceedings.</w:t>
      </w:r>
      <w:r w:rsidRPr="00704881">
        <w:rPr>
          <w:rFonts w:cstheme="minorHAnsi"/>
          <w:color w:val="000000"/>
        </w:rPr>
        <w:t xml:space="preserve"> Available: </w:t>
      </w:r>
      <w:hyperlink r:id="rId8" w:history="1">
        <w:r w:rsidRPr="00704881">
          <w:rPr>
            <w:rStyle w:val="Hyperlink"/>
            <w:rFonts w:cstheme="minorHAnsi"/>
          </w:rPr>
          <w:t>https://www.theguardian.com/uk/2011/may/24/fiona-pilkington-police-misconduct-proceedings. Last accessed 17/01/20</w:t>
        </w:r>
      </w:hyperlink>
      <w:r w:rsidRPr="00704881">
        <w:rPr>
          <w:rFonts w:cstheme="minorHAnsi"/>
          <w:color w:val="000000"/>
        </w:rPr>
        <w:t>.</w:t>
      </w:r>
    </w:p>
    <w:p w:rsidR="00680AB3" w:rsidRPr="00704881" w:rsidRDefault="00680AB3" w:rsidP="00680AB3">
      <w:pPr>
        <w:rPr>
          <w:rFonts w:cstheme="minorHAnsi"/>
        </w:rPr>
      </w:pPr>
      <w:r w:rsidRPr="00704881">
        <w:rPr>
          <w:rStyle w:val="Emphasis"/>
          <w:rFonts w:cstheme="minorHAnsi"/>
          <w:color w:val="2A2A2A"/>
          <w:bdr w:val="none" w:sz="0" w:space="0" w:color="auto" w:frame="1"/>
        </w:rPr>
        <w:t>Journal of Public Health</w:t>
      </w:r>
      <w:r w:rsidRPr="00704881">
        <w:rPr>
          <w:rFonts w:cstheme="minorHAnsi"/>
          <w:color w:val="2A2A2A"/>
        </w:rPr>
        <w:t xml:space="preserve">, (2004), Volume 26, Issue 4, p347–p352, </w:t>
      </w:r>
      <w:hyperlink r:id="rId9" w:history="1">
        <w:r w:rsidRPr="00704881">
          <w:rPr>
            <w:rStyle w:val="Hyperlink"/>
            <w:rFonts w:cstheme="minorHAnsi"/>
            <w:color w:val="006FB7"/>
            <w:bdr w:val="none" w:sz="0" w:space="0" w:color="auto" w:frame="1"/>
          </w:rPr>
          <w:t>https://doi.org/10.1093/pubmed/fdh169</w:t>
        </w:r>
      </w:hyperlink>
    </w:p>
    <w:p w:rsidR="00680AB3" w:rsidRPr="00704881" w:rsidRDefault="00680AB3" w:rsidP="00680AB3">
      <w:pPr>
        <w:rPr>
          <w:rFonts w:cstheme="minorHAnsi"/>
        </w:rPr>
      </w:pPr>
      <w:r w:rsidRPr="00704881">
        <w:rPr>
          <w:rFonts w:cstheme="minorHAnsi"/>
        </w:rPr>
        <w:t>Pyper, D Lalic, M &amp; Hollan, S. (2019). Anti-social Behaviour. https://researchbriefings.files.parliament.uk/documents/CDP-2019-0029/CDP-2019-0029.pdf. CDP-2019-002 ( ), p3.</w:t>
      </w:r>
    </w:p>
    <w:p w:rsidR="00680AB3" w:rsidRPr="00704881" w:rsidRDefault="00680AB3" w:rsidP="00680AB3">
      <w:pPr>
        <w:rPr>
          <w:rFonts w:cstheme="minorHAnsi"/>
        </w:rPr>
      </w:pPr>
      <w:r w:rsidRPr="00704881">
        <w:rPr>
          <w:rFonts w:cstheme="minorHAnsi"/>
        </w:rPr>
        <w:t xml:space="preserve">Reisig,M &amp; Kane,R (2019). </w:t>
      </w:r>
      <w:r w:rsidRPr="00704881">
        <w:rPr>
          <w:rFonts w:cstheme="minorHAnsi"/>
          <w:i/>
          <w:iCs/>
        </w:rPr>
        <w:t>The Oxford Handbook of Police And Policing</w:t>
      </w:r>
      <w:r w:rsidRPr="00704881">
        <w:rPr>
          <w:rFonts w:cstheme="minorHAnsi"/>
        </w:rPr>
        <w:t>. New York, USA: Oxford University Press. p150-p151.</w:t>
      </w:r>
    </w:p>
    <w:p w:rsidR="00680AB3" w:rsidRPr="00704881" w:rsidRDefault="00680AB3" w:rsidP="00680AB3">
      <w:pPr>
        <w:rPr>
          <w:rFonts w:cstheme="minorHAnsi"/>
        </w:rPr>
      </w:pPr>
      <w:r w:rsidRPr="00704881">
        <w:rPr>
          <w:rFonts w:cstheme="minorHAnsi"/>
        </w:rPr>
        <w:t xml:space="preserve">Neighbourhood watch. (2019). </w:t>
      </w:r>
      <w:r w:rsidRPr="00704881">
        <w:rPr>
          <w:rFonts w:cstheme="minorHAnsi"/>
          <w:i/>
          <w:iCs/>
        </w:rPr>
        <w:t>WORKING WITH THE POLICE TO CREATE SAFER COMMUNITIES ACROSS ENGLAND AND WALES .</w:t>
      </w:r>
      <w:r w:rsidRPr="00704881">
        <w:rPr>
          <w:rFonts w:cstheme="minorHAnsi"/>
        </w:rPr>
        <w:t xml:space="preserve"> Available: https://www.ourwatch.org.uk/police/. Last accessed 17/01/20.</w:t>
      </w:r>
    </w:p>
    <w:p w:rsidR="00680AB3" w:rsidRPr="00680AB3" w:rsidRDefault="00680AB3">
      <w:pPr>
        <w:rPr>
          <w:b/>
        </w:rPr>
      </w:pPr>
    </w:p>
    <w:sectPr w:rsidR="00680AB3" w:rsidRPr="00680AB3" w:rsidSect="001D658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658A" w:rsidRDefault="001D658A" w:rsidP="001D658A">
      <w:pPr>
        <w:spacing w:after="0" w:line="240" w:lineRule="auto"/>
      </w:pPr>
      <w:r>
        <w:separator/>
      </w:r>
    </w:p>
  </w:endnote>
  <w:endnote w:type="continuationSeparator" w:id="0">
    <w:p w:rsidR="001D658A" w:rsidRDefault="001D658A" w:rsidP="001D6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0AB3" w:rsidRDefault="00D42000" w:rsidP="00D42000">
    <w:pPr>
      <w:pStyle w:val="Footer"/>
      <w:rPr>
        <w:color w:val="000000"/>
        <w:sz w:val="17"/>
      </w:rPr>
    </w:pPr>
    <w:bookmarkStart w:id="3" w:name="TITUS1FooterEvenPages"/>
    <w:r>
      <w:rPr>
        <w:color w:val="000000"/>
        <w:sz w:val="17"/>
      </w:rPr>
      <w:t> </w:t>
    </w:r>
  </w:p>
  <w:bookmarkEnd w:id="3"/>
  <w:p w:rsidR="00680AB3" w:rsidRDefault="00680AB3" w:rsidP="00680AB3">
    <w:pPr>
      <w:pStyle w:val="Footer"/>
    </w:pPr>
  </w:p>
  <w:p w:rsidR="001D658A" w:rsidRDefault="001D65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658A" w:rsidRDefault="00D42000" w:rsidP="00D42000">
    <w:pPr>
      <w:pStyle w:val="Footer"/>
      <w:rPr>
        <w:color w:val="000000"/>
        <w:sz w:val="17"/>
      </w:rPr>
    </w:pPr>
    <w:bookmarkStart w:id="4" w:name="TITUS1FooterPrimary"/>
    <w:r>
      <w:rPr>
        <w:color w:val="000000"/>
        <w:sz w:val="17"/>
      </w:rPr>
      <w:t> </w:t>
    </w:r>
  </w:p>
  <w:bookmarkEnd w:id="4"/>
  <w:p w:rsidR="001D658A" w:rsidRDefault="001D65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658A" w:rsidRDefault="00D42000" w:rsidP="00D42000">
    <w:pPr>
      <w:pStyle w:val="Footer"/>
      <w:rPr>
        <w:color w:val="000000"/>
        <w:sz w:val="17"/>
      </w:rPr>
    </w:pPr>
    <w:bookmarkStart w:id="6" w:name="TITUS1FooterFirstPage"/>
    <w:r>
      <w:rPr>
        <w:color w:val="000000"/>
        <w:sz w:val="17"/>
      </w:rPr>
      <w:t> </w:t>
    </w:r>
  </w:p>
  <w:bookmarkEnd w:id="6"/>
  <w:p w:rsidR="001D658A" w:rsidRDefault="001D6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658A" w:rsidRDefault="001D658A" w:rsidP="001D658A">
      <w:pPr>
        <w:spacing w:after="0" w:line="240" w:lineRule="auto"/>
      </w:pPr>
      <w:r>
        <w:separator/>
      </w:r>
    </w:p>
  </w:footnote>
  <w:footnote w:type="continuationSeparator" w:id="0">
    <w:p w:rsidR="001D658A" w:rsidRDefault="001D658A" w:rsidP="001D6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0AB3" w:rsidRDefault="00D42000" w:rsidP="00D42000">
    <w:pPr>
      <w:pStyle w:val="Header"/>
      <w:rPr>
        <w:color w:val="000000"/>
        <w:sz w:val="17"/>
      </w:rPr>
    </w:pPr>
    <w:bookmarkStart w:id="1" w:name="TITUS1HeaderEvenPages"/>
    <w:r>
      <w:rPr>
        <w:color w:val="000000"/>
        <w:sz w:val="17"/>
      </w:rPr>
      <w:t> </w:t>
    </w:r>
  </w:p>
  <w:bookmarkEnd w:id="1"/>
  <w:p w:rsidR="00680AB3" w:rsidRDefault="00680AB3" w:rsidP="00680AB3">
    <w:pPr>
      <w:pStyle w:val="Header"/>
    </w:pPr>
  </w:p>
  <w:p w:rsidR="001D658A" w:rsidRDefault="001D65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658A" w:rsidRDefault="00D42000" w:rsidP="00D42000">
    <w:pPr>
      <w:pStyle w:val="Header"/>
      <w:rPr>
        <w:color w:val="000000"/>
        <w:sz w:val="17"/>
      </w:rPr>
    </w:pPr>
    <w:bookmarkStart w:id="2" w:name="TITUS1HeaderPrimary"/>
    <w:r>
      <w:rPr>
        <w:color w:val="000000"/>
        <w:sz w:val="17"/>
      </w:rPr>
      <w:t> </w:t>
    </w:r>
  </w:p>
  <w:bookmarkEnd w:id="2"/>
  <w:p w:rsidR="001D658A" w:rsidRDefault="001D65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658A" w:rsidRDefault="00D42000" w:rsidP="00D42000">
    <w:pPr>
      <w:pStyle w:val="Header"/>
      <w:rPr>
        <w:color w:val="000000"/>
        <w:sz w:val="17"/>
      </w:rPr>
    </w:pPr>
    <w:bookmarkStart w:id="5" w:name="TITUS1HeaderFirstPage"/>
    <w:r>
      <w:rPr>
        <w:color w:val="000000"/>
        <w:sz w:val="17"/>
      </w:rPr>
      <w:t> </w:t>
    </w:r>
  </w:p>
  <w:bookmarkEnd w:id="5"/>
  <w:p w:rsidR="001D658A" w:rsidRDefault="001D65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8E58C1"/>
    <w:multiLevelType w:val="multilevel"/>
    <w:tmpl w:val="7EC00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58A"/>
    <w:rsid w:val="001D658A"/>
    <w:rsid w:val="00680AB3"/>
    <w:rsid w:val="00931BDF"/>
    <w:rsid w:val="00A95326"/>
    <w:rsid w:val="00D42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35A017"/>
  <w15:chartTrackingRefBased/>
  <w15:docId w15:val="{44CB02A3-9111-418B-B229-8775BB371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0A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6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58A"/>
  </w:style>
  <w:style w:type="paragraph" w:styleId="Footer">
    <w:name w:val="footer"/>
    <w:basedOn w:val="Normal"/>
    <w:link w:val="FooterChar"/>
    <w:uiPriority w:val="99"/>
    <w:unhideWhenUsed/>
    <w:rsid w:val="001D6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58A"/>
  </w:style>
  <w:style w:type="paragraph" w:styleId="NormalWeb">
    <w:name w:val="Normal (Web)"/>
    <w:basedOn w:val="Normal"/>
    <w:uiPriority w:val="99"/>
    <w:semiHidden/>
    <w:unhideWhenUsed/>
    <w:rsid w:val="00680A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80AB3"/>
    <w:rPr>
      <w:color w:val="0563C1" w:themeColor="hyperlink"/>
      <w:u w:val="single"/>
    </w:rPr>
  </w:style>
  <w:style w:type="character" w:styleId="Emphasis">
    <w:name w:val="Emphasis"/>
    <w:basedOn w:val="DefaultParagraphFont"/>
    <w:uiPriority w:val="20"/>
    <w:qFormat/>
    <w:rsid w:val="00680A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11/may/24/fiona-pilkington-police-misconduct-proceedings.%20Last%20accessed%2017/01/2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theguardian.com/uk/2009/sep/28/fiona-pilkington-suicide-mother-police"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93/pubmed/fdh169"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6727</Words>
  <Characters>32429</Characters>
  <Application>Microsoft Office Word</Application>
  <DocSecurity>0</DocSecurity>
  <Lines>476</Lines>
  <Paragraphs>161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Hall,Rikki swp6396</dc:creator>
  <cp:keywords/>
  <dc:description/>
  <cp:lastModifiedBy>Hall,Rikki swp6396</cp:lastModifiedBy>
  <cp:revision>4</cp:revision>
  <dcterms:created xsi:type="dcterms:W3CDTF">2020-01-18T17:16:00Z</dcterms:created>
  <dcterms:modified xsi:type="dcterms:W3CDTF">2020-01-18T17:28:00Z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6f916a1f-d90a-45a8-b257-d1389f072edf</vt:lpwstr>
  </property>
  <property fmtid="{D5CDD505-2E9C-101B-9397-08002B2CF9AE}" pid="3" name="Classification">
    <vt:lpwstr>OFFICIAL</vt:lpwstr>
  </property>
  <property fmtid="{D5CDD505-2E9C-101B-9397-08002B2CF9AE}" pid="4" name="Visibility">
    <vt:lpwstr>NOT VISIBLE</vt:lpwstr>
  </property>
</Properties>
</file>