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62593" w14:textId="77777777" w:rsidR="00BD6392" w:rsidRDefault="00BD6392" w:rsidP="00CB6A3C">
      <w:pPr>
        <w:rPr>
          <w:rFonts w:ascii="Arial" w:hAnsi="Arial" w:cs="Arial"/>
          <w:b/>
          <w:bCs/>
          <w:sz w:val="28"/>
          <w:szCs w:val="28"/>
        </w:rPr>
      </w:pPr>
    </w:p>
    <w:p w14:paraId="56915F78" w14:textId="77777777" w:rsidR="00BD6392" w:rsidRDefault="00BD6392" w:rsidP="00CB6A3C">
      <w:pPr>
        <w:rPr>
          <w:rFonts w:ascii="Arial" w:hAnsi="Arial" w:cs="Arial"/>
          <w:b/>
          <w:bCs/>
          <w:sz w:val="28"/>
          <w:szCs w:val="28"/>
        </w:rPr>
      </w:pPr>
    </w:p>
    <w:p w14:paraId="3785915B" w14:textId="77777777" w:rsidR="00BD6392" w:rsidRDefault="00BD6392" w:rsidP="00CB6A3C">
      <w:pPr>
        <w:rPr>
          <w:rFonts w:ascii="Arial" w:hAnsi="Arial" w:cs="Arial"/>
          <w:b/>
          <w:bCs/>
          <w:sz w:val="28"/>
          <w:szCs w:val="28"/>
        </w:rPr>
      </w:pPr>
    </w:p>
    <w:p w14:paraId="562EE73B" w14:textId="220867DF" w:rsidR="00CB6A3C" w:rsidRPr="00CB6A3C" w:rsidRDefault="00CB6A3C" w:rsidP="00CB6A3C">
      <w:r w:rsidRPr="00DF6598">
        <w:rPr>
          <w:rFonts w:ascii="Arial" w:hAnsi="Arial" w:cs="Arial"/>
          <w:b/>
          <w:bCs/>
          <w:sz w:val="28"/>
          <w:szCs w:val="28"/>
        </w:rPr>
        <w:t xml:space="preserve">Student Name: </w:t>
      </w:r>
      <w:r w:rsidRPr="00DF6598">
        <w:rPr>
          <w:rFonts w:ascii="Arial" w:hAnsi="Arial" w:cs="Arial"/>
          <w:sz w:val="28"/>
          <w:szCs w:val="28"/>
        </w:rPr>
        <w:t>Foqia Farooq</w:t>
      </w:r>
    </w:p>
    <w:p w14:paraId="6069A93C" w14:textId="77777777" w:rsidR="00CB6A3C" w:rsidRPr="00DF6598" w:rsidRDefault="00CB6A3C" w:rsidP="00CB6A3C">
      <w:pPr>
        <w:spacing w:after="0" w:line="360" w:lineRule="auto"/>
        <w:rPr>
          <w:rFonts w:ascii="Arial" w:hAnsi="Arial" w:cs="Arial"/>
          <w:b/>
          <w:bCs/>
          <w:sz w:val="28"/>
          <w:szCs w:val="28"/>
        </w:rPr>
      </w:pPr>
      <w:r w:rsidRPr="00DF6598">
        <w:rPr>
          <w:rFonts w:ascii="Arial" w:hAnsi="Arial" w:cs="Arial"/>
          <w:b/>
          <w:bCs/>
          <w:sz w:val="28"/>
          <w:szCs w:val="28"/>
        </w:rPr>
        <w:t xml:space="preserve">Student number: </w:t>
      </w:r>
      <w:r w:rsidRPr="00DF6598">
        <w:rPr>
          <w:rFonts w:ascii="Arial" w:hAnsi="Arial" w:cs="Arial"/>
          <w:sz w:val="28"/>
          <w:szCs w:val="28"/>
        </w:rPr>
        <w:t>2424146</w:t>
      </w:r>
    </w:p>
    <w:p w14:paraId="508E44BA" w14:textId="77777777" w:rsidR="00CB6A3C" w:rsidRPr="00DF6598" w:rsidRDefault="00CB6A3C" w:rsidP="00CB6A3C">
      <w:pPr>
        <w:spacing w:after="0" w:line="360" w:lineRule="auto"/>
        <w:rPr>
          <w:rFonts w:ascii="Arial" w:hAnsi="Arial" w:cs="Arial"/>
          <w:sz w:val="28"/>
          <w:szCs w:val="28"/>
        </w:rPr>
      </w:pPr>
      <w:r w:rsidRPr="00DF6598">
        <w:rPr>
          <w:rFonts w:ascii="Arial" w:hAnsi="Arial" w:cs="Arial"/>
          <w:b/>
          <w:bCs/>
          <w:sz w:val="28"/>
          <w:szCs w:val="28"/>
        </w:rPr>
        <w:t xml:space="preserve">Lecturer Name: </w:t>
      </w:r>
      <w:r w:rsidRPr="00DF6598">
        <w:rPr>
          <w:rFonts w:ascii="Arial" w:hAnsi="Arial" w:cs="Arial"/>
          <w:sz w:val="28"/>
          <w:szCs w:val="28"/>
        </w:rPr>
        <w:t xml:space="preserve">Precious </w:t>
      </w:r>
      <w:proofErr w:type="spellStart"/>
      <w:r w:rsidRPr="00DF6598">
        <w:rPr>
          <w:rFonts w:ascii="Arial" w:hAnsi="Arial" w:cs="Arial"/>
          <w:sz w:val="28"/>
          <w:szCs w:val="28"/>
        </w:rPr>
        <w:t>Igbinigie</w:t>
      </w:r>
      <w:proofErr w:type="spellEnd"/>
    </w:p>
    <w:p w14:paraId="7CEF7CEB" w14:textId="77777777" w:rsidR="00CB6A3C" w:rsidRPr="00DF6598" w:rsidRDefault="00CB6A3C" w:rsidP="00CB6A3C">
      <w:pPr>
        <w:spacing w:after="0" w:line="360" w:lineRule="auto"/>
        <w:rPr>
          <w:rFonts w:ascii="Arial" w:hAnsi="Arial" w:cs="Arial"/>
          <w:sz w:val="28"/>
          <w:szCs w:val="28"/>
        </w:rPr>
      </w:pPr>
      <w:r w:rsidRPr="00DF6598">
        <w:rPr>
          <w:rFonts w:ascii="Arial" w:hAnsi="Arial" w:cs="Arial"/>
          <w:b/>
          <w:bCs/>
          <w:sz w:val="28"/>
          <w:szCs w:val="28"/>
        </w:rPr>
        <w:t xml:space="preserve">Programme Title: </w:t>
      </w:r>
      <w:r w:rsidRPr="00DF6598">
        <w:rPr>
          <w:rFonts w:ascii="Arial" w:hAnsi="Arial" w:cs="Arial"/>
          <w:sz w:val="28"/>
          <w:szCs w:val="28"/>
        </w:rPr>
        <w:t xml:space="preserve">BSc Health &amp; Social Care </w:t>
      </w:r>
    </w:p>
    <w:p w14:paraId="0A982C0D" w14:textId="77777777" w:rsidR="00CB6A3C" w:rsidRPr="00DF6598" w:rsidRDefault="00CB6A3C" w:rsidP="00CB6A3C">
      <w:pPr>
        <w:spacing w:before="120" w:after="120" w:line="360" w:lineRule="auto"/>
        <w:rPr>
          <w:rFonts w:ascii="Arial" w:hAnsi="Arial" w:cs="Arial"/>
          <w:sz w:val="28"/>
          <w:szCs w:val="28"/>
        </w:rPr>
      </w:pPr>
      <w:r w:rsidRPr="00DF6598">
        <w:rPr>
          <w:rFonts w:ascii="Arial" w:hAnsi="Arial" w:cs="Arial"/>
          <w:b/>
          <w:bCs/>
          <w:sz w:val="28"/>
          <w:szCs w:val="28"/>
        </w:rPr>
        <w:t>Module:</w:t>
      </w:r>
      <w:r w:rsidRPr="00DF6598">
        <w:rPr>
          <w:rFonts w:ascii="Arial" w:hAnsi="Arial" w:cs="Arial"/>
          <w:sz w:val="28"/>
          <w:szCs w:val="28"/>
        </w:rPr>
        <w:t xml:space="preserve"> </w:t>
      </w:r>
      <w:r w:rsidRPr="00DF6598">
        <w:rPr>
          <w:rFonts w:ascii="Arial" w:hAnsi="Arial" w:cs="Arial"/>
          <w:bCs/>
          <w:sz w:val="28"/>
          <w:szCs w:val="28"/>
        </w:rPr>
        <w:t>Protecting and Supporting Families in Health and Care</w:t>
      </w:r>
    </w:p>
    <w:p w14:paraId="0ADE98C3" w14:textId="77777777" w:rsidR="00CB6A3C" w:rsidRPr="00DF6598" w:rsidRDefault="00CB6A3C" w:rsidP="00CB6A3C">
      <w:pPr>
        <w:spacing w:after="0" w:line="360" w:lineRule="auto"/>
        <w:rPr>
          <w:rFonts w:ascii="Arial" w:hAnsi="Arial" w:cs="Arial"/>
          <w:b/>
          <w:bCs/>
          <w:sz w:val="28"/>
          <w:szCs w:val="28"/>
        </w:rPr>
      </w:pPr>
      <w:r w:rsidRPr="00DF6598">
        <w:rPr>
          <w:rFonts w:ascii="Arial" w:hAnsi="Arial" w:cs="Arial"/>
          <w:b/>
          <w:bCs/>
          <w:sz w:val="28"/>
          <w:szCs w:val="28"/>
        </w:rPr>
        <w:t xml:space="preserve">Module Code: </w:t>
      </w:r>
      <w:r w:rsidRPr="00DF6598">
        <w:rPr>
          <w:rFonts w:ascii="Arial" w:hAnsi="Arial" w:cs="Arial"/>
          <w:bCs/>
          <w:sz w:val="28"/>
          <w:szCs w:val="28"/>
        </w:rPr>
        <w:t>BMHP5021</w:t>
      </w:r>
    </w:p>
    <w:p w14:paraId="1897207F" w14:textId="535A88DA" w:rsidR="00CB6A3C" w:rsidRDefault="00CB6A3C" w:rsidP="00CB6A3C">
      <w:pPr>
        <w:spacing w:after="0" w:line="360" w:lineRule="auto"/>
        <w:rPr>
          <w:rFonts w:ascii="Arial" w:hAnsi="Arial" w:cs="Arial"/>
          <w:bCs/>
          <w:sz w:val="28"/>
          <w:szCs w:val="28"/>
        </w:rPr>
      </w:pPr>
      <w:r w:rsidRPr="00DF6598">
        <w:rPr>
          <w:rFonts w:ascii="Arial" w:hAnsi="Arial" w:cs="Arial"/>
          <w:b/>
          <w:bCs/>
          <w:sz w:val="28"/>
          <w:szCs w:val="28"/>
        </w:rPr>
        <w:t xml:space="preserve">Assignment Title: </w:t>
      </w:r>
      <w:r w:rsidRPr="00DF6598">
        <w:rPr>
          <w:rFonts w:ascii="Arial" w:hAnsi="Arial" w:cs="Arial"/>
          <w:bCs/>
          <w:sz w:val="28"/>
          <w:szCs w:val="28"/>
        </w:rPr>
        <w:t>Written Assignment</w:t>
      </w:r>
    </w:p>
    <w:p w14:paraId="5340EF35" w14:textId="77777777" w:rsidR="00CB6A3C" w:rsidRDefault="00CB6A3C">
      <w:pPr>
        <w:rPr>
          <w:rFonts w:ascii="Arial" w:hAnsi="Arial" w:cs="Arial"/>
          <w:bCs/>
          <w:sz w:val="28"/>
          <w:szCs w:val="28"/>
        </w:rPr>
      </w:pPr>
      <w:r>
        <w:rPr>
          <w:rFonts w:ascii="Arial" w:hAnsi="Arial" w:cs="Arial"/>
          <w:bCs/>
          <w:sz w:val="28"/>
          <w:szCs w:val="28"/>
        </w:rPr>
        <w:br w:type="page"/>
      </w:r>
    </w:p>
    <w:sdt>
      <w:sdtPr>
        <w:rPr>
          <w:rFonts w:asciiTheme="minorHAnsi" w:eastAsiaTheme="minorHAnsi" w:hAnsiTheme="minorHAnsi" w:cstheme="minorBidi"/>
          <w:color w:val="auto"/>
          <w:kern w:val="2"/>
          <w:sz w:val="24"/>
          <w:szCs w:val="24"/>
          <w:lang w:val="en-GB"/>
          <w14:ligatures w14:val="standardContextual"/>
        </w:rPr>
        <w:id w:val="-514300531"/>
        <w:docPartObj>
          <w:docPartGallery w:val="Table of Contents"/>
          <w:docPartUnique/>
        </w:docPartObj>
      </w:sdtPr>
      <w:sdtEndPr>
        <w:rPr>
          <w:b/>
          <w:bCs/>
          <w:noProof/>
        </w:rPr>
      </w:sdtEndPr>
      <w:sdtContent>
        <w:p w14:paraId="3A0AE8BB" w14:textId="24E7EE47" w:rsidR="00CB6A3C" w:rsidRDefault="00CB6A3C">
          <w:pPr>
            <w:pStyle w:val="TOCHeading"/>
          </w:pPr>
          <w:r>
            <w:t>Table of Contents</w:t>
          </w:r>
        </w:p>
        <w:p w14:paraId="51DC9481" w14:textId="2C488215" w:rsidR="007B131C" w:rsidRDefault="00CB6A3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138259" w:history="1">
            <w:r w:rsidR="007B131C" w:rsidRPr="007B32FB">
              <w:rPr>
                <w:rStyle w:val="Hyperlink"/>
                <w:rFonts w:ascii="Arial" w:hAnsi="Arial" w:cs="Arial"/>
                <w:b/>
                <w:bCs/>
                <w:noProof/>
              </w:rPr>
              <w:t>Introduction</w:t>
            </w:r>
            <w:r w:rsidR="007B131C">
              <w:rPr>
                <w:noProof/>
                <w:webHidden/>
              </w:rPr>
              <w:tab/>
            </w:r>
            <w:r w:rsidR="007B131C">
              <w:rPr>
                <w:noProof/>
                <w:webHidden/>
              </w:rPr>
              <w:fldChar w:fldCharType="begin"/>
            </w:r>
            <w:r w:rsidR="007B131C">
              <w:rPr>
                <w:noProof/>
                <w:webHidden/>
              </w:rPr>
              <w:instrText xml:space="preserve"> PAGEREF _Toc235138259 \h </w:instrText>
            </w:r>
            <w:r w:rsidR="007B131C">
              <w:rPr>
                <w:noProof/>
                <w:webHidden/>
              </w:rPr>
            </w:r>
            <w:r w:rsidR="007B131C">
              <w:rPr>
                <w:noProof/>
                <w:webHidden/>
              </w:rPr>
              <w:fldChar w:fldCharType="separate"/>
            </w:r>
            <w:r w:rsidR="007B131C">
              <w:rPr>
                <w:noProof/>
                <w:webHidden/>
              </w:rPr>
              <w:t>3</w:t>
            </w:r>
            <w:r w:rsidR="007B131C">
              <w:rPr>
                <w:noProof/>
                <w:webHidden/>
              </w:rPr>
              <w:fldChar w:fldCharType="end"/>
            </w:r>
          </w:hyperlink>
        </w:p>
        <w:p w14:paraId="1639E91D" w14:textId="199C8EAF" w:rsidR="007B131C" w:rsidRDefault="007B131C">
          <w:pPr>
            <w:pStyle w:val="TOC1"/>
            <w:tabs>
              <w:tab w:val="right" w:leader="dot" w:pos="9016"/>
            </w:tabs>
            <w:rPr>
              <w:rFonts w:eastAsiaTheme="minorEastAsia"/>
              <w:noProof/>
              <w:lang w:eastAsia="en-GB"/>
            </w:rPr>
          </w:pPr>
          <w:hyperlink w:anchor="_Toc235138260" w:history="1">
            <w:r w:rsidRPr="007B32FB">
              <w:rPr>
                <w:rStyle w:val="Hyperlink"/>
                <w:rFonts w:ascii="Arial" w:hAnsi="Arial" w:cs="Arial"/>
                <w:b/>
                <w:bCs/>
                <w:noProof/>
              </w:rPr>
              <w:t>The Early Help System</w:t>
            </w:r>
            <w:r>
              <w:rPr>
                <w:noProof/>
                <w:webHidden/>
              </w:rPr>
              <w:tab/>
            </w:r>
            <w:r>
              <w:rPr>
                <w:noProof/>
                <w:webHidden/>
              </w:rPr>
              <w:fldChar w:fldCharType="begin"/>
            </w:r>
            <w:r>
              <w:rPr>
                <w:noProof/>
                <w:webHidden/>
              </w:rPr>
              <w:instrText xml:space="preserve"> PAGEREF _Toc235138260 \h </w:instrText>
            </w:r>
            <w:r>
              <w:rPr>
                <w:noProof/>
                <w:webHidden/>
              </w:rPr>
            </w:r>
            <w:r>
              <w:rPr>
                <w:noProof/>
                <w:webHidden/>
              </w:rPr>
              <w:fldChar w:fldCharType="separate"/>
            </w:r>
            <w:r>
              <w:rPr>
                <w:noProof/>
                <w:webHidden/>
              </w:rPr>
              <w:t>3</w:t>
            </w:r>
            <w:r>
              <w:rPr>
                <w:noProof/>
                <w:webHidden/>
              </w:rPr>
              <w:fldChar w:fldCharType="end"/>
            </w:r>
          </w:hyperlink>
        </w:p>
        <w:p w14:paraId="46B0C59E" w14:textId="63E2C738" w:rsidR="007B131C" w:rsidRDefault="007B131C">
          <w:pPr>
            <w:pStyle w:val="TOC1"/>
            <w:tabs>
              <w:tab w:val="right" w:leader="dot" w:pos="9016"/>
            </w:tabs>
            <w:rPr>
              <w:rFonts w:eastAsiaTheme="minorEastAsia"/>
              <w:noProof/>
              <w:lang w:eastAsia="en-GB"/>
            </w:rPr>
          </w:pPr>
          <w:hyperlink w:anchor="_Toc235138261" w:history="1">
            <w:r w:rsidRPr="007B32FB">
              <w:rPr>
                <w:rStyle w:val="Hyperlink"/>
                <w:rFonts w:ascii="Arial" w:hAnsi="Arial" w:cs="Arial"/>
                <w:b/>
                <w:bCs/>
                <w:noProof/>
              </w:rPr>
              <w:t>Multi-agency Working</w:t>
            </w:r>
            <w:r>
              <w:rPr>
                <w:noProof/>
                <w:webHidden/>
              </w:rPr>
              <w:tab/>
            </w:r>
            <w:r>
              <w:rPr>
                <w:noProof/>
                <w:webHidden/>
              </w:rPr>
              <w:fldChar w:fldCharType="begin"/>
            </w:r>
            <w:r>
              <w:rPr>
                <w:noProof/>
                <w:webHidden/>
              </w:rPr>
              <w:instrText xml:space="preserve"> PAGEREF _Toc235138261 \h </w:instrText>
            </w:r>
            <w:r>
              <w:rPr>
                <w:noProof/>
                <w:webHidden/>
              </w:rPr>
            </w:r>
            <w:r>
              <w:rPr>
                <w:noProof/>
                <w:webHidden/>
              </w:rPr>
              <w:fldChar w:fldCharType="separate"/>
            </w:r>
            <w:r>
              <w:rPr>
                <w:noProof/>
                <w:webHidden/>
              </w:rPr>
              <w:t>5</w:t>
            </w:r>
            <w:r>
              <w:rPr>
                <w:noProof/>
                <w:webHidden/>
              </w:rPr>
              <w:fldChar w:fldCharType="end"/>
            </w:r>
          </w:hyperlink>
        </w:p>
        <w:p w14:paraId="069A0E33" w14:textId="6D4BD27C" w:rsidR="007B131C" w:rsidRDefault="007B131C">
          <w:pPr>
            <w:pStyle w:val="TOC1"/>
            <w:tabs>
              <w:tab w:val="right" w:leader="dot" w:pos="9016"/>
            </w:tabs>
            <w:rPr>
              <w:rFonts w:eastAsiaTheme="minorEastAsia"/>
              <w:noProof/>
              <w:lang w:eastAsia="en-GB"/>
            </w:rPr>
          </w:pPr>
          <w:hyperlink w:anchor="_Toc235138262" w:history="1">
            <w:r w:rsidRPr="007B32FB">
              <w:rPr>
                <w:rStyle w:val="Hyperlink"/>
                <w:rFonts w:ascii="Arial" w:hAnsi="Arial" w:cs="Arial"/>
                <w:b/>
                <w:bCs/>
                <w:noProof/>
              </w:rPr>
              <w:t>Evaluation of Local Authority Websites</w:t>
            </w:r>
            <w:r>
              <w:rPr>
                <w:noProof/>
                <w:webHidden/>
              </w:rPr>
              <w:tab/>
            </w:r>
            <w:r>
              <w:rPr>
                <w:noProof/>
                <w:webHidden/>
              </w:rPr>
              <w:fldChar w:fldCharType="begin"/>
            </w:r>
            <w:r>
              <w:rPr>
                <w:noProof/>
                <w:webHidden/>
              </w:rPr>
              <w:instrText xml:space="preserve"> PAGEREF _Toc235138262 \h </w:instrText>
            </w:r>
            <w:r>
              <w:rPr>
                <w:noProof/>
                <w:webHidden/>
              </w:rPr>
            </w:r>
            <w:r>
              <w:rPr>
                <w:noProof/>
                <w:webHidden/>
              </w:rPr>
              <w:fldChar w:fldCharType="separate"/>
            </w:r>
            <w:r>
              <w:rPr>
                <w:noProof/>
                <w:webHidden/>
              </w:rPr>
              <w:t>5</w:t>
            </w:r>
            <w:r>
              <w:rPr>
                <w:noProof/>
                <w:webHidden/>
              </w:rPr>
              <w:fldChar w:fldCharType="end"/>
            </w:r>
          </w:hyperlink>
        </w:p>
        <w:p w14:paraId="5F1F7F29" w14:textId="1A4B9986" w:rsidR="007B131C" w:rsidRDefault="007B131C">
          <w:pPr>
            <w:pStyle w:val="TOC1"/>
            <w:tabs>
              <w:tab w:val="right" w:leader="dot" w:pos="9016"/>
            </w:tabs>
            <w:rPr>
              <w:rFonts w:eastAsiaTheme="minorEastAsia"/>
              <w:noProof/>
              <w:lang w:eastAsia="en-GB"/>
            </w:rPr>
          </w:pPr>
          <w:hyperlink w:anchor="_Toc235138263" w:history="1">
            <w:r w:rsidRPr="007B32FB">
              <w:rPr>
                <w:rStyle w:val="Hyperlink"/>
                <w:rFonts w:ascii="Arial" w:hAnsi="Arial" w:cs="Arial"/>
                <w:b/>
                <w:bCs/>
                <w:noProof/>
              </w:rPr>
              <w:t>Comparative Analysis</w:t>
            </w:r>
            <w:r>
              <w:rPr>
                <w:noProof/>
                <w:webHidden/>
              </w:rPr>
              <w:tab/>
            </w:r>
            <w:r>
              <w:rPr>
                <w:noProof/>
                <w:webHidden/>
              </w:rPr>
              <w:fldChar w:fldCharType="begin"/>
            </w:r>
            <w:r>
              <w:rPr>
                <w:noProof/>
                <w:webHidden/>
              </w:rPr>
              <w:instrText xml:space="preserve"> PAGEREF _Toc235138263 \h </w:instrText>
            </w:r>
            <w:r>
              <w:rPr>
                <w:noProof/>
                <w:webHidden/>
              </w:rPr>
            </w:r>
            <w:r>
              <w:rPr>
                <w:noProof/>
                <w:webHidden/>
              </w:rPr>
              <w:fldChar w:fldCharType="separate"/>
            </w:r>
            <w:r>
              <w:rPr>
                <w:noProof/>
                <w:webHidden/>
              </w:rPr>
              <w:t>7</w:t>
            </w:r>
            <w:r>
              <w:rPr>
                <w:noProof/>
                <w:webHidden/>
              </w:rPr>
              <w:fldChar w:fldCharType="end"/>
            </w:r>
          </w:hyperlink>
        </w:p>
        <w:p w14:paraId="565E306B" w14:textId="6FE1BA5D" w:rsidR="007B131C" w:rsidRDefault="007B131C">
          <w:pPr>
            <w:pStyle w:val="TOC1"/>
            <w:tabs>
              <w:tab w:val="right" w:leader="dot" w:pos="9016"/>
            </w:tabs>
            <w:rPr>
              <w:rFonts w:eastAsiaTheme="minorEastAsia"/>
              <w:noProof/>
              <w:lang w:eastAsia="en-GB"/>
            </w:rPr>
          </w:pPr>
          <w:hyperlink w:anchor="_Toc235138264" w:history="1">
            <w:r w:rsidRPr="007B32FB">
              <w:rPr>
                <w:rStyle w:val="Hyperlink"/>
                <w:rFonts w:ascii="Arial" w:hAnsi="Arial" w:cs="Arial"/>
                <w:b/>
                <w:bCs/>
                <w:noProof/>
              </w:rPr>
              <w:t>Conclusion and Recommendations</w:t>
            </w:r>
            <w:r>
              <w:rPr>
                <w:noProof/>
                <w:webHidden/>
              </w:rPr>
              <w:tab/>
            </w:r>
            <w:r>
              <w:rPr>
                <w:noProof/>
                <w:webHidden/>
              </w:rPr>
              <w:fldChar w:fldCharType="begin"/>
            </w:r>
            <w:r>
              <w:rPr>
                <w:noProof/>
                <w:webHidden/>
              </w:rPr>
              <w:instrText xml:space="preserve"> PAGEREF _Toc235138264 \h </w:instrText>
            </w:r>
            <w:r>
              <w:rPr>
                <w:noProof/>
                <w:webHidden/>
              </w:rPr>
            </w:r>
            <w:r>
              <w:rPr>
                <w:noProof/>
                <w:webHidden/>
              </w:rPr>
              <w:fldChar w:fldCharType="separate"/>
            </w:r>
            <w:r>
              <w:rPr>
                <w:noProof/>
                <w:webHidden/>
              </w:rPr>
              <w:t>9</w:t>
            </w:r>
            <w:r>
              <w:rPr>
                <w:noProof/>
                <w:webHidden/>
              </w:rPr>
              <w:fldChar w:fldCharType="end"/>
            </w:r>
          </w:hyperlink>
        </w:p>
        <w:p w14:paraId="7674619E" w14:textId="37C07B8F" w:rsidR="007B131C" w:rsidRDefault="007B131C">
          <w:pPr>
            <w:pStyle w:val="TOC1"/>
            <w:tabs>
              <w:tab w:val="right" w:leader="dot" w:pos="9016"/>
            </w:tabs>
            <w:rPr>
              <w:rFonts w:eastAsiaTheme="minorEastAsia"/>
              <w:noProof/>
              <w:lang w:eastAsia="en-GB"/>
            </w:rPr>
          </w:pPr>
          <w:hyperlink w:anchor="_Toc235138265" w:history="1">
            <w:r w:rsidRPr="007B32F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_Toc235138265 \h </w:instrText>
            </w:r>
            <w:r>
              <w:rPr>
                <w:noProof/>
                <w:webHidden/>
              </w:rPr>
            </w:r>
            <w:r>
              <w:rPr>
                <w:noProof/>
                <w:webHidden/>
              </w:rPr>
              <w:fldChar w:fldCharType="separate"/>
            </w:r>
            <w:r>
              <w:rPr>
                <w:noProof/>
                <w:webHidden/>
              </w:rPr>
              <w:t>10</w:t>
            </w:r>
            <w:r>
              <w:rPr>
                <w:noProof/>
                <w:webHidden/>
              </w:rPr>
              <w:fldChar w:fldCharType="end"/>
            </w:r>
          </w:hyperlink>
        </w:p>
        <w:p w14:paraId="4F8F1677" w14:textId="69D1E80D" w:rsidR="00CB6A3C" w:rsidRDefault="00CB6A3C">
          <w:r>
            <w:rPr>
              <w:b/>
              <w:bCs/>
              <w:noProof/>
            </w:rPr>
            <w:fldChar w:fldCharType="end"/>
          </w:r>
        </w:p>
      </w:sdtContent>
    </w:sdt>
    <w:p w14:paraId="31ACF5B2" w14:textId="77777777" w:rsidR="00CB6A3C" w:rsidRPr="00DF6598" w:rsidRDefault="00CB6A3C" w:rsidP="00CB6A3C">
      <w:pPr>
        <w:spacing w:after="0" w:line="360" w:lineRule="auto"/>
        <w:rPr>
          <w:rFonts w:ascii="Arial" w:hAnsi="Arial" w:cs="Arial"/>
          <w:sz w:val="28"/>
          <w:szCs w:val="28"/>
        </w:rPr>
      </w:pPr>
    </w:p>
    <w:p w14:paraId="3979E9DE" w14:textId="150DBBFF" w:rsidR="00C816AE" w:rsidRDefault="00C816AE">
      <w:r>
        <w:br w:type="page"/>
      </w:r>
    </w:p>
    <w:p w14:paraId="4E7B9898" w14:textId="77777777" w:rsidR="00C816AE" w:rsidRPr="007B131C" w:rsidRDefault="00C816AE" w:rsidP="00C816AE">
      <w:pPr>
        <w:spacing w:line="360" w:lineRule="auto"/>
        <w:jc w:val="center"/>
        <w:rPr>
          <w:rFonts w:ascii="Arial" w:hAnsi="Arial" w:cs="Arial"/>
          <w:b/>
          <w:bCs/>
          <w:sz w:val="22"/>
          <w:szCs w:val="22"/>
        </w:rPr>
      </w:pPr>
      <w:r w:rsidRPr="007B131C">
        <w:rPr>
          <w:rFonts w:ascii="Arial" w:hAnsi="Arial" w:cs="Arial"/>
          <w:b/>
          <w:bCs/>
          <w:sz w:val="22"/>
          <w:szCs w:val="22"/>
        </w:rPr>
        <w:lastRenderedPageBreak/>
        <w:t>An Examination and Analysis of How the Early Help System is Signposted to UK Families Through Local Authority Websites</w:t>
      </w:r>
    </w:p>
    <w:p w14:paraId="7699DCCD" w14:textId="7EB5FF9D" w:rsidR="00C816AE" w:rsidRPr="007B131C" w:rsidRDefault="00C816AE" w:rsidP="00C816AE">
      <w:pPr>
        <w:pStyle w:val="Heading1"/>
        <w:rPr>
          <w:rFonts w:ascii="Arial" w:hAnsi="Arial" w:cs="Arial"/>
          <w:b/>
          <w:bCs/>
          <w:sz w:val="22"/>
          <w:szCs w:val="22"/>
        </w:rPr>
      </w:pPr>
      <w:bookmarkStart w:id="0" w:name="_Toc235138259"/>
      <w:r w:rsidRPr="007B131C">
        <w:rPr>
          <w:rFonts w:ascii="Arial" w:hAnsi="Arial" w:cs="Arial"/>
          <w:b/>
          <w:bCs/>
          <w:sz w:val="22"/>
          <w:szCs w:val="22"/>
        </w:rPr>
        <w:t>Introduction</w:t>
      </w:r>
      <w:bookmarkEnd w:id="0"/>
    </w:p>
    <w:p w14:paraId="440F256B" w14:textId="77777777" w:rsidR="00675E2D" w:rsidRPr="007B131C" w:rsidRDefault="00675E2D" w:rsidP="007B131C">
      <w:pPr>
        <w:spacing w:line="360" w:lineRule="auto"/>
        <w:rPr>
          <w:rFonts w:ascii="Arial" w:hAnsi="Arial" w:cs="Arial"/>
          <w:sz w:val="22"/>
          <w:szCs w:val="22"/>
        </w:rPr>
      </w:pPr>
      <w:r w:rsidRPr="007B131C">
        <w:rPr>
          <w:rFonts w:ascii="Arial" w:hAnsi="Arial" w:cs="Arial"/>
          <w:sz w:val="22"/>
          <w:szCs w:val="22"/>
        </w:rPr>
        <w:t>Early intervention has become a central principle of children's safeguarding policy in England, recognising that many difficulties experienced by children and families can be prevented from escalating through timely support and coordinated professional intervention. Families may encounter challenges relating to parenting, education, financial hardship, mental health, domestic abuse or housing instability, all of which can significantly affect a child's development and wellbeing if left unaddressed. Rather than responding only when concerns reach statutory thresholds, the Early Help system promotes preventative practice by identifying emerging needs and providing support at the earliest possible stage (Department for Education (DfE), 2023).</w:t>
      </w:r>
    </w:p>
    <w:p w14:paraId="141B653F" w14:textId="77777777" w:rsidR="00675E2D" w:rsidRPr="007B131C" w:rsidRDefault="00675E2D" w:rsidP="007B131C">
      <w:pPr>
        <w:spacing w:line="360" w:lineRule="auto"/>
        <w:rPr>
          <w:rFonts w:ascii="Arial" w:hAnsi="Arial" w:cs="Arial"/>
          <w:sz w:val="22"/>
          <w:szCs w:val="22"/>
        </w:rPr>
      </w:pPr>
      <w:r w:rsidRPr="007B131C">
        <w:rPr>
          <w:rFonts w:ascii="Arial" w:hAnsi="Arial" w:cs="Arial"/>
          <w:sz w:val="22"/>
          <w:szCs w:val="22"/>
        </w:rPr>
        <w:t>Local authorities have a statutory responsibility to ensure that Early Help services are accessible, coordinated and clearly communicated to families. As digital services increasingly represent the first point of contact for parents seeking advice or support, local authority websites play a vital role in promoting awareness of available services, explaining referral pathways and encouraging families to seek assistance before problems become more serious. Consequently, the quality, accessibility and usability of these websites can influence how effectively Early Help reaches those who need it most.</w:t>
      </w:r>
    </w:p>
    <w:p w14:paraId="7A07E086" w14:textId="77777777" w:rsidR="00675E2D" w:rsidRPr="007B131C" w:rsidRDefault="00675E2D" w:rsidP="007B131C">
      <w:pPr>
        <w:spacing w:line="360" w:lineRule="auto"/>
        <w:rPr>
          <w:rFonts w:ascii="Arial" w:hAnsi="Arial" w:cs="Arial"/>
          <w:sz w:val="22"/>
          <w:szCs w:val="22"/>
        </w:rPr>
      </w:pPr>
      <w:r w:rsidRPr="007B131C">
        <w:rPr>
          <w:rFonts w:ascii="Arial" w:hAnsi="Arial" w:cs="Arial"/>
          <w:sz w:val="22"/>
          <w:szCs w:val="22"/>
        </w:rPr>
        <w:t>This report critically examines how Leeds City Council, Norfolk County Council and Staffordshire County Council communicate information about Early Help through their websites. It evaluates how effectively each authority signposts Early Help and wider family support services, considers the role of multi-agency working within Early Help delivery, compares the strengths and limitations of each website, and concludes with recommendations for improving accessibility and public engagement. The analysis is informed by current statutory guidance, academic literature and national policy relating to safeguarding and early intervention.</w:t>
      </w:r>
    </w:p>
    <w:p w14:paraId="205BFD37" w14:textId="378C481B" w:rsidR="00C816AE" w:rsidRPr="007B131C" w:rsidRDefault="00C816AE" w:rsidP="007B131C">
      <w:pPr>
        <w:pStyle w:val="Heading1"/>
        <w:spacing w:line="360" w:lineRule="auto"/>
        <w:rPr>
          <w:rFonts w:ascii="Arial" w:hAnsi="Arial" w:cs="Arial"/>
          <w:b/>
          <w:bCs/>
          <w:sz w:val="22"/>
          <w:szCs w:val="22"/>
        </w:rPr>
      </w:pPr>
      <w:bookmarkStart w:id="1" w:name="_Toc235138260"/>
      <w:r w:rsidRPr="007B131C">
        <w:rPr>
          <w:rFonts w:ascii="Arial" w:hAnsi="Arial" w:cs="Arial"/>
          <w:b/>
          <w:bCs/>
          <w:sz w:val="22"/>
          <w:szCs w:val="22"/>
        </w:rPr>
        <w:t>The Early Help System</w:t>
      </w:r>
      <w:bookmarkEnd w:id="1"/>
    </w:p>
    <w:p w14:paraId="30F09C3A" w14:textId="77777777" w:rsidR="00AC0953" w:rsidRPr="007B131C" w:rsidRDefault="00AC0953" w:rsidP="007B131C">
      <w:pPr>
        <w:spacing w:line="360" w:lineRule="auto"/>
        <w:rPr>
          <w:rFonts w:ascii="Arial" w:hAnsi="Arial" w:cs="Arial"/>
          <w:sz w:val="22"/>
          <w:szCs w:val="22"/>
        </w:rPr>
      </w:pPr>
      <w:r w:rsidRPr="007B131C">
        <w:rPr>
          <w:rFonts w:ascii="Arial" w:hAnsi="Arial" w:cs="Arial"/>
          <w:sz w:val="22"/>
          <w:szCs w:val="22"/>
        </w:rPr>
        <w:t xml:space="preserve">The concept of Early Help is founded on the principle that identifying concerns at an early stage improves outcomes for children while reducing the likelihood of more intensive statutory intervention. Rather than focusing solely on child protection after significant harm has occurred, Early Help promotes preventative action by recognising emerging needs and providing coordinated support before problems become entrenched. This represents a shift from reactive safeguarding towards a more proactive model of family support that prioritises </w:t>
      </w:r>
      <w:r w:rsidRPr="007B131C">
        <w:rPr>
          <w:rFonts w:ascii="Arial" w:hAnsi="Arial" w:cs="Arial"/>
          <w:sz w:val="22"/>
          <w:szCs w:val="22"/>
        </w:rPr>
        <w:lastRenderedPageBreak/>
        <w:t>resilience, strengths-based practice and collaborative decision-making (Daniel, Vincent and Farrall, 2022).</w:t>
      </w:r>
    </w:p>
    <w:p w14:paraId="19A61CFD" w14:textId="77777777" w:rsidR="00AC0953" w:rsidRPr="007B131C" w:rsidRDefault="00AC0953" w:rsidP="007B131C">
      <w:pPr>
        <w:spacing w:line="360" w:lineRule="auto"/>
        <w:rPr>
          <w:rFonts w:ascii="Arial" w:hAnsi="Arial" w:cs="Arial"/>
          <w:sz w:val="22"/>
          <w:szCs w:val="22"/>
        </w:rPr>
      </w:pPr>
      <w:r w:rsidRPr="007B131C">
        <w:rPr>
          <w:rFonts w:ascii="Arial" w:hAnsi="Arial" w:cs="Arial"/>
          <w:sz w:val="22"/>
          <w:szCs w:val="22"/>
        </w:rPr>
        <w:t>The Supporting Families: Early Help System Guide describes Early Help as a whole-system approach rather than an individual service. Effective Early Help relies upon strong leadership, integrated commissioning, partnership working and accessible local services that respond to varying levels of family need (Department for Levelling Up, Housing and Communities (DLUHC) and Department for Education (DfE), 2022). Instead of operating independently, education providers, health professionals, social care, housing services, police and voluntary organisations work collectively to provide timely interventions tailored to individual circumstances.</w:t>
      </w:r>
    </w:p>
    <w:p w14:paraId="14B2C711" w14:textId="77777777" w:rsidR="00AC0953" w:rsidRPr="007B131C" w:rsidRDefault="00AC0953" w:rsidP="007B131C">
      <w:pPr>
        <w:spacing w:line="360" w:lineRule="auto"/>
        <w:rPr>
          <w:rFonts w:ascii="Arial" w:hAnsi="Arial" w:cs="Arial"/>
          <w:sz w:val="22"/>
          <w:szCs w:val="22"/>
        </w:rPr>
      </w:pPr>
      <w:r w:rsidRPr="007B131C">
        <w:rPr>
          <w:rFonts w:ascii="Arial" w:hAnsi="Arial" w:cs="Arial"/>
          <w:sz w:val="22"/>
          <w:szCs w:val="22"/>
        </w:rPr>
        <w:t>Families accessing Early Help may receive support for a broad range of issues, including children's emotional wellbeing, parenting difficulties, school attendance, special educational needs, domestic abuse, substance misuse and financial hardship. Importantly, participation is generally voluntary, allowing practitioners to build trusting relationships with families rather than relying solely on statutory enforcement powers. Research suggests that families are more likely to engage positively with services when interventions are collaborative, strengths-based and focused on empowering parents to develop sustainable solutions (Featherstone, White and Morris, 2018).</w:t>
      </w:r>
    </w:p>
    <w:p w14:paraId="298B90A6" w14:textId="77777777" w:rsidR="00AC0953" w:rsidRPr="007B131C" w:rsidRDefault="00AC0953" w:rsidP="007B131C">
      <w:pPr>
        <w:spacing w:line="360" w:lineRule="auto"/>
        <w:rPr>
          <w:rFonts w:ascii="Arial" w:hAnsi="Arial" w:cs="Arial"/>
          <w:sz w:val="22"/>
          <w:szCs w:val="22"/>
        </w:rPr>
      </w:pPr>
      <w:r w:rsidRPr="007B131C">
        <w:rPr>
          <w:rFonts w:ascii="Arial" w:hAnsi="Arial" w:cs="Arial"/>
          <w:sz w:val="22"/>
          <w:szCs w:val="22"/>
        </w:rPr>
        <w:t>The publication of Working Together to Safeguard Children 2023 further strengthened the expectation that Early Help should be embedded across all agencies responsible for children's welfare. The guidance states that safeguarding is a shared responsibility and that children should receive the right support at the right time through coordinated, evidence-informed practice (Department for Education (DfE), 2023). Rather than viewing Early Help as the responsibility of children's social care alone, the guidance places equal importance on the contribution of schools, health services, police, housing providers, youth justice services and voluntary organisations. This integrated approach aims to identify concerns before they develop into safeguarding crises and enables practitioners to intervene in ways that promote long-term wellbeing.</w:t>
      </w:r>
    </w:p>
    <w:p w14:paraId="6A38EFFE" w14:textId="77777777" w:rsidR="00AC0953" w:rsidRPr="007B131C" w:rsidRDefault="00AC0953" w:rsidP="007B131C">
      <w:pPr>
        <w:spacing w:line="360" w:lineRule="auto"/>
        <w:rPr>
          <w:rFonts w:ascii="Arial" w:hAnsi="Arial" w:cs="Arial"/>
          <w:sz w:val="22"/>
          <w:szCs w:val="22"/>
        </w:rPr>
      </w:pPr>
      <w:r w:rsidRPr="007B131C">
        <w:rPr>
          <w:rFonts w:ascii="Arial" w:hAnsi="Arial" w:cs="Arial"/>
          <w:sz w:val="22"/>
          <w:szCs w:val="22"/>
        </w:rPr>
        <w:t xml:space="preserve">A key feature of an effective Early Help system is the use of proportionate assessments that consider the strengths, needs and aspirations of the whole family. Rather than concentrating solely on presenting problems, practitioners are encouraged to identify protective factors, existing support networks and opportunities to build resilience (DLUHC and DfE, 2022). This strengths-based philosophy reflects contemporary social work practice, which recognises that sustainable change is more likely when families actively participate in identifying </w:t>
      </w:r>
      <w:r w:rsidRPr="007B131C">
        <w:rPr>
          <w:rFonts w:ascii="Arial" w:hAnsi="Arial" w:cs="Arial"/>
          <w:sz w:val="22"/>
          <w:szCs w:val="22"/>
        </w:rPr>
        <w:lastRenderedPageBreak/>
        <w:t>solutions rather than having interventions imposed upon them (Featherstone, White and Morris, 2018).</w:t>
      </w:r>
    </w:p>
    <w:p w14:paraId="612180C7" w14:textId="4CAB0A7D" w:rsidR="00C816AE" w:rsidRPr="007B131C" w:rsidRDefault="00C816AE" w:rsidP="007B131C">
      <w:pPr>
        <w:pStyle w:val="Heading1"/>
        <w:spacing w:line="360" w:lineRule="auto"/>
        <w:rPr>
          <w:rFonts w:ascii="Arial" w:hAnsi="Arial" w:cs="Arial"/>
          <w:b/>
          <w:bCs/>
          <w:sz w:val="22"/>
          <w:szCs w:val="22"/>
        </w:rPr>
      </w:pPr>
      <w:bookmarkStart w:id="2" w:name="_Toc235138261"/>
      <w:r w:rsidRPr="007B131C">
        <w:rPr>
          <w:rFonts w:ascii="Arial" w:hAnsi="Arial" w:cs="Arial"/>
          <w:b/>
          <w:bCs/>
          <w:sz w:val="22"/>
          <w:szCs w:val="22"/>
        </w:rPr>
        <w:t>Multi-agency Working</w:t>
      </w:r>
      <w:bookmarkEnd w:id="2"/>
      <w:r w:rsidRPr="007B131C">
        <w:rPr>
          <w:rFonts w:ascii="Arial" w:hAnsi="Arial" w:cs="Arial"/>
          <w:b/>
          <w:bCs/>
          <w:sz w:val="22"/>
          <w:szCs w:val="22"/>
        </w:rPr>
        <w:t xml:space="preserve"> </w:t>
      </w:r>
    </w:p>
    <w:p w14:paraId="5C6A82C4" w14:textId="77777777" w:rsidR="00C411E4" w:rsidRPr="007B131C" w:rsidRDefault="00C411E4" w:rsidP="007B131C">
      <w:pPr>
        <w:spacing w:line="360" w:lineRule="auto"/>
        <w:rPr>
          <w:rFonts w:ascii="Arial" w:hAnsi="Arial" w:cs="Arial"/>
          <w:sz w:val="22"/>
          <w:szCs w:val="22"/>
        </w:rPr>
      </w:pPr>
      <w:r w:rsidRPr="007B131C">
        <w:rPr>
          <w:rFonts w:ascii="Arial" w:hAnsi="Arial" w:cs="Arial"/>
          <w:sz w:val="22"/>
          <w:szCs w:val="22"/>
        </w:rPr>
        <w:t>Multi-agency working forms the operational foundation of the Early Help system because children's needs rarely exist within a single professional discipline. Difficulties affecting education, physical health, emotional wellbeing, housing, financial stability and family relationships are often interconnected, meaning that no individual agency possesses all the expertise required to respond effectively. Collaborative working therefore enables professionals to combine their knowledge, coordinate interventions and develop holistic support plans that address the needs of the child and wider family (Department for Education (DfE), 2023).</w:t>
      </w:r>
    </w:p>
    <w:p w14:paraId="7D278A6B" w14:textId="77777777" w:rsidR="00C411E4" w:rsidRPr="007B131C" w:rsidRDefault="00C411E4" w:rsidP="007B131C">
      <w:pPr>
        <w:spacing w:line="360" w:lineRule="auto"/>
        <w:rPr>
          <w:rFonts w:ascii="Arial" w:hAnsi="Arial" w:cs="Arial"/>
          <w:sz w:val="22"/>
          <w:szCs w:val="22"/>
        </w:rPr>
      </w:pPr>
      <w:r w:rsidRPr="007B131C">
        <w:rPr>
          <w:rFonts w:ascii="Arial" w:hAnsi="Arial" w:cs="Arial"/>
          <w:sz w:val="22"/>
          <w:szCs w:val="22"/>
        </w:rPr>
        <w:t>The legal framework supporting partnership working is established through the Children Act 2004, which introduced a statutory duty for key organisations to cooperate in promoting children's wellbeing (HM Government, 2004). This duty has subsequently been strengthened through Working Together to Safeguard Children 2023, which identifies local authorities, Integrated Care Boards, police services, education providers and safeguarding partners as jointly responsible for protecting children and ensuring that support is delivered in a coordinated manner (DfE, 2023). Effective collaboration relies upon timely information sharing, clearly defined professional responsibilities and regular communication between agencies.</w:t>
      </w:r>
    </w:p>
    <w:p w14:paraId="7420DBA1" w14:textId="77777777" w:rsidR="00C816AE" w:rsidRPr="007B131C" w:rsidRDefault="00C816AE" w:rsidP="007B131C">
      <w:pPr>
        <w:pStyle w:val="Heading1"/>
        <w:spacing w:line="360" w:lineRule="auto"/>
        <w:rPr>
          <w:rFonts w:ascii="Arial" w:hAnsi="Arial" w:cs="Arial"/>
          <w:b/>
          <w:bCs/>
          <w:sz w:val="22"/>
          <w:szCs w:val="22"/>
        </w:rPr>
      </w:pPr>
      <w:bookmarkStart w:id="3" w:name="_Toc235138262"/>
      <w:r w:rsidRPr="007B131C">
        <w:rPr>
          <w:rFonts w:ascii="Arial" w:hAnsi="Arial" w:cs="Arial"/>
          <w:b/>
          <w:bCs/>
          <w:sz w:val="22"/>
          <w:szCs w:val="22"/>
        </w:rPr>
        <w:t>Evaluation of Local Authority Websites</w:t>
      </w:r>
      <w:bookmarkEnd w:id="3"/>
    </w:p>
    <w:p w14:paraId="2B96A7AD" w14:textId="1EEEDD43" w:rsidR="00C816AE" w:rsidRPr="007B131C" w:rsidRDefault="00C816AE" w:rsidP="007B131C">
      <w:pPr>
        <w:spacing w:line="360" w:lineRule="auto"/>
        <w:rPr>
          <w:rFonts w:ascii="Arial" w:hAnsi="Arial" w:cs="Arial"/>
          <w:b/>
          <w:bCs/>
          <w:sz w:val="22"/>
          <w:szCs w:val="22"/>
        </w:rPr>
      </w:pPr>
      <w:r w:rsidRPr="007B131C">
        <w:rPr>
          <w:rFonts w:ascii="Arial" w:hAnsi="Arial" w:cs="Arial"/>
          <w:b/>
          <w:bCs/>
          <w:sz w:val="22"/>
          <w:szCs w:val="22"/>
        </w:rPr>
        <w:t xml:space="preserve">Leeds City Council </w:t>
      </w:r>
    </w:p>
    <w:p w14:paraId="2F53A5D9" w14:textId="77777777" w:rsidR="00150567" w:rsidRPr="007B131C" w:rsidRDefault="00150567" w:rsidP="007B131C">
      <w:pPr>
        <w:spacing w:line="360" w:lineRule="auto"/>
        <w:rPr>
          <w:rFonts w:ascii="Arial" w:hAnsi="Arial" w:cs="Arial"/>
          <w:sz w:val="22"/>
          <w:szCs w:val="22"/>
        </w:rPr>
      </w:pPr>
      <w:r w:rsidRPr="007B131C">
        <w:rPr>
          <w:rFonts w:ascii="Arial" w:hAnsi="Arial" w:cs="Arial"/>
          <w:sz w:val="22"/>
          <w:szCs w:val="22"/>
        </w:rPr>
        <w:t>Among the three local authorities examined, Leeds City Council provides the most comprehensive and accessible presentation of Early Help services. The website demonstrates a strong understanding of family-centred communication by explaining Early Help using straightforward, non-technical language while maintaining consistency with statutory safeguarding guidance (Leeds City Council, 2025). Rather than focusing solely on professional processes, the information is written from the perspective of families, explaining how support can help with common challenges such as children's behaviour, emotional wellbeing, school attendance, parenting difficulties and financial pressures. This reflects the strengths-based principles promoted within the Supporting Families: Early Help System Guide, which encourages services to build upon family capabilities rather than concentrating exclusively on risk (DLUHC and DfE, 2022).</w:t>
      </w:r>
    </w:p>
    <w:p w14:paraId="370E41BC" w14:textId="77777777" w:rsidR="00150567" w:rsidRPr="007B131C" w:rsidRDefault="00150567" w:rsidP="007B131C">
      <w:pPr>
        <w:spacing w:line="360" w:lineRule="auto"/>
        <w:rPr>
          <w:rFonts w:ascii="Arial" w:hAnsi="Arial" w:cs="Arial"/>
          <w:sz w:val="22"/>
          <w:szCs w:val="22"/>
        </w:rPr>
      </w:pPr>
      <w:r w:rsidRPr="007B131C">
        <w:rPr>
          <w:rFonts w:ascii="Arial" w:hAnsi="Arial" w:cs="Arial"/>
          <w:sz w:val="22"/>
          <w:szCs w:val="22"/>
        </w:rPr>
        <w:lastRenderedPageBreak/>
        <w:t>One of the website's greatest strengths is its clear information architecture. Early Help information is integrated alongside Family Hubs, SEND support, safeguarding, parenting programmes and emotional wellbeing services, allowing families to navigate between related services without unnecessary duplication. This interconnected approach reflects the integrated working model advocated within Working Together to Safeguard Children 2023 (DfE, 2023). Parents are not simply informed that Early Help exists; they are shown how it connects with wider services available within their community.</w:t>
      </w:r>
    </w:p>
    <w:p w14:paraId="38FCA336" w14:textId="77777777" w:rsidR="00150567" w:rsidRPr="007B131C" w:rsidRDefault="00150567" w:rsidP="007B131C">
      <w:pPr>
        <w:spacing w:line="360" w:lineRule="auto"/>
        <w:rPr>
          <w:rFonts w:ascii="Arial" w:hAnsi="Arial" w:cs="Arial"/>
          <w:sz w:val="22"/>
          <w:szCs w:val="22"/>
        </w:rPr>
      </w:pPr>
      <w:r w:rsidRPr="007B131C">
        <w:rPr>
          <w:rFonts w:ascii="Arial" w:hAnsi="Arial" w:cs="Arial"/>
          <w:sz w:val="22"/>
          <w:szCs w:val="22"/>
        </w:rPr>
        <w:t>The website also performs well from a digital accessibility perspective. Headings are logically organised, hyperlinks are clearly labelled and contact information is visible throughout the relevant webpages. Such features reduce barriers for families experiencing stress or crisis, where excessive searching may discourage engagement. Research into digital public services suggests that clear navigation and concise information significantly influence whether individuals access preventative support (Good Things Foundation, 2023).</w:t>
      </w:r>
    </w:p>
    <w:p w14:paraId="4F0E2742" w14:textId="77777777" w:rsidR="00150567" w:rsidRPr="007B131C" w:rsidRDefault="00150567" w:rsidP="007B131C">
      <w:pPr>
        <w:spacing w:line="360" w:lineRule="auto"/>
        <w:rPr>
          <w:rFonts w:ascii="Arial" w:hAnsi="Arial" w:cs="Arial"/>
          <w:b/>
          <w:bCs/>
          <w:sz w:val="22"/>
          <w:szCs w:val="22"/>
        </w:rPr>
      </w:pPr>
      <w:r w:rsidRPr="007B131C">
        <w:rPr>
          <w:rFonts w:ascii="Arial" w:hAnsi="Arial" w:cs="Arial"/>
          <w:b/>
          <w:bCs/>
          <w:sz w:val="22"/>
          <w:szCs w:val="22"/>
        </w:rPr>
        <w:t>Norfolk County Council</w:t>
      </w:r>
    </w:p>
    <w:p w14:paraId="6D04E43E" w14:textId="77777777" w:rsidR="00150567" w:rsidRPr="007B131C" w:rsidRDefault="00150567" w:rsidP="007B131C">
      <w:pPr>
        <w:spacing w:line="360" w:lineRule="auto"/>
        <w:rPr>
          <w:rFonts w:ascii="Arial" w:hAnsi="Arial" w:cs="Arial"/>
          <w:sz w:val="22"/>
          <w:szCs w:val="22"/>
        </w:rPr>
      </w:pPr>
      <w:r w:rsidRPr="007B131C">
        <w:rPr>
          <w:rFonts w:ascii="Arial" w:hAnsi="Arial" w:cs="Arial"/>
          <w:sz w:val="22"/>
          <w:szCs w:val="22"/>
        </w:rPr>
        <w:t xml:space="preserve">Norfolk County Council also presents a well-developed Early Help website that effectively communicates the purpose of early intervention while maintaining a clear focus on supporting families before difficulties escalate. </w:t>
      </w:r>
      <w:proofErr w:type="gramStart"/>
      <w:r w:rsidRPr="007B131C">
        <w:rPr>
          <w:rFonts w:ascii="Arial" w:hAnsi="Arial" w:cs="Arial"/>
          <w:sz w:val="22"/>
          <w:szCs w:val="22"/>
        </w:rPr>
        <w:t>Similar to</w:t>
      </w:r>
      <w:proofErr w:type="gramEnd"/>
      <w:r w:rsidRPr="007B131C">
        <w:rPr>
          <w:rFonts w:ascii="Arial" w:hAnsi="Arial" w:cs="Arial"/>
          <w:sz w:val="22"/>
          <w:szCs w:val="22"/>
        </w:rPr>
        <w:t xml:space="preserve"> Leeds, the website reflects national safeguarding guidance by emphasising collaboration, prevention and coordinated support across multiple agencies (Norfolk County Council, 2025). However, Norfolk distinguishes itself through its extensive use of practical examples, enabling parents to identify situations in which Early Help may be appropriate. Rather than relying primarily on policy definitions, the website describes realistic circumstances involving school attendance, emotional wellbeing, parenting challenges and family relationships. This approach aligns with family-centred practice by making professional services appear more approachable and less intimidating.</w:t>
      </w:r>
    </w:p>
    <w:p w14:paraId="6FB5137C" w14:textId="77777777" w:rsidR="00150567" w:rsidRPr="007B131C" w:rsidRDefault="00150567" w:rsidP="007B131C">
      <w:pPr>
        <w:spacing w:line="360" w:lineRule="auto"/>
        <w:rPr>
          <w:rFonts w:ascii="Arial" w:hAnsi="Arial" w:cs="Arial"/>
          <w:sz w:val="22"/>
          <w:szCs w:val="22"/>
        </w:rPr>
      </w:pPr>
      <w:r w:rsidRPr="007B131C">
        <w:rPr>
          <w:rFonts w:ascii="Arial" w:hAnsi="Arial" w:cs="Arial"/>
          <w:sz w:val="22"/>
          <w:szCs w:val="22"/>
        </w:rPr>
        <w:t>Another notable strength is the website's integration of Family Hubs, SEND support, domestic abuse services, youth support and mental health resources within a single online environment. This reflects Bronfenbrenner's ecological perspective, which recognises that children's development is influenced by interconnected social systems rather than isolated individual factors (Bronfenbrenner, 1979). By presenting services collectively, Norfolk encourages families to consider broader sources of support rather than viewing problems in isolation.</w:t>
      </w:r>
    </w:p>
    <w:p w14:paraId="10B96AB8" w14:textId="77777777" w:rsidR="00150567" w:rsidRPr="007B131C" w:rsidRDefault="00150567" w:rsidP="007B131C">
      <w:pPr>
        <w:spacing w:line="360" w:lineRule="auto"/>
        <w:rPr>
          <w:rFonts w:ascii="Arial" w:hAnsi="Arial" w:cs="Arial"/>
          <w:b/>
          <w:bCs/>
          <w:sz w:val="22"/>
          <w:szCs w:val="22"/>
        </w:rPr>
      </w:pPr>
      <w:r w:rsidRPr="007B131C">
        <w:rPr>
          <w:rFonts w:ascii="Arial" w:hAnsi="Arial" w:cs="Arial"/>
          <w:b/>
          <w:bCs/>
          <w:sz w:val="22"/>
          <w:szCs w:val="22"/>
        </w:rPr>
        <w:t>Staffordshire County Council</w:t>
      </w:r>
    </w:p>
    <w:p w14:paraId="343FD343" w14:textId="77777777" w:rsidR="00150567" w:rsidRPr="007B131C" w:rsidRDefault="00150567" w:rsidP="007B131C">
      <w:pPr>
        <w:spacing w:line="360" w:lineRule="auto"/>
        <w:rPr>
          <w:rFonts w:ascii="Arial" w:hAnsi="Arial" w:cs="Arial"/>
          <w:sz w:val="22"/>
          <w:szCs w:val="22"/>
        </w:rPr>
      </w:pPr>
      <w:r w:rsidRPr="007B131C">
        <w:rPr>
          <w:rFonts w:ascii="Arial" w:hAnsi="Arial" w:cs="Arial"/>
          <w:sz w:val="22"/>
          <w:szCs w:val="22"/>
        </w:rPr>
        <w:lastRenderedPageBreak/>
        <w:t>Staffordshire County Council provides comprehensive information relating to Early Help, children's safeguarding and wider family support services. The website clearly explains that Early Help aims to identify additional needs at the earliest opportunity and coordinate support before problems escalate into statutory safeguarding concerns (Staffordshire County Council, 2025). This reflects the preventative philosophy underpinning both the Supporting Families: Early Help System Guide and Working Together to Safeguard Children 2023, demonstrating that the council's approach aligns closely with national policy expectations (Department for Education (DfE), 2023; Department for Levelling Up, Housing and Communities (DLUHC) and DfE, 2022).</w:t>
      </w:r>
    </w:p>
    <w:p w14:paraId="0F987095" w14:textId="77777777" w:rsidR="00150567" w:rsidRPr="007B131C" w:rsidRDefault="00150567" w:rsidP="007B131C">
      <w:pPr>
        <w:spacing w:line="360" w:lineRule="auto"/>
        <w:rPr>
          <w:rFonts w:ascii="Arial" w:hAnsi="Arial" w:cs="Arial"/>
          <w:sz w:val="22"/>
          <w:szCs w:val="22"/>
        </w:rPr>
      </w:pPr>
      <w:r w:rsidRPr="007B131C">
        <w:rPr>
          <w:rFonts w:ascii="Arial" w:hAnsi="Arial" w:cs="Arial"/>
          <w:sz w:val="22"/>
          <w:szCs w:val="22"/>
        </w:rPr>
        <w:t>However, the website differs noticeably from Leeds and Norfolk in its communication style. While the information is comprehensive, much of the content adopts professional safeguarding terminology that may be unfamiliar to parents accessing services independently. This creates a greater cognitive demand for users, particularly those experiencing stress or individuals with limited knowledge of children's services. Digital accessibility research highlights that public-sector websites should minimise technical language and present information using plain English wherever possible to encourage engagement across diverse populations (Good Things Foundation, 2023).</w:t>
      </w:r>
    </w:p>
    <w:tbl>
      <w:tblPr>
        <w:tblStyle w:val="ListTable4-Accent6"/>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08"/>
        <w:gridCol w:w="1109"/>
        <w:gridCol w:w="986"/>
        <w:gridCol w:w="1586"/>
      </w:tblGrid>
      <w:tr w:rsidR="00C816AE" w:rsidRPr="007B131C" w14:paraId="5A2EE1EC" w14:textId="77777777" w:rsidTr="00C816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2A3FE289" w14:textId="4AA573B8" w:rsidR="00C816AE" w:rsidRPr="007B131C" w:rsidRDefault="00C816AE" w:rsidP="007B131C">
            <w:pPr>
              <w:spacing w:after="160" w:line="360" w:lineRule="auto"/>
              <w:rPr>
                <w:rFonts w:ascii="Arial" w:hAnsi="Arial" w:cs="Arial"/>
                <w:sz w:val="22"/>
                <w:szCs w:val="22"/>
              </w:rPr>
            </w:pPr>
            <w:r w:rsidRPr="007B131C">
              <w:rPr>
                <w:rFonts w:ascii="Arial" w:hAnsi="Arial" w:cs="Arial"/>
                <w:sz w:val="22"/>
                <w:szCs w:val="22"/>
              </w:rPr>
              <w:t>Criteria</w:t>
            </w:r>
          </w:p>
        </w:tc>
        <w:tc>
          <w:tcPr>
            <w:tcW w:w="0" w:type="auto"/>
            <w:tcBorders>
              <w:top w:val="none" w:sz="0" w:space="0" w:color="auto"/>
              <w:bottom w:val="none" w:sz="0" w:space="0" w:color="auto"/>
            </w:tcBorders>
            <w:hideMark/>
          </w:tcPr>
          <w:p w14:paraId="6FE26294" w14:textId="77777777" w:rsidR="00C816AE" w:rsidRPr="007B131C" w:rsidRDefault="00C816AE" w:rsidP="007B131C">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Leeds</w:t>
            </w:r>
          </w:p>
        </w:tc>
        <w:tc>
          <w:tcPr>
            <w:tcW w:w="0" w:type="auto"/>
            <w:tcBorders>
              <w:top w:val="none" w:sz="0" w:space="0" w:color="auto"/>
              <w:bottom w:val="none" w:sz="0" w:space="0" w:color="auto"/>
            </w:tcBorders>
            <w:hideMark/>
          </w:tcPr>
          <w:p w14:paraId="5AECCC8A" w14:textId="77777777" w:rsidR="00C816AE" w:rsidRPr="007B131C" w:rsidRDefault="00C816AE" w:rsidP="007B131C">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Norfolk</w:t>
            </w:r>
          </w:p>
        </w:tc>
        <w:tc>
          <w:tcPr>
            <w:tcW w:w="0" w:type="auto"/>
            <w:tcBorders>
              <w:top w:val="none" w:sz="0" w:space="0" w:color="auto"/>
              <w:bottom w:val="none" w:sz="0" w:space="0" w:color="auto"/>
              <w:right w:val="none" w:sz="0" w:space="0" w:color="auto"/>
            </w:tcBorders>
            <w:hideMark/>
          </w:tcPr>
          <w:p w14:paraId="496F9EE0" w14:textId="77777777" w:rsidR="00C816AE" w:rsidRPr="007B131C" w:rsidRDefault="00C816AE" w:rsidP="007B131C">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Staffordshire</w:t>
            </w:r>
          </w:p>
        </w:tc>
      </w:tr>
      <w:tr w:rsidR="00C816AE" w:rsidRPr="007B131C" w14:paraId="77D130ED" w14:textId="77777777" w:rsidTr="00C816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9DFFD0" w14:textId="77777777" w:rsidR="00C816AE" w:rsidRPr="007B131C" w:rsidRDefault="00C816AE" w:rsidP="007B131C">
            <w:pPr>
              <w:spacing w:after="160" w:line="360" w:lineRule="auto"/>
              <w:rPr>
                <w:rFonts w:ascii="Arial" w:hAnsi="Arial" w:cs="Arial"/>
                <w:sz w:val="22"/>
                <w:szCs w:val="22"/>
              </w:rPr>
            </w:pPr>
            <w:r w:rsidRPr="007B131C">
              <w:rPr>
                <w:rFonts w:ascii="Arial" w:hAnsi="Arial" w:cs="Arial"/>
                <w:sz w:val="22"/>
                <w:szCs w:val="22"/>
              </w:rPr>
              <w:t>Ease of navigation</w:t>
            </w:r>
          </w:p>
        </w:tc>
        <w:tc>
          <w:tcPr>
            <w:tcW w:w="0" w:type="auto"/>
            <w:hideMark/>
          </w:tcPr>
          <w:p w14:paraId="6F6BA9AC" w14:textId="5406B7CD"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Excellent</w:t>
            </w:r>
          </w:p>
        </w:tc>
        <w:tc>
          <w:tcPr>
            <w:tcW w:w="0" w:type="auto"/>
            <w:hideMark/>
          </w:tcPr>
          <w:p w14:paraId="105926E5" w14:textId="6C43C1D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c>
          <w:tcPr>
            <w:tcW w:w="0" w:type="auto"/>
            <w:hideMark/>
          </w:tcPr>
          <w:p w14:paraId="4735D8F6"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Fair</w:t>
            </w:r>
          </w:p>
        </w:tc>
      </w:tr>
      <w:tr w:rsidR="00C816AE" w:rsidRPr="007B131C" w14:paraId="7831FF1F" w14:textId="77777777" w:rsidTr="00C816AE">
        <w:tc>
          <w:tcPr>
            <w:cnfStyle w:val="001000000000" w:firstRow="0" w:lastRow="0" w:firstColumn="1" w:lastColumn="0" w:oddVBand="0" w:evenVBand="0" w:oddHBand="0" w:evenHBand="0" w:firstRowFirstColumn="0" w:firstRowLastColumn="0" w:lastRowFirstColumn="0" w:lastRowLastColumn="0"/>
            <w:tcW w:w="0" w:type="auto"/>
            <w:hideMark/>
          </w:tcPr>
          <w:p w14:paraId="2F4EF2F4" w14:textId="77777777" w:rsidR="00C816AE" w:rsidRPr="007B131C" w:rsidRDefault="00C816AE" w:rsidP="007B131C">
            <w:pPr>
              <w:spacing w:after="160" w:line="360" w:lineRule="auto"/>
              <w:rPr>
                <w:rFonts w:ascii="Arial" w:hAnsi="Arial" w:cs="Arial"/>
                <w:sz w:val="22"/>
                <w:szCs w:val="22"/>
              </w:rPr>
            </w:pPr>
            <w:r w:rsidRPr="007B131C">
              <w:rPr>
                <w:rFonts w:ascii="Arial" w:hAnsi="Arial" w:cs="Arial"/>
                <w:sz w:val="22"/>
                <w:szCs w:val="22"/>
              </w:rPr>
              <w:t>Family-friendly language</w:t>
            </w:r>
          </w:p>
        </w:tc>
        <w:tc>
          <w:tcPr>
            <w:tcW w:w="0" w:type="auto"/>
            <w:hideMark/>
          </w:tcPr>
          <w:p w14:paraId="02CB420D"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Excellent</w:t>
            </w:r>
          </w:p>
        </w:tc>
        <w:tc>
          <w:tcPr>
            <w:tcW w:w="0" w:type="auto"/>
            <w:hideMark/>
          </w:tcPr>
          <w:p w14:paraId="4AB1A42B"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c>
          <w:tcPr>
            <w:tcW w:w="0" w:type="auto"/>
            <w:hideMark/>
          </w:tcPr>
          <w:p w14:paraId="1BF3EF5A"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Moderate</w:t>
            </w:r>
          </w:p>
        </w:tc>
      </w:tr>
      <w:tr w:rsidR="00C816AE" w:rsidRPr="007B131C" w14:paraId="6C5317CA" w14:textId="77777777" w:rsidTr="00C816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1547A4" w14:textId="77777777" w:rsidR="00C816AE" w:rsidRPr="007B131C" w:rsidRDefault="00C816AE" w:rsidP="007B131C">
            <w:pPr>
              <w:spacing w:after="160" w:line="360" w:lineRule="auto"/>
              <w:rPr>
                <w:rFonts w:ascii="Arial" w:hAnsi="Arial" w:cs="Arial"/>
                <w:sz w:val="22"/>
                <w:szCs w:val="22"/>
              </w:rPr>
            </w:pPr>
            <w:r w:rsidRPr="007B131C">
              <w:rPr>
                <w:rFonts w:ascii="Arial" w:hAnsi="Arial" w:cs="Arial"/>
                <w:sz w:val="22"/>
                <w:szCs w:val="22"/>
              </w:rPr>
              <w:t>Referral information</w:t>
            </w:r>
          </w:p>
        </w:tc>
        <w:tc>
          <w:tcPr>
            <w:tcW w:w="0" w:type="auto"/>
            <w:hideMark/>
          </w:tcPr>
          <w:p w14:paraId="186A3054"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Excellent</w:t>
            </w:r>
          </w:p>
        </w:tc>
        <w:tc>
          <w:tcPr>
            <w:tcW w:w="0" w:type="auto"/>
            <w:hideMark/>
          </w:tcPr>
          <w:p w14:paraId="3CCCC083"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c>
          <w:tcPr>
            <w:tcW w:w="0" w:type="auto"/>
            <w:hideMark/>
          </w:tcPr>
          <w:p w14:paraId="16022BB2"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r>
      <w:tr w:rsidR="00C816AE" w:rsidRPr="007B131C" w14:paraId="36C6A580" w14:textId="77777777" w:rsidTr="00C816AE">
        <w:tc>
          <w:tcPr>
            <w:cnfStyle w:val="001000000000" w:firstRow="0" w:lastRow="0" w:firstColumn="1" w:lastColumn="0" w:oddVBand="0" w:evenVBand="0" w:oddHBand="0" w:evenHBand="0" w:firstRowFirstColumn="0" w:firstRowLastColumn="0" w:lastRowFirstColumn="0" w:lastRowLastColumn="0"/>
            <w:tcW w:w="0" w:type="auto"/>
            <w:hideMark/>
          </w:tcPr>
          <w:p w14:paraId="4AC48F34" w14:textId="77777777" w:rsidR="00C816AE" w:rsidRPr="007B131C" w:rsidRDefault="00C816AE" w:rsidP="007B131C">
            <w:pPr>
              <w:spacing w:after="160" w:line="360" w:lineRule="auto"/>
              <w:rPr>
                <w:rFonts w:ascii="Arial" w:hAnsi="Arial" w:cs="Arial"/>
                <w:sz w:val="22"/>
                <w:szCs w:val="22"/>
              </w:rPr>
            </w:pPr>
            <w:r w:rsidRPr="007B131C">
              <w:rPr>
                <w:rFonts w:ascii="Arial" w:hAnsi="Arial" w:cs="Arial"/>
                <w:sz w:val="22"/>
                <w:szCs w:val="22"/>
              </w:rPr>
              <w:t>Family Hub integration</w:t>
            </w:r>
          </w:p>
        </w:tc>
        <w:tc>
          <w:tcPr>
            <w:tcW w:w="0" w:type="auto"/>
            <w:hideMark/>
          </w:tcPr>
          <w:p w14:paraId="71B68A3D"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Excellent</w:t>
            </w:r>
          </w:p>
        </w:tc>
        <w:tc>
          <w:tcPr>
            <w:tcW w:w="0" w:type="auto"/>
            <w:hideMark/>
          </w:tcPr>
          <w:p w14:paraId="02E249E3"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c>
          <w:tcPr>
            <w:tcW w:w="0" w:type="auto"/>
            <w:hideMark/>
          </w:tcPr>
          <w:p w14:paraId="3E394987"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r>
      <w:tr w:rsidR="00C816AE" w:rsidRPr="007B131C" w14:paraId="1CEC75C6" w14:textId="77777777" w:rsidTr="00C816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C7E7BA" w14:textId="77777777" w:rsidR="00C816AE" w:rsidRPr="007B131C" w:rsidRDefault="00C816AE" w:rsidP="007B131C">
            <w:pPr>
              <w:spacing w:after="160" w:line="360" w:lineRule="auto"/>
              <w:rPr>
                <w:rFonts w:ascii="Arial" w:hAnsi="Arial" w:cs="Arial"/>
                <w:sz w:val="22"/>
                <w:szCs w:val="22"/>
              </w:rPr>
            </w:pPr>
            <w:r w:rsidRPr="007B131C">
              <w:rPr>
                <w:rFonts w:ascii="Arial" w:hAnsi="Arial" w:cs="Arial"/>
                <w:sz w:val="22"/>
                <w:szCs w:val="22"/>
              </w:rPr>
              <w:t>Accessibility</w:t>
            </w:r>
          </w:p>
        </w:tc>
        <w:tc>
          <w:tcPr>
            <w:tcW w:w="0" w:type="auto"/>
            <w:hideMark/>
          </w:tcPr>
          <w:p w14:paraId="7911CEAA"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Excellent</w:t>
            </w:r>
          </w:p>
        </w:tc>
        <w:tc>
          <w:tcPr>
            <w:tcW w:w="0" w:type="auto"/>
            <w:hideMark/>
          </w:tcPr>
          <w:p w14:paraId="3B3258F4"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c>
          <w:tcPr>
            <w:tcW w:w="0" w:type="auto"/>
            <w:hideMark/>
          </w:tcPr>
          <w:p w14:paraId="158B5299"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Moderate</w:t>
            </w:r>
          </w:p>
        </w:tc>
      </w:tr>
    </w:tbl>
    <w:p w14:paraId="4AF1F104" w14:textId="77777777" w:rsidR="00C816AE" w:rsidRPr="007B131C" w:rsidRDefault="00C816AE" w:rsidP="007B131C">
      <w:pPr>
        <w:spacing w:line="360" w:lineRule="auto"/>
        <w:rPr>
          <w:rFonts w:ascii="Arial" w:hAnsi="Arial" w:cs="Arial"/>
          <w:sz w:val="22"/>
          <w:szCs w:val="22"/>
        </w:rPr>
      </w:pPr>
    </w:p>
    <w:p w14:paraId="37CFD2A2" w14:textId="7DE9BE2B" w:rsidR="00C816AE" w:rsidRPr="007B131C" w:rsidRDefault="00C816AE" w:rsidP="007B131C">
      <w:pPr>
        <w:pStyle w:val="Heading1"/>
        <w:spacing w:line="360" w:lineRule="auto"/>
        <w:rPr>
          <w:rFonts w:ascii="Arial" w:hAnsi="Arial" w:cs="Arial"/>
          <w:b/>
          <w:bCs/>
          <w:sz w:val="22"/>
          <w:szCs w:val="22"/>
        </w:rPr>
      </w:pPr>
      <w:bookmarkStart w:id="4" w:name="_Toc235138263"/>
      <w:r w:rsidRPr="007B131C">
        <w:rPr>
          <w:rFonts w:ascii="Arial" w:hAnsi="Arial" w:cs="Arial"/>
          <w:b/>
          <w:bCs/>
          <w:sz w:val="22"/>
          <w:szCs w:val="22"/>
        </w:rPr>
        <w:t>Comparative Analysis</w:t>
      </w:r>
      <w:bookmarkEnd w:id="4"/>
    </w:p>
    <w:p w14:paraId="6FC50BB4" w14:textId="77777777" w:rsidR="00476EF1" w:rsidRPr="007B131C" w:rsidRDefault="00476EF1" w:rsidP="007B131C">
      <w:pPr>
        <w:spacing w:line="360" w:lineRule="auto"/>
        <w:rPr>
          <w:rFonts w:ascii="Arial" w:hAnsi="Arial" w:cs="Arial"/>
          <w:sz w:val="22"/>
          <w:szCs w:val="22"/>
        </w:rPr>
      </w:pPr>
      <w:r w:rsidRPr="007B131C">
        <w:rPr>
          <w:rFonts w:ascii="Arial" w:hAnsi="Arial" w:cs="Arial"/>
          <w:sz w:val="22"/>
          <w:szCs w:val="22"/>
        </w:rPr>
        <w:t xml:space="preserve">Although all three local authorities demonstrate compliance with national safeguarding guidance, important differences exist in how effectively they communicate Early Help information to families. Each council promotes early intervention, partnership working and integrated service delivery in accordance with Working Together to Safeguard Children 2023 and the Supporting Families: Early Help System Guide (DfE, 2023; DLUHC and DfE, 2022). However, effective digital communication requires more than policy compliance; it also </w:t>
      </w:r>
      <w:r w:rsidRPr="007B131C">
        <w:rPr>
          <w:rFonts w:ascii="Arial" w:hAnsi="Arial" w:cs="Arial"/>
          <w:sz w:val="22"/>
          <w:szCs w:val="22"/>
        </w:rPr>
        <w:lastRenderedPageBreak/>
        <w:t>depends upon accessibility, usability and the ability to encourage families to engage with support at an early stage.</w:t>
      </w:r>
    </w:p>
    <w:p w14:paraId="755EFCDC" w14:textId="77777777" w:rsidR="00476EF1" w:rsidRPr="007B131C" w:rsidRDefault="00476EF1" w:rsidP="007B131C">
      <w:pPr>
        <w:spacing w:line="360" w:lineRule="auto"/>
        <w:rPr>
          <w:rFonts w:ascii="Arial" w:hAnsi="Arial" w:cs="Arial"/>
          <w:sz w:val="22"/>
          <w:szCs w:val="22"/>
        </w:rPr>
      </w:pPr>
      <w:r w:rsidRPr="007B131C">
        <w:rPr>
          <w:rFonts w:ascii="Arial" w:hAnsi="Arial" w:cs="Arial"/>
          <w:sz w:val="22"/>
          <w:szCs w:val="22"/>
        </w:rPr>
        <w:t>Leeds City Council demonstrates the strongest overall performance because it combines comprehensive information with intuitive navigation and family-friendly language. Rather than presenting Early Help as a professional process, the website explains services from the perspective of parents and carers, making support appear both accessible and non-judgemental. This reflects contemporary strengths-based practice, which encourages collaborative relationships between professionals and families rather than deficit-focused intervention (Featherstone, White and Morris, 2018). The integration of Family Hubs, safeguarding information and wider community services further strengthens the user experience by reducing fragmentation between services.</w:t>
      </w:r>
    </w:p>
    <w:p w14:paraId="58178985" w14:textId="77777777" w:rsidR="00476EF1" w:rsidRPr="007B131C" w:rsidRDefault="00476EF1" w:rsidP="007B131C">
      <w:pPr>
        <w:spacing w:line="360" w:lineRule="auto"/>
        <w:rPr>
          <w:rFonts w:ascii="Arial" w:hAnsi="Arial" w:cs="Arial"/>
          <w:sz w:val="22"/>
          <w:szCs w:val="22"/>
        </w:rPr>
      </w:pPr>
      <w:r w:rsidRPr="007B131C">
        <w:rPr>
          <w:rFonts w:ascii="Arial" w:hAnsi="Arial" w:cs="Arial"/>
          <w:sz w:val="22"/>
          <w:szCs w:val="22"/>
        </w:rPr>
        <w:t>Norfolk County Council performs particularly well through its use of relatable examples that help families recognise when Early Help may be appropriate. This practical approach reduces uncertainty and supports earlier engagement with services. However, compared with Leeds, navigation requires additional steps, creating unnecessary barriers for users seeking immediate information.</w:t>
      </w:r>
    </w:p>
    <w:p w14:paraId="1A038810" w14:textId="77777777" w:rsidR="00476EF1" w:rsidRPr="007B131C" w:rsidRDefault="00476EF1" w:rsidP="007B131C">
      <w:pPr>
        <w:spacing w:line="360" w:lineRule="auto"/>
        <w:rPr>
          <w:rFonts w:ascii="Arial" w:hAnsi="Arial" w:cs="Arial"/>
          <w:sz w:val="22"/>
          <w:szCs w:val="22"/>
        </w:rPr>
      </w:pPr>
      <w:r w:rsidRPr="007B131C">
        <w:rPr>
          <w:rFonts w:ascii="Arial" w:hAnsi="Arial" w:cs="Arial"/>
          <w:sz w:val="22"/>
          <w:szCs w:val="22"/>
        </w:rPr>
        <w:t>Staffordshire County Council provides the most detailed professional guidance but is comparatively less effective at communicating with members of the public. The greater reliance on safeguarding terminology and policy language may discourage some families from exploring available support independently. While practitioners may benefit from this level of detail, public-facing information should prioritise clarity and accessibility.</w:t>
      </w:r>
    </w:p>
    <w:tbl>
      <w:tblPr>
        <w:tblStyle w:val="GridTable4-Accent6"/>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1532"/>
        <w:gridCol w:w="2099"/>
        <w:gridCol w:w="2686"/>
      </w:tblGrid>
      <w:tr w:rsidR="00C816AE" w:rsidRPr="007B131C" w14:paraId="349C9838" w14:textId="77777777" w:rsidTr="00C816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9" w:type="dxa"/>
            <w:tcBorders>
              <w:top w:val="none" w:sz="0" w:space="0" w:color="auto"/>
              <w:left w:val="none" w:sz="0" w:space="0" w:color="auto"/>
              <w:bottom w:val="none" w:sz="0" w:space="0" w:color="auto"/>
              <w:right w:val="none" w:sz="0" w:space="0" w:color="auto"/>
            </w:tcBorders>
            <w:hideMark/>
          </w:tcPr>
          <w:p w14:paraId="3A1897A9" w14:textId="77777777" w:rsidR="00C816AE" w:rsidRPr="007B131C" w:rsidRDefault="00C816AE" w:rsidP="007B131C">
            <w:pPr>
              <w:spacing w:after="160" w:line="360" w:lineRule="auto"/>
              <w:rPr>
                <w:rFonts w:ascii="Arial" w:hAnsi="Arial" w:cs="Arial"/>
                <w:sz w:val="22"/>
                <w:szCs w:val="22"/>
              </w:rPr>
            </w:pPr>
            <w:r w:rsidRPr="007B131C">
              <w:rPr>
                <w:rFonts w:ascii="Arial" w:hAnsi="Arial" w:cs="Arial"/>
                <w:sz w:val="22"/>
                <w:szCs w:val="22"/>
              </w:rPr>
              <w:t>Evaluation Criteria</w:t>
            </w:r>
          </w:p>
        </w:tc>
        <w:tc>
          <w:tcPr>
            <w:tcW w:w="1532" w:type="dxa"/>
            <w:tcBorders>
              <w:top w:val="none" w:sz="0" w:space="0" w:color="auto"/>
              <w:left w:val="none" w:sz="0" w:space="0" w:color="auto"/>
              <w:bottom w:val="none" w:sz="0" w:space="0" w:color="auto"/>
              <w:right w:val="none" w:sz="0" w:space="0" w:color="auto"/>
            </w:tcBorders>
            <w:hideMark/>
          </w:tcPr>
          <w:p w14:paraId="5C7F0982" w14:textId="77777777" w:rsidR="00C816AE" w:rsidRPr="007B131C" w:rsidRDefault="00C816AE" w:rsidP="007B131C">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Leeds City Council</w:t>
            </w:r>
          </w:p>
        </w:tc>
        <w:tc>
          <w:tcPr>
            <w:tcW w:w="0" w:type="auto"/>
            <w:tcBorders>
              <w:top w:val="none" w:sz="0" w:space="0" w:color="auto"/>
              <w:left w:val="none" w:sz="0" w:space="0" w:color="auto"/>
              <w:bottom w:val="none" w:sz="0" w:space="0" w:color="auto"/>
              <w:right w:val="none" w:sz="0" w:space="0" w:color="auto"/>
            </w:tcBorders>
            <w:hideMark/>
          </w:tcPr>
          <w:p w14:paraId="109C9546" w14:textId="77777777" w:rsidR="00C816AE" w:rsidRPr="007B131C" w:rsidRDefault="00C816AE" w:rsidP="007B131C">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Norfolk County Council</w:t>
            </w:r>
          </w:p>
        </w:tc>
        <w:tc>
          <w:tcPr>
            <w:tcW w:w="0" w:type="auto"/>
            <w:tcBorders>
              <w:top w:val="none" w:sz="0" w:space="0" w:color="auto"/>
              <w:left w:val="none" w:sz="0" w:space="0" w:color="auto"/>
              <w:bottom w:val="none" w:sz="0" w:space="0" w:color="auto"/>
              <w:right w:val="none" w:sz="0" w:space="0" w:color="auto"/>
            </w:tcBorders>
            <w:hideMark/>
          </w:tcPr>
          <w:p w14:paraId="6217581F" w14:textId="77777777" w:rsidR="00C816AE" w:rsidRPr="007B131C" w:rsidRDefault="00C816AE" w:rsidP="007B131C">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Staffordshire County Council</w:t>
            </w:r>
          </w:p>
        </w:tc>
      </w:tr>
      <w:tr w:rsidR="00C816AE" w:rsidRPr="007B131C" w14:paraId="76321E7B" w14:textId="77777777" w:rsidTr="00C816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9" w:type="dxa"/>
            <w:hideMark/>
          </w:tcPr>
          <w:p w14:paraId="768878F4" w14:textId="77777777" w:rsidR="00C816AE" w:rsidRPr="007B131C" w:rsidRDefault="00C816AE" w:rsidP="007B131C">
            <w:pPr>
              <w:spacing w:after="160" w:line="360" w:lineRule="auto"/>
              <w:rPr>
                <w:rFonts w:ascii="Arial" w:hAnsi="Arial" w:cs="Arial"/>
                <w:sz w:val="22"/>
                <w:szCs w:val="22"/>
              </w:rPr>
            </w:pPr>
            <w:r w:rsidRPr="007B131C">
              <w:rPr>
                <w:rFonts w:ascii="Arial" w:hAnsi="Arial" w:cs="Arial"/>
                <w:sz w:val="22"/>
                <w:szCs w:val="22"/>
              </w:rPr>
              <w:t>Ease of navigation</w:t>
            </w:r>
          </w:p>
        </w:tc>
        <w:tc>
          <w:tcPr>
            <w:tcW w:w="1532" w:type="dxa"/>
            <w:hideMark/>
          </w:tcPr>
          <w:p w14:paraId="6C9515F5"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Excellent</w:t>
            </w:r>
          </w:p>
        </w:tc>
        <w:tc>
          <w:tcPr>
            <w:tcW w:w="0" w:type="auto"/>
            <w:hideMark/>
          </w:tcPr>
          <w:p w14:paraId="2E7858CF"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c>
          <w:tcPr>
            <w:tcW w:w="0" w:type="auto"/>
            <w:hideMark/>
          </w:tcPr>
          <w:p w14:paraId="59F3B9F7"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Satisfactory</w:t>
            </w:r>
          </w:p>
        </w:tc>
      </w:tr>
      <w:tr w:rsidR="00C816AE" w:rsidRPr="007B131C" w14:paraId="29ACA663" w14:textId="77777777" w:rsidTr="00C816AE">
        <w:tc>
          <w:tcPr>
            <w:cnfStyle w:val="001000000000" w:firstRow="0" w:lastRow="0" w:firstColumn="1" w:lastColumn="0" w:oddVBand="0" w:evenVBand="0" w:oddHBand="0" w:evenHBand="0" w:firstRowFirstColumn="0" w:firstRowLastColumn="0" w:lastRowFirstColumn="0" w:lastRowLastColumn="0"/>
            <w:tcW w:w="2679" w:type="dxa"/>
            <w:hideMark/>
          </w:tcPr>
          <w:p w14:paraId="7BC84825" w14:textId="77777777" w:rsidR="00C816AE" w:rsidRPr="007B131C" w:rsidRDefault="00C816AE" w:rsidP="007B131C">
            <w:pPr>
              <w:spacing w:after="160" w:line="360" w:lineRule="auto"/>
              <w:rPr>
                <w:rFonts w:ascii="Arial" w:hAnsi="Arial" w:cs="Arial"/>
                <w:sz w:val="22"/>
                <w:szCs w:val="22"/>
              </w:rPr>
            </w:pPr>
            <w:r w:rsidRPr="007B131C">
              <w:rPr>
                <w:rFonts w:ascii="Arial" w:hAnsi="Arial" w:cs="Arial"/>
                <w:sz w:val="22"/>
                <w:szCs w:val="22"/>
              </w:rPr>
              <w:t>Family-friendly language</w:t>
            </w:r>
          </w:p>
        </w:tc>
        <w:tc>
          <w:tcPr>
            <w:tcW w:w="1532" w:type="dxa"/>
            <w:hideMark/>
          </w:tcPr>
          <w:p w14:paraId="4D84B032"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Excellent</w:t>
            </w:r>
          </w:p>
        </w:tc>
        <w:tc>
          <w:tcPr>
            <w:tcW w:w="0" w:type="auto"/>
            <w:hideMark/>
          </w:tcPr>
          <w:p w14:paraId="766858A2"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Very Good</w:t>
            </w:r>
          </w:p>
        </w:tc>
        <w:tc>
          <w:tcPr>
            <w:tcW w:w="0" w:type="auto"/>
            <w:hideMark/>
          </w:tcPr>
          <w:p w14:paraId="1C1D4354"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Moderate</w:t>
            </w:r>
          </w:p>
        </w:tc>
      </w:tr>
      <w:tr w:rsidR="00C816AE" w:rsidRPr="007B131C" w14:paraId="7FCE596A" w14:textId="77777777" w:rsidTr="00C816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9" w:type="dxa"/>
            <w:hideMark/>
          </w:tcPr>
          <w:p w14:paraId="5F77F8A2" w14:textId="77777777" w:rsidR="00C816AE" w:rsidRPr="007B131C" w:rsidRDefault="00C816AE" w:rsidP="007B131C">
            <w:pPr>
              <w:spacing w:after="160" w:line="360" w:lineRule="auto"/>
              <w:rPr>
                <w:rFonts w:ascii="Arial" w:hAnsi="Arial" w:cs="Arial"/>
                <w:sz w:val="22"/>
                <w:szCs w:val="22"/>
              </w:rPr>
            </w:pPr>
            <w:r w:rsidRPr="007B131C">
              <w:rPr>
                <w:rFonts w:ascii="Arial" w:hAnsi="Arial" w:cs="Arial"/>
                <w:sz w:val="22"/>
                <w:szCs w:val="22"/>
              </w:rPr>
              <w:t>Early Help explanation</w:t>
            </w:r>
          </w:p>
        </w:tc>
        <w:tc>
          <w:tcPr>
            <w:tcW w:w="1532" w:type="dxa"/>
            <w:hideMark/>
          </w:tcPr>
          <w:p w14:paraId="188A426F"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Excellent</w:t>
            </w:r>
          </w:p>
        </w:tc>
        <w:tc>
          <w:tcPr>
            <w:tcW w:w="0" w:type="auto"/>
            <w:hideMark/>
          </w:tcPr>
          <w:p w14:paraId="0B235F2A"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c>
          <w:tcPr>
            <w:tcW w:w="0" w:type="auto"/>
            <w:hideMark/>
          </w:tcPr>
          <w:p w14:paraId="670682A1"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r>
      <w:tr w:rsidR="00C816AE" w:rsidRPr="007B131C" w14:paraId="03CFC5AA" w14:textId="77777777" w:rsidTr="00C816AE">
        <w:tc>
          <w:tcPr>
            <w:cnfStyle w:val="001000000000" w:firstRow="0" w:lastRow="0" w:firstColumn="1" w:lastColumn="0" w:oddVBand="0" w:evenVBand="0" w:oddHBand="0" w:evenHBand="0" w:firstRowFirstColumn="0" w:firstRowLastColumn="0" w:lastRowFirstColumn="0" w:lastRowLastColumn="0"/>
            <w:tcW w:w="2679" w:type="dxa"/>
            <w:hideMark/>
          </w:tcPr>
          <w:p w14:paraId="2A492C2C" w14:textId="77777777" w:rsidR="00C816AE" w:rsidRPr="007B131C" w:rsidRDefault="00C816AE" w:rsidP="007B131C">
            <w:pPr>
              <w:spacing w:after="160" w:line="360" w:lineRule="auto"/>
              <w:rPr>
                <w:rFonts w:ascii="Arial" w:hAnsi="Arial" w:cs="Arial"/>
                <w:sz w:val="22"/>
                <w:szCs w:val="22"/>
              </w:rPr>
            </w:pPr>
            <w:r w:rsidRPr="007B131C">
              <w:rPr>
                <w:rFonts w:ascii="Arial" w:hAnsi="Arial" w:cs="Arial"/>
                <w:sz w:val="22"/>
                <w:szCs w:val="22"/>
              </w:rPr>
              <w:t>Referral information</w:t>
            </w:r>
          </w:p>
        </w:tc>
        <w:tc>
          <w:tcPr>
            <w:tcW w:w="1532" w:type="dxa"/>
            <w:hideMark/>
          </w:tcPr>
          <w:p w14:paraId="543066C7"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Excellent</w:t>
            </w:r>
          </w:p>
        </w:tc>
        <w:tc>
          <w:tcPr>
            <w:tcW w:w="0" w:type="auto"/>
            <w:hideMark/>
          </w:tcPr>
          <w:p w14:paraId="5FE3D57B"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c>
          <w:tcPr>
            <w:tcW w:w="0" w:type="auto"/>
            <w:hideMark/>
          </w:tcPr>
          <w:p w14:paraId="4281ACD2"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Excellent</w:t>
            </w:r>
          </w:p>
        </w:tc>
      </w:tr>
      <w:tr w:rsidR="00C816AE" w:rsidRPr="007B131C" w14:paraId="06689422" w14:textId="77777777" w:rsidTr="00C816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9" w:type="dxa"/>
            <w:hideMark/>
          </w:tcPr>
          <w:p w14:paraId="54DEC846" w14:textId="77777777" w:rsidR="00C816AE" w:rsidRPr="007B131C" w:rsidRDefault="00C816AE" w:rsidP="007B131C">
            <w:pPr>
              <w:spacing w:after="160" w:line="360" w:lineRule="auto"/>
              <w:rPr>
                <w:rFonts w:ascii="Arial" w:hAnsi="Arial" w:cs="Arial"/>
                <w:sz w:val="22"/>
                <w:szCs w:val="22"/>
              </w:rPr>
            </w:pPr>
            <w:r w:rsidRPr="007B131C">
              <w:rPr>
                <w:rFonts w:ascii="Arial" w:hAnsi="Arial" w:cs="Arial"/>
                <w:sz w:val="22"/>
                <w:szCs w:val="22"/>
              </w:rPr>
              <w:t>Family Hub integration</w:t>
            </w:r>
          </w:p>
        </w:tc>
        <w:tc>
          <w:tcPr>
            <w:tcW w:w="1532" w:type="dxa"/>
            <w:hideMark/>
          </w:tcPr>
          <w:p w14:paraId="01B60425"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Excellent</w:t>
            </w:r>
          </w:p>
        </w:tc>
        <w:tc>
          <w:tcPr>
            <w:tcW w:w="0" w:type="auto"/>
            <w:hideMark/>
          </w:tcPr>
          <w:p w14:paraId="3EC9A355"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c>
          <w:tcPr>
            <w:tcW w:w="0" w:type="auto"/>
            <w:hideMark/>
          </w:tcPr>
          <w:p w14:paraId="588BCDF2"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r>
      <w:tr w:rsidR="00C816AE" w:rsidRPr="007B131C" w14:paraId="09A4EFBD" w14:textId="77777777" w:rsidTr="00C816AE">
        <w:tc>
          <w:tcPr>
            <w:cnfStyle w:val="001000000000" w:firstRow="0" w:lastRow="0" w:firstColumn="1" w:lastColumn="0" w:oddVBand="0" w:evenVBand="0" w:oddHBand="0" w:evenHBand="0" w:firstRowFirstColumn="0" w:firstRowLastColumn="0" w:lastRowFirstColumn="0" w:lastRowLastColumn="0"/>
            <w:tcW w:w="2679" w:type="dxa"/>
            <w:hideMark/>
          </w:tcPr>
          <w:p w14:paraId="7507A04F" w14:textId="77777777" w:rsidR="00C816AE" w:rsidRPr="007B131C" w:rsidRDefault="00C816AE" w:rsidP="007B131C">
            <w:pPr>
              <w:spacing w:after="160" w:line="360" w:lineRule="auto"/>
              <w:rPr>
                <w:rFonts w:ascii="Arial" w:hAnsi="Arial" w:cs="Arial"/>
                <w:sz w:val="22"/>
                <w:szCs w:val="22"/>
              </w:rPr>
            </w:pPr>
            <w:r w:rsidRPr="007B131C">
              <w:rPr>
                <w:rFonts w:ascii="Arial" w:hAnsi="Arial" w:cs="Arial"/>
                <w:sz w:val="22"/>
                <w:szCs w:val="22"/>
              </w:rPr>
              <w:t>Accessibility for parents</w:t>
            </w:r>
          </w:p>
        </w:tc>
        <w:tc>
          <w:tcPr>
            <w:tcW w:w="1532" w:type="dxa"/>
            <w:hideMark/>
          </w:tcPr>
          <w:p w14:paraId="409DED3C"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Excellent</w:t>
            </w:r>
          </w:p>
        </w:tc>
        <w:tc>
          <w:tcPr>
            <w:tcW w:w="0" w:type="auto"/>
            <w:hideMark/>
          </w:tcPr>
          <w:p w14:paraId="05A2FE6D"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c>
          <w:tcPr>
            <w:tcW w:w="0" w:type="auto"/>
            <w:hideMark/>
          </w:tcPr>
          <w:p w14:paraId="59075717"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Moderate</w:t>
            </w:r>
          </w:p>
        </w:tc>
      </w:tr>
      <w:tr w:rsidR="00C816AE" w:rsidRPr="007B131C" w14:paraId="785481A0" w14:textId="77777777" w:rsidTr="00C816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9" w:type="dxa"/>
            <w:hideMark/>
          </w:tcPr>
          <w:p w14:paraId="178DEC18" w14:textId="77777777" w:rsidR="00C816AE" w:rsidRPr="007B131C" w:rsidRDefault="00C816AE" w:rsidP="007B131C">
            <w:pPr>
              <w:spacing w:after="160" w:line="360" w:lineRule="auto"/>
              <w:rPr>
                <w:rFonts w:ascii="Arial" w:hAnsi="Arial" w:cs="Arial"/>
                <w:sz w:val="22"/>
                <w:szCs w:val="22"/>
              </w:rPr>
            </w:pPr>
            <w:r w:rsidRPr="007B131C">
              <w:rPr>
                <w:rFonts w:ascii="Arial" w:hAnsi="Arial" w:cs="Arial"/>
                <w:sz w:val="22"/>
                <w:szCs w:val="22"/>
              </w:rPr>
              <w:lastRenderedPageBreak/>
              <w:t>Professional guidance</w:t>
            </w:r>
          </w:p>
        </w:tc>
        <w:tc>
          <w:tcPr>
            <w:tcW w:w="1532" w:type="dxa"/>
            <w:hideMark/>
          </w:tcPr>
          <w:p w14:paraId="3AA724AB"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c>
          <w:tcPr>
            <w:tcW w:w="0" w:type="auto"/>
            <w:hideMark/>
          </w:tcPr>
          <w:p w14:paraId="393686B1"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c>
          <w:tcPr>
            <w:tcW w:w="0" w:type="auto"/>
            <w:hideMark/>
          </w:tcPr>
          <w:p w14:paraId="7BDA1495" w14:textId="77777777" w:rsidR="00C816AE" w:rsidRPr="007B131C" w:rsidRDefault="00C816AE" w:rsidP="007B131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131C">
              <w:rPr>
                <w:rFonts w:ascii="Arial" w:hAnsi="Arial" w:cs="Arial"/>
                <w:sz w:val="22"/>
                <w:szCs w:val="22"/>
              </w:rPr>
              <w:t>Excellent</w:t>
            </w:r>
          </w:p>
        </w:tc>
      </w:tr>
      <w:tr w:rsidR="00C816AE" w:rsidRPr="007B131C" w14:paraId="5494873F" w14:textId="77777777" w:rsidTr="00C816AE">
        <w:tc>
          <w:tcPr>
            <w:cnfStyle w:val="001000000000" w:firstRow="0" w:lastRow="0" w:firstColumn="1" w:lastColumn="0" w:oddVBand="0" w:evenVBand="0" w:oddHBand="0" w:evenHBand="0" w:firstRowFirstColumn="0" w:firstRowLastColumn="0" w:lastRowFirstColumn="0" w:lastRowLastColumn="0"/>
            <w:tcW w:w="2679" w:type="dxa"/>
            <w:hideMark/>
          </w:tcPr>
          <w:p w14:paraId="5CFDCDBC" w14:textId="77777777" w:rsidR="00C816AE" w:rsidRPr="007B131C" w:rsidRDefault="00C816AE" w:rsidP="007B131C">
            <w:pPr>
              <w:spacing w:after="160" w:line="360" w:lineRule="auto"/>
              <w:rPr>
                <w:rFonts w:ascii="Arial" w:hAnsi="Arial" w:cs="Arial"/>
                <w:sz w:val="22"/>
                <w:szCs w:val="22"/>
              </w:rPr>
            </w:pPr>
            <w:r w:rsidRPr="007B131C">
              <w:rPr>
                <w:rFonts w:ascii="Arial" w:hAnsi="Arial" w:cs="Arial"/>
                <w:sz w:val="22"/>
                <w:szCs w:val="22"/>
              </w:rPr>
              <w:t>Overall effectiveness</w:t>
            </w:r>
          </w:p>
        </w:tc>
        <w:tc>
          <w:tcPr>
            <w:tcW w:w="1532" w:type="dxa"/>
            <w:hideMark/>
          </w:tcPr>
          <w:p w14:paraId="0FCA93D2"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b/>
                <w:bCs/>
                <w:sz w:val="22"/>
                <w:szCs w:val="22"/>
              </w:rPr>
              <w:t>Highest</w:t>
            </w:r>
          </w:p>
        </w:tc>
        <w:tc>
          <w:tcPr>
            <w:tcW w:w="0" w:type="auto"/>
            <w:hideMark/>
          </w:tcPr>
          <w:p w14:paraId="69958FB1"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Good</w:t>
            </w:r>
          </w:p>
        </w:tc>
        <w:tc>
          <w:tcPr>
            <w:tcW w:w="0" w:type="auto"/>
            <w:hideMark/>
          </w:tcPr>
          <w:p w14:paraId="29B6602E" w14:textId="77777777" w:rsidR="00C816AE" w:rsidRPr="007B131C" w:rsidRDefault="00C816AE" w:rsidP="007B131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131C">
              <w:rPr>
                <w:rFonts w:ascii="Arial" w:hAnsi="Arial" w:cs="Arial"/>
                <w:sz w:val="22"/>
                <w:szCs w:val="22"/>
              </w:rPr>
              <w:t>Satisfactory</w:t>
            </w:r>
          </w:p>
        </w:tc>
      </w:tr>
    </w:tbl>
    <w:p w14:paraId="33B9C9B9" w14:textId="3CBA7CAD" w:rsidR="00C816AE" w:rsidRPr="007B131C" w:rsidRDefault="00C816AE" w:rsidP="007B131C">
      <w:pPr>
        <w:spacing w:line="360" w:lineRule="auto"/>
        <w:rPr>
          <w:rFonts w:ascii="Arial" w:hAnsi="Arial" w:cs="Arial"/>
          <w:sz w:val="22"/>
          <w:szCs w:val="22"/>
        </w:rPr>
      </w:pPr>
    </w:p>
    <w:p w14:paraId="45B30758" w14:textId="5EE0D870" w:rsidR="00C816AE" w:rsidRPr="007B131C" w:rsidRDefault="00C816AE" w:rsidP="007B131C">
      <w:pPr>
        <w:pStyle w:val="Heading1"/>
        <w:spacing w:line="360" w:lineRule="auto"/>
        <w:rPr>
          <w:rFonts w:ascii="Arial" w:hAnsi="Arial" w:cs="Arial"/>
          <w:b/>
          <w:bCs/>
          <w:sz w:val="22"/>
          <w:szCs w:val="22"/>
        </w:rPr>
      </w:pPr>
      <w:bookmarkStart w:id="5" w:name="_Toc235138264"/>
      <w:r w:rsidRPr="007B131C">
        <w:rPr>
          <w:rFonts w:ascii="Arial" w:hAnsi="Arial" w:cs="Arial"/>
          <w:b/>
          <w:bCs/>
          <w:sz w:val="22"/>
          <w:szCs w:val="22"/>
        </w:rPr>
        <w:t>Conclusion and Recommendations</w:t>
      </w:r>
      <w:bookmarkEnd w:id="5"/>
      <w:r w:rsidRPr="007B131C">
        <w:rPr>
          <w:rFonts w:ascii="Arial" w:hAnsi="Arial" w:cs="Arial"/>
          <w:b/>
          <w:bCs/>
          <w:sz w:val="22"/>
          <w:szCs w:val="22"/>
        </w:rPr>
        <w:t xml:space="preserve"> </w:t>
      </w:r>
    </w:p>
    <w:p w14:paraId="5CBE8503" w14:textId="77777777" w:rsidR="007B131C" w:rsidRPr="007B131C" w:rsidRDefault="007B131C" w:rsidP="007B131C">
      <w:pPr>
        <w:spacing w:line="360" w:lineRule="auto"/>
        <w:rPr>
          <w:rFonts w:ascii="Arial" w:hAnsi="Arial" w:cs="Arial"/>
          <w:sz w:val="22"/>
          <w:szCs w:val="22"/>
        </w:rPr>
      </w:pPr>
      <w:r w:rsidRPr="007B131C">
        <w:rPr>
          <w:rFonts w:ascii="Arial" w:hAnsi="Arial" w:cs="Arial"/>
          <w:sz w:val="22"/>
          <w:szCs w:val="22"/>
        </w:rPr>
        <w:t>Early Help has become an essential component of safeguarding practice within England because it enables professionals to intervene before family difficulties escalate into significant welfare concerns. The effectiveness of this approach depends not only on the availability of support services but also on how clearly those services are communicated to families. As local authority websites increasingly act as the first point of contact for parents seeking advice, the accessibility and quality of online information directly influence whether families engage with support at an early stage.</w:t>
      </w:r>
    </w:p>
    <w:p w14:paraId="1401B276" w14:textId="77777777" w:rsidR="007B131C" w:rsidRPr="007B131C" w:rsidRDefault="007B131C" w:rsidP="007B131C">
      <w:pPr>
        <w:spacing w:line="360" w:lineRule="auto"/>
        <w:rPr>
          <w:rFonts w:ascii="Arial" w:hAnsi="Arial" w:cs="Arial"/>
          <w:sz w:val="22"/>
          <w:szCs w:val="22"/>
        </w:rPr>
      </w:pPr>
      <w:r w:rsidRPr="007B131C">
        <w:rPr>
          <w:rFonts w:ascii="Arial" w:hAnsi="Arial" w:cs="Arial"/>
          <w:sz w:val="22"/>
          <w:szCs w:val="22"/>
        </w:rPr>
        <w:t>This evaluation found that Leeds City Council, Norfolk County Council and Staffordshire County Council all demonstrate clear commitment to the principles outlined within the Supporting Families: Early Help System Guide and Working Together to Safeguard Children 2023. However, differences exist in how effectively these principles are communicated through digital platforms. Leeds provides the strongest overall model because it combines accessible language, intuitive navigation and integrated service information that reflects a genuinely family-centred approach. Norfolk also communicates Early Help effectively through practical examples and clear explanations, while Staffordshire offers comprehensive professional guidance but could further improve accessibility for members of the public.</w:t>
      </w:r>
    </w:p>
    <w:p w14:paraId="202821B3" w14:textId="77777777" w:rsidR="007B131C" w:rsidRPr="007B131C" w:rsidRDefault="007B131C" w:rsidP="007B131C">
      <w:pPr>
        <w:spacing w:line="360" w:lineRule="auto"/>
        <w:rPr>
          <w:rFonts w:ascii="Arial" w:hAnsi="Arial" w:cs="Arial"/>
          <w:sz w:val="22"/>
          <w:szCs w:val="22"/>
        </w:rPr>
      </w:pPr>
      <w:r w:rsidRPr="007B131C">
        <w:rPr>
          <w:rFonts w:ascii="Arial" w:hAnsi="Arial" w:cs="Arial"/>
          <w:sz w:val="22"/>
          <w:szCs w:val="22"/>
        </w:rPr>
        <w:t>To strengthen digital engagement, local authorities should continue developing websites that prioritise accessibility alongside professional accuracy. Information should be written using plain English and supported by visual resources, such as flowcharts, short videos and interactive referral pathways, enabling families to understand services quickly during periods of stress. Greater investment in multilingual resources, accessibility features and mobile-friendly design would further promote equitable access for diverse communities. Finally, councils should regularly review website content using feedback from parents, carers and young people to ensure digital information remains responsive to users' needs and continues to support the preventative aims of the Early Help system.</w:t>
      </w:r>
    </w:p>
    <w:p w14:paraId="33622FD2" w14:textId="74FE2E20" w:rsidR="00C816AE" w:rsidRPr="00C816AE" w:rsidRDefault="00C816AE" w:rsidP="00C816AE"/>
    <w:p w14:paraId="52CF39FF" w14:textId="77777777" w:rsidR="00C816AE" w:rsidRDefault="00C816AE">
      <w:pPr>
        <w:rPr>
          <w:b/>
          <w:bCs/>
        </w:rPr>
      </w:pPr>
      <w:r>
        <w:rPr>
          <w:b/>
          <w:bCs/>
        </w:rPr>
        <w:br w:type="page"/>
      </w:r>
    </w:p>
    <w:p w14:paraId="58D1565E" w14:textId="1A6A2445" w:rsidR="00C816AE" w:rsidRPr="00C816AE" w:rsidRDefault="00C816AE" w:rsidP="00C816AE">
      <w:pPr>
        <w:pStyle w:val="Heading1"/>
        <w:rPr>
          <w:rFonts w:ascii="Arial" w:hAnsi="Arial" w:cs="Arial"/>
          <w:b/>
          <w:bCs/>
          <w:sz w:val="22"/>
          <w:szCs w:val="22"/>
        </w:rPr>
      </w:pPr>
      <w:bookmarkStart w:id="6" w:name="_Toc235138265"/>
      <w:r w:rsidRPr="00C816AE">
        <w:rPr>
          <w:rFonts w:ascii="Arial" w:hAnsi="Arial" w:cs="Arial"/>
          <w:b/>
          <w:bCs/>
          <w:sz w:val="22"/>
          <w:szCs w:val="22"/>
        </w:rPr>
        <w:lastRenderedPageBreak/>
        <w:t>References</w:t>
      </w:r>
      <w:bookmarkEnd w:id="6"/>
    </w:p>
    <w:p w14:paraId="6655D452" w14:textId="77777777" w:rsidR="00C816AE" w:rsidRPr="00C816AE" w:rsidRDefault="00C816AE" w:rsidP="00C816AE">
      <w:pPr>
        <w:pStyle w:val="ListParagraph"/>
        <w:numPr>
          <w:ilvl w:val="0"/>
          <w:numId w:val="1"/>
        </w:numPr>
      </w:pPr>
      <w:r w:rsidRPr="00C816AE">
        <w:t xml:space="preserve">Bronfenbrenner, U. (1979) </w:t>
      </w:r>
      <w:r w:rsidRPr="00C816AE">
        <w:rPr>
          <w:i/>
          <w:iCs/>
        </w:rPr>
        <w:t>The Ecology of Human Development: Experiments by Nature and Design</w:t>
      </w:r>
      <w:r w:rsidRPr="00C816AE">
        <w:t>. Cambridge, MA: Harvard University Press.</w:t>
      </w:r>
    </w:p>
    <w:p w14:paraId="05BF454E" w14:textId="77777777" w:rsidR="00C816AE" w:rsidRPr="00C816AE" w:rsidRDefault="00C816AE" w:rsidP="00C816AE">
      <w:pPr>
        <w:pStyle w:val="ListParagraph"/>
        <w:numPr>
          <w:ilvl w:val="0"/>
          <w:numId w:val="1"/>
        </w:numPr>
      </w:pPr>
      <w:r w:rsidRPr="00C816AE">
        <w:t xml:space="preserve">Children's Commissioner for England (2024) </w:t>
      </w:r>
      <w:r w:rsidRPr="00C816AE">
        <w:rPr>
          <w:i/>
          <w:iCs/>
        </w:rPr>
        <w:t>Children's Social Care and Early Help</w:t>
      </w:r>
      <w:r w:rsidRPr="00C816AE">
        <w:t>. London: Children's Commissioner for England.</w:t>
      </w:r>
    </w:p>
    <w:p w14:paraId="15D269F3" w14:textId="77777777" w:rsidR="00C816AE" w:rsidRPr="00C816AE" w:rsidRDefault="00C816AE" w:rsidP="00C816AE">
      <w:pPr>
        <w:pStyle w:val="ListParagraph"/>
        <w:numPr>
          <w:ilvl w:val="0"/>
          <w:numId w:val="1"/>
        </w:numPr>
      </w:pPr>
      <w:r w:rsidRPr="00C816AE">
        <w:t xml:space="preserve">Daniel, B., Vincent, S. and Farrall, E. (2022) </w:t>
      </w:r>
      <w:r w:rsidRPr="00C816AE">
        <w:rPr>
          <w:i/>
          <w:iCs/>
        </w:rPr>
        <w:t>Child Development for Child Care and Protection Workers</w:t>
      </w:r>
      <w:r w:rsidRPr="00C816AE">
        <w:t xml:space="preserve">. 3rd </w:t>
      </w:r>
      <w:proofErr w:type="spellStart"/>
      <w:r w:rsidRPr="00C816AE">
        <w:t>edn</w:t>
      </w:r>
      <w:proofErr w:type="spellEnd"/>
      <w:r w:rsidRPr="00C816AE">
        <w:t>. London: Jessica Kingsley Publishers.</w:t>
      </w:r>
    </w:p>
    <w:p w14:paraId="443753FD" w14:textId="77777777" w:rsidR="00C816AE" w:rsidRPr="00C816AE" w:rsidRDefault="00C816AE" w:rsidP="00C816AE">
      <w:pPr>
        <w:pStyle w:val="ListParagraph"/>
        <w:numPr>
          <w:ilvl w:val="0"/>
          <w:numId w:val="1"/>
        </w:numPr>
      </w:pPr>
      <w:r w:rsidRPr="00C816AE">
        <w:t xml:space="preserve">Department for Education (2022) </w:t>
      </w:r>
      <w:r w:rsidRPr="00C816AE">
        <w:rPr>
          <w:i/>
          <w:iCs/>
        </w:rPr>
        <w:t>Family Hubs and Start for Life Programme Guide</w:t>
      </w:r>
      <w:r w:rsidRPr="00C816AE">
        <w:t>. London: Department for Education.</w:t>
      </w:r>
    </w:p>
    <w:p w14:paraId="199DDA0B" w14:textId="77777777" w:rsidR="00C816AE" w:rsidRPr="00C816AE" w:rsidRDefault="00C816AE" w:rsidP="00C816AE">
      <w:pPr>
        <w:pStyle w:val="ListParagraph"/>
        <w:numPr>
          <w:ilvl w:val="0"/>
          <w:numId w:val="1"/>
        </w:numPr>
      </w:pPr>
      <w:r w:rsidRPr="00C816AE">
        <w:t xml:space="preserve">Department for Education (DfE) (2023) </w:t>
      </w:r>
      <w:r w:rsidRPr="00C816AE">
        <w:rPr>
          <w:i/>
          <w:iCs/>
        </w:rPr>
        <w:t>Working Together to Safeguard Children 2023: Statutory Guidance on Multi-Agency Working to Help, Protect and Promote the Welfare of Children</w:t>
      </w:r>
      <w:r w:rsidRPr="00C816AE">
        <w:t>. London: Department for Education.</w:t>
      </w:r>
    </w:p>
    <w:p w14:paraId="57C29643" w14:textId="77777777" w:rsidR="00C816AE" w:rsidRPr="00C816AE" w:rsidRDefault="00C816AE" w:rsidP="00C816AE">
      <w:pPr>
        <w:pStyle w:val="ListParagraph"/>
        <w:numPr>
          <w:ilvl w:val="0"/>
          <w:numId w:val="1"/>
        </w:numPr>
      </w:pPr>
      <w:r w:rsidRPr="00C816AE">
        <w:t xml:space="preserve">Department for Levelling Up, Housing and Communities and Department for Education (DLUHC and DfE) (2022) </w:t>
      </w:r>
      <w:r w:rsidRPr="00C816AE">
        <w:rPr>
          <w:i/>
          <w:iCs/>
        </w:rPr>
        <w:t>Supporting Families: Early Help System Guide</w:t>
      </w:r>
      <w:r w:rsidRPr="00C816AE">
        <w:t>. London: Department for Levelling Up, Housing and Communities.</w:t>
      </w:r>
    </w:p>
    <w:p w14:paraId="5F0B6001" w14:textId="77777777" w:rsidR="00C816AE" w:rsidRPr="00C816AE" w:rsidRDefault="00C816AE" w:rsidP="00C816AE">
      <w:pPr>
        <w:pStyle w:val="ListParagraph"/>
        <w:numPr>
          <w:ilvl w:val="0"/>
          <w:numId w:val="1"/>
        </w:numPr>
      </w:pPr>
      <w:r w:rsidRPr="00C816AE">
        <w:t xml:space="preserve">Featherstone, B., White, S. and Morris, K. (2018) </w:t>
      </w:r>
      <w:r w:rsidRPr="00C816AE">
        <w:rPr>
          <w:i/>
          <w:iCs/>
        </w:rPr>
        <w:t>Re-imagining Child Protection: Towards Humane Social Work with Families</w:t>
      </w:r>
      <w:r w:rsidRPr="00C816AE">
        <w:t>. Bristol: Policy Press.</w:t>
      </w:r>
    </w:p>
    <w:p w14:paraId="526EF422" w14:textId="77777777" w:rsidR="00C816AE" w:rsidRPr="00C816AE" w:rsidRDefault="00C816AE" w:rsidP="00C816AE">
      <w:pPr>
        <w:pStyle w:val="ListParagraph"/>
        <w:numPr>
          <w:ilvl w:val="0"/>
          <w:numId w:val="1"/>
        </w:numPr>
      </w:pPr>
      <w:r w:rsidRPr="00C816AE">
        <w:t xml:space="preserve">Good Things Foundation (2023) </w:t>
      </w:r>
      <w:r w:rsidRPr="00C816AE">
        <w:rPr>
          <w:i/>
          <w:iCs/>
        </w:rPr>
        <w:t>Digital Inclusion and Public Services</w:t>
      </w:r>
      <w:r w:rsidRPr="00C816AE">
        <w:t>. Sheffield: Good Things Foundation.</w:t>
      </w:r>
    </w:p>
    <w:p w14:paraId="05989A2A" w14:textId="77777777" w:rsidR="00C816AE" w:rsidRPr="00C816AE" w:rsidRDefault="00C816AE" w:rsidP="00C816AE">
      <w:pPr>
        <w:pStyle w:val="ListParagraph"/>
        <w:numPr>
          <w:ilvl w:val="0"/>
          <w:numId w:val="1"/>
        </w:numPr>
      </w:pPr>
      <w:r w:rsidRPr="00C816AE">
        <w:t xml:space="preserve">HM Government (2004) </w:t>
      </w:r>
      <w:r w:rsidRPr="00C816AE">
        <w:rPr>
          <w:i/>
          <w:iCs/>
        </w:rPr>
        <w:t>Children Act 2004</w:t>
      </w:r>
      <w:r w:rsidRPr="00C816AE">
        <w:t>. London: The Stationery Office.</w:t>
      </w:r>
    </w:p>
    <w:p w14:paraId="4A5F009E" w14:textId="77777777" w:rsidR="00C816AE" w:rsidRPr="00C816AE" w:rsidRDefault="00C816AE" w:rsidP="00C816AE">
      <w:pPr>
        <w:pStyle w:val="ListParagraph"/>
        <w:numPr>
          <w:ilvl w:val="0"/>
          <w:numId w:val="1"/>
        </w:numPr>
      </w:pPr>
      <w:r w:rsidRPr="00C816AE">
        <w:t xml:space="preserve">Leeds City Council (2025) </w:t>
      </w:r>
      <w:r w:rsidRPr="00C816AE">
        <w:rPr>
          <w:i/>
          <w:iCs/>
        </w:rPr>
        <w:t>Early Help and Family Support</w:t>
      </w:r>
      <w:r w:rsidRPr="00C816AE">
        <w:t xml:space="preserve">. Available at: </w:t>
      </w:r>
      <w:hyperlink r:id="rId8" w:tgtFrame="_new" w:history="1">
        <w:r w:rsidRPr="00C816AE">
          <w:rPr>
            <w:rStyle w:val="Hyperlink"/>
          </w:rPr>
          <w:t>https://www.leeds.gov.uk</w:t>
        </w:r>
      </w:hyperlink>
      <w:r w:rsidRPr="00C816AE">
        <w:t xml:space="preserve"> (Accessed: 16 July 2026).</w:t>
      </w:r>
    </w:p>
    <w:p w14:paraId="39A7928D" w14:textId="77777777" w:rsidR="00C816AE" w:rsidRPr="00C816AE" w:rsidRDefault="00C816AE" w:rsidP="00C816AE">
      <w:pPr>
        <w:pStyle w:val="ListParagraph"/>
        <w:numPr>
          <w:ilvl w:val="0"/>
          <w:numId w:val="1"/>
        </w:numPr>
      </w:pPr>
      <w:r w:rsidRPr="00C816AE">
        <w:t xml:space="preserve">Munro, E. (2011) </w:t>
      </w:r>
      <w:r w:rsidRPr="00C816AE">
        <w:rPr>
          <w:i/>
          <w:iCs/>
        </w:rPr>
        <w:t>The Munro Review of Child Protection: Final Report – A Child-Centred System</w:t>
      </w:r>
      <w:r w:rsidRPr="00C816AE">
        <w:t>. London: Department for Education.</w:t>
      </w:r>
    </w:p>
    <w:p w14:paraId="6CAE0D4D" w14:textId="77777777" w:rsidR="00C816AE" w:rsidRPr="00C816AE" w:rsidRDefault="00C816AE" w:rsidP="00C816AE">
      <w:pPr>
        <w:pStyle w:val="ListParagraph"/>
        <w:numPr>
          <w:ilvl w:val="0"/>
          <w:numId w:val="1"/>
        </w:numPr>
      </w:pPr>
      <w:r w:rsidRPr="00C816AE">
        <w:t xml:space="preserve">Nielsen Norman Group (2024) </w:t>
      </w:r>
      <w:r w:rsidRPr="00C816AE">
        <w:rPr>
          <w:i/>
          <w:iCs/>
        </w:rPr>
        <w:t>Usability Heuristics for User Interface Design</w:t>
      </w:r>
      <w:r w:rsidRPr="00C816AE">
        <w:t xml:space="preserve">. Available at: </w:t>
      </w:r>
      <w:hyperlink r:id="rId9" w:tgtFrame="_new" w:history="1">
        <w:r w:rsidRPr="00C816AE">
          <w:rPr>
            <w:rStyle w:val="Hyperlink"/>
          </w:rPr>
          <w:t>https://www.nngroup.com</w:t>
        </w:r>
      </w:hyperlink>
      <w:r w:rsidRPr="00C816AE">
        <w:t xml:space="preserve"> (Accessed: 16 July 2026).</w:t>
      </w:r>
    </w:p>
    <w:p w14:paraId="6C413A42" w14:textId="77777777" w:rsidR="00C816AE" w:rsidRPr="00C816AE" w:rsidRDefault="00C816AE" w:rsidP="00C816AE">
      <w:pPr>
        <w:pStyle w:val="ListParagraph"/>
        <w:numPr>
          <w:ilvl w:val="0"/>
          <w:numId w:val="1"/>
        </w:numPr>
      </w:pPr>
      <w:r w:rsidRPr="00C816AE">
        <w:t xml:space="preserve">Norfolk County Council (2025) </w:t>
      </w:r>
      <w:r w:rsidRPr="00C816AE">
        <w:rPr>
          <w:i/>
          <w:iCs/>
        </w:rPr>
        <w:t>Early Help for Children and Families</w:t>
      </w:r>
      <w:r w:rsidRPr="00C816AE">
        <w:t xml:space="preserve">. Available at: </w:t>
      </w:r>
      <w:hyperlink r:id="rId10" w:tgtFrame="_new" w:history="1">
        <w:r w:rsidRPr="00C816AE">
          <w:rPr>
            <w:rStyle w:val="Hyperlink"/>
          </w:rPr>
          <w:t>https://www.norfolk.gov.uk</w:t>
        </w:r>
      </w:hyperlink>
      <w:r w:rsidRPr="00C816AE">
        <w:t xml:space="preserve"> (Accessed: 16 July 2026).</w:t>
      </w:r>
    </w:p>
    <w:p w14:paraId="1D64D669" w14:textId="77777777" w:rsidR="00C816AE" w:rsidRPr="00C816AE" w:rsidRDefault="00C816AE" w:rsidP="00C816AE">
      <w:pPr>
        <w:pStyle w:val="ListParagraph"/>
        <w:numPr>
          <w:ilvl w:val="0"/>
          <w:numId w:val="1"/>
        </w:numPr>
      </w:pPr>
      <w:r w:rsidRPr="00C816AE">
        <w:t xml:space="preserve">Siraj-Blatchford, I. and Siraj-Blatchford, J. (2019) </w:t>
      </w:r>
      <w:r w:rsidRPr="00C816AE">
        <w:rPr>
          <w:i/>
          <w:iCs/>
        </w:rPr>
        <w:t>Improving Development Outcomes for Children through Effective Multi-Agency Working</w:t>
      </w:r>
      <w:r w:rsidRPr="00C816AE">
        <w:t>. London: Institute of Education Press.</w:t>
      </w:r>
    </w:p>
    <w:p w14:paraId="40824B4B" w14:textId="77777777" w:rsidR="00C816AE" w:rsidRPr="00C816AE" w:rsidRDefault="00C816AE" w:rsidP="00C816AE">
      <w:pPr>
        <w:pStyle w:val="ListParagraph"/>
        <w:numPr>
          <w:ilvl w:val="0"/>
          <w:numId w:val="1"/>
        </w:numPr>
      </w:pPr>
      <w:r w:rsidRPr="00C816AE">
        <w:t xml:space="preserve">Staffordshire County Council (2025) </w:t>
      </w:r>
      <w:r w:rsidRPr="00C816AE">
        <w:rPr>
          <w:i/>
          <w:iCs/>
        </w:rPr>
        <w:t>Early Help and Family Support</w:t>
      </w:r>
      <w:r w:rsidRPr="00C816AE">
        <w:t xml:space="preserve">. Available at: </w:t>
      </w:r>
      <w:hyperlink r:id="rId11" w:tgtFrame="_new" w:history="1">
        <w:r w:rsidRPr="00C816AE">
          <w:rPr>
            <w:rStyle w:val="Hyperlink"/>
          </w:rPr>
          <w:t>https://www.staffordshire.gov.uk</w:t>
        </w:r>
      </w:hyperlink>
      <w:r w:rsidRPr="00C816AE">
        <w:t xml:space="preserve"> (Accessed: 16 July 2026).</w:t>
      </w:r>
    </w:p>
    <w:p w14:paraId="499A3A46" w14:textId="77777777" w:rsidR="00C816AE" w:rsidRDefault="00C816AE"/>
    <w:sectPr w:rsidR="00C816AE">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0B692" w14:textId="77777777" w:rsidR="00314F5D" w:rsidRDefault="00314F5D" w:rsidP="007B131C">
      <w:pPr>
        <w:spacing w:after="0" w:line="240" w:lineRule="auto"/>
      </w:pPr>
      <w:r>
        <w:separator/>
      </w:r>
    </w:p>
  </w:endnote>
  <w:endnote w:type="continuationSeparator" w:id="0">
    <w:p w14:paraId="0A9D2F0D" w14:textId="77777777" w:rsidR="00314F5D" w:rsidRDefault="00314F5D" w:rsidP="007B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9952049"/>
      <w:docPartObj>
        <w:docPartGallery w:val="Page Numbers (Bottom of Page)"/>
        <w:docPartUnique/>
      </w:docPartObj>
    </w:sdtPr>
    <w:sdtEndPr>
      <w:rPr>
        <w:noProof/>
      </w:rPr>
    </w:sdtEndPr>
    <w:sdtContent>
      <w:p w14:paraId="3F70458D" w14:textId="2D874195" w:rsidR="007B131C" w:rsidRDefault="007B13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97D7B9" w14:textId="77777777" w:rsidR="007B131C" w:rsidRDefault="007B13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00F09" w14:textId="77777777" w:rsidR="00314F5D" w:rsidRDefault="00314F5D" w:rsidP="007B131C">
      <w:pPr>
        <w:spacing w:after="0" w:line="240" w:lineRule="auto"/>
      </w:pPr>
      <w:r>
        <w:separator/>
      </w:r>
    </w:p>
  </w:footnote>
  <w:footnote w:type="continuationSeparator" w:id="0">
    <w:p w14:paraId="2592EB4E" w14:textId="77777777" w:rsidR="00314F5D" w:rsidRDefault="00314F5D" w:rsidP="007B13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2577B" w14:textId="2F3E42AA" w:rsidR="007B131C" w:rsidRDefault="007B131C">
    <w:pPr>
      <w:pStyle w:val="Header"/>
    </w:pPr>
    <w:r>
      <w:t>Foqia Farooq</w:t>
    </w:r>
  </w:p>
  <w:p w14:paraId="6EB09871" w14:textId="77777777" w:rsidR="007B131C" w:rsidRDefault="007B13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F1FEF"/>
    <w:multiLevelType w:val="hybridMultilevel"/>
    <w:tmpl w:val="98F80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1010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6AE"/>
    <w:rsid w:val="00150567"/>
    <w:rsid w:val="00314F5D"/>
    <w:rsid w:val="00476EF1"/>
    <w:rsid w:val="00675E2D"/>
    <w:rsid w:val="007B131C"/>
    <w:rsid w:val="00AC0953"/>
    <w:rsid w:val="00BD6392"/>
    <w:rsid w:val="00C411E4"/>
    <w:rsid w:val="00C816AE"/>
    <w:rsid w:val="00CB6A3C"/>
    <w:rsid w:val="00E21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0ADF6"/>
  <w15:chartTrackingRefBased/>
  <w15:docId w15:val="{66D3B8D7-0774-4CA0-81D5-EE5AE4EA1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16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16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16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16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16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16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16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16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16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6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16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16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16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16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16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16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16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16AE"/>
    <w:rPr>
      <w:rFonts w:eastAsiaTheme="majorEastAsia" w:cstheme="majorBidi"/>
      <w:color w:val="272727" w:themeColor="text1" w:themeTint="D8"/>
    </w:rPr>
  </w:style>
  <w:style w:type="paragraph" w:styleId="Title">
    <w:name w:val="Title"/>
    <w:basedOn w:val="Normal"/>
    <w:next w:val="Normal"/>
    <w:link w:val="TitleChar"/>
    <w:uiPriority w:val="10"/>
    <w:qFormat/>
    <w:rsid w:val="00C816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16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16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16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16AE"/>
    <w:pPr>
      <w:spacing w:before="160"/>
      <w:jc w:val="center"/>
    </w:pPr>
    <w:rPr>
      <w:i/>
      <w:iCs/>
      <w:color w:val="404040" w:themeColor="text1" w:themeTint="BF"/>
    </w:rPr>
  </w:style>
  <w:style w:type="character" w:customStyle="1" w:styleId="QuoteChar">
    <w:name w:val="Quote Char"/>
    <w:basedOn w:val="DefaultParagraphFont"/>
    <w:link w:val="Quote"/>
    <w:uiPriority w:val="29"/>
    <w:rsid w:val="00C816AE"/>
    <w:rPr>
      <w:i/>
      <w:iCs/>
      <w:color w:val="404040" w:themeColor="text1" w:themeTint="BF"/>
    </w:rPr>
  </w:style>
  <w:style w:type="paragraph" w:styleId="ListParagraph">
    <w:name w:val="List Paragraph"/>
    <w:basedOn w:val="Normal"/>
    <w:uiPriority w:val="34"/>
    <w:qFormat/>
    <w:rsid w:val="00C816AE"/>
    <w:pPr>
      <w:ind w:left="720"/>
      <w:contextualSpacing/>
    </w:pPr>
  </w:style>
  <w:style w:type="character" w:styleId="IntenseEmphasis">
    <w:name w:val="Intense Emphasis"/>
    <w:basedOn w:val="DefaultParagraphFont"/>
    <w:uiPriority w:val="21"/>
    <w:qFormat/>
    <w:rsid w:val="00C816AE"/>
    <w:rPr>
      <w:i/>
      <w:iCs/>
      <w:color w:val="0F4761" w:themeColor="accent1" w:themeShade="BF"/>
    </w:rPr>
  </w:style>
  <w:style w:type="paragraph" w:styleId="IntenseQuote">
    <w:name w:val="Intense Quote"/>
    <w:basedOn w:val="Normal"/>
    <w:next w:val="Normal"/>
    <w:link w:val="IntenseQuoteChar"/>
    <w:uiPriority w:val="30"/>
    <w:qFormat/>
    <w:rsid w:val="00C816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16AE"/>
    <w:rPr>
      <w:i/>
      <w:iCs/>
      <w:color w:val="0F4761" w:themeColor="accent1" w:themeShade="BF"/>
    </w:rPr>
  </w:style>
  <w:style w:type="character" w:styleId="IntenseReference">
    <w:name w:val="Intense Reference"/>
    <w:basedOn w:val="DefaultParagraphFont"/>
    <w:uiPriority w:val="32"/>
    <w:qFormat/>
    <w:rsid w:val="00C816AE"/>
    <w:rPr>
      <w:b/>
      <w:bCs/>
      <w:smallCaps/>
      <w:color w:val="0F4761" w:themeColor="accent1" w:themeShade="BF"/>
      <w:spacing w:val="5"/>
    </w:rPr>
  </w:style>
  <w:style w:type="table" w:styleId="ListTable4-Accent6">
    <w:name w:val="List Table 4 Accent 6"/>
    <w:basedOn w:val="TableNormal"/>
    <w:uiPriority w:val="49"/>
    <w:rsid w:val="00C816AE"/>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6">
    <w:name w:val="Grid Table 4 Accent 6"/>
    <w:basedOn w:val="TableNormal"/>
    <w:uiPriority w:val="49"/>
    <w:rsid w:val="00C816AE"/>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styleId="Hyperlink">
    <w:name w:val="Hyperlink"/>
    <w:basedOn w:val="DefaultParagraphFont"/>
    <w:uiPriority w:val="99"/>
    <w:unhideWhenUsed/>
    <w:rsid w:val="00C816AE"/>
    <w:rPr>
      <w:color w:val="467886" w:themeColor="hyperlink"/>
      <w:u w:val="single"/>
    </w:rPr>
  </w:style>
  <w:style w:type="character" w:styleId="UnresolvedMention">
    <w:name w:val="Unresolved Mention"/>
    <w:basedOn w:val="DefaultParagraphFont"/>
    <w:uiPriority w:val="99"/>
    <w:semiHidden/>
    <w:unhideWhenUsed/>
    <w:rsid w:val="00C816AE"/>
    <w:rPr>
      <w:color w:val="605E5C"/>
      <w:shd w:val="clear" w:color="auto" w:fill="E1DFDD"/>
    </w:rPr>
  </w:style>
  <w:style w:type="paragraph" w:styleId="TOCHeading">
    <w:name w:val="TOC Heading"/>
    <w:basedOn w:val="Heading1"/>
    <w:next w:val="Normal"/>
    <w:uiPriority w:val="39"/>
    <w:unhideWhenUsed/>
    <w:qFormat/>
    <w:rsid w:val="00CB6A3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B6A3C"/>
    <w:pPr>
      <w:spacing w:after="100"/>
    </w:pPr>
  </w:style>
  <w:style w:type="paragraph" w:styleId="Header">
    <w:name w:val="header"/>
    <w:basedOn w:val="Normal"/>
    <w:link w:val="HeaderChar"/>
    <w:uiPriority w:val="99"/>
    <w:unhideWhenUsed/>
    <w:rsid w:val="007B13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31C"/>
  </w:style>
  <w:style w:type="paragraph" w:styleId="Footer">
    <w:name w:val="footer"/>
    <w:basedOn w:val="Normal"/>
    <w:link w:val="FooterChar"/>
    <w:uiPriority w:val="99"/>
    <w:unhideWhenUsed/>
    <w:rsid w:val="007B13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3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eds.gov.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ffordshire.gov.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orfolk.gov.uk" TargetMode="External"/><Relationship Id="rId4" Type="http://schemas.openxmlformats.org/officeDocument/2006/relationships/settings" Target="settings.xml"/><Relationship Id="rId9" Type="http://schemas.openxmlformats.org/officeDocument/2006/relationships/hyperlink" Target="https://www.nngroup.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09785-10D3-4655-B26E-05A725E7B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3049</Words>
  <Characters>17381</Characters>
  <Application>Microsoft Office Word</Application>
  <DocSecurity>0</DocSecurity>
  <Lines>144</Lines>
  <Paragraphs>40</Paragraphs>
  <ScaleCrop>false</ScaleCrop>
  <Company/>
  <LinksUpToDate>false</LinksUpToDate>
  <CharactersWithSpaces>20390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shamis hamid</dc:creator>
  <cp:keywords/>
  <dc:description/>
  <cp:lastModifiedBy>shamis hamid</cp:lastModifiedBy>
  <cp:revision>9</cp:revision>
  <dcterms:created xsi:type="dcterms:W3CDTF">2026-07-16T22:20:00Z</dcterms:created>
  <dcterms:modified xsi:type="dcterms:W3CDTF">2026-07-16T22:51:00Z</dcterms:modified>
</cp:coreProperties>
</file>