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9CEFC" w14:textId="77777777" w:rsidR="00F55281" w:rsidRPr="00F55281" w:rsidRDefault="00F55281" w:rsidP="00F55281">
      <w:pPr>
        <w:rPr>
          <w:rFonts w:ascii="Arial" w:hAnsi="Arial" w:cs="Arial"/>
        </w:rPr>
      </w:pPr>
      <w:r w:rsidRPr="00F55281">
        <w:rPr>
          <w:rFonts w:ascii="Arial" w:hAnsi="Arial" w:cs="Arial"/>
          <w:b/>
          <w:bCs/>
        </w:rPr>
        <w:t>Reflective Essay</w:t>
      </w:r>
    </w:p>
    <w:p w14:paraId="69D66DEA" w14:textId="77777777" w:rsidR="00F55281" w:rsidRPr="00F55281" w:rsidRDefault="00F55281" w:rsidP="00F55281">
      <w:pPr>
        <w:rPr>
          <w:rFonts w:ascii="Arial" w:hAnsi="Arial" w:cs="Arial"/>
        </w:rPr>
      </w:pPr>
      <w:r w:rsidRPr="00F55281">
        <w:rPr>
          <w:rFonts w:ascii="Arial" w:hAnsi="Arial" w:cs="Arial"/>
        </w:rPr>
        <w:t>Starting university was a big change for me, and one of the most important experiences during my first term was preparing and submitting my first written assignment. At first, I thought the main challenge would be writing the essay itself, but I quickly realised that the task involved much more than that. I had to understand the question, search for academic sources, use the online library, organise my ideas, write in a formal way and apply Harvard referencing correctly. Looking back, this experience helped me understand that university study is not only about learning new subject knowledge. It is also about developing academic and digital skills at the same time. Jisc (2022) explains that digital capability includes finding and using information, learning through digital systems and using technology appropriately.</w:t>
      </w:r>
    </w:p>
    <w:p w14:paraId="62439813" w14:textId="77777777" w:rsidR="00F55281" w:rsidRPr="00F55281" w:rsidRDefault="00F55281" w:rsidP="00F55281">
      <w:pPr>
        <w:rPr>
          <w:rFonts w:ascii="Arial" w:hAnsi="Arial" w:cs="Arial"/>
        </w:rPr>
      </w:pPr>
      <w:r w:rsidRPr="00F55281">
        <w:rPr>
          <w:rFonts w:ascii="Arial" w:hAnsi="Arial" w:cs="Arial"/>
        </w:rPr>
        <w:t>The experience took place early in my first semester, when I was still adjusting to university life. I had attended lectures and looked at the guidance on Moodle, but when I started working on the assignment by myself, I felt much less confident than I expected. I read the brief several times because I was worried that I had misunderstood it. I then used the online library to look for journal articles and books, but I found too many results and did not know which sources were best. I also found referencing difficult because I wanted to make sure that every author name, date and title was correct. Pears and Shields (2025) explain that referencing is not only a technical skill but also an important part of academic honesty.</w:t>
      </w:r>
    </w:p>
    <w:p w14:paraId="562E0A96" w14:textId="77777777" w:rsidR="00F55281" w:rsidRPr="00F55281" w:rsidRDefault="00F55281" w:rsidP="00F55281">
      <w:pPr>
        <w:rPr>
          <w:rFonts w:ascii="Arial" w:hAnsi="Arial" w:cs="Arial"/>
        </w:rPr>
      </w:pPr>
      <w:r w:rsidRPr="00F55281">
        <w:rPr>
          <w:rFonts w:ascii="Arial" w:hAnsi="Arial" w:cs="Arial"/>
        </w:rPr>
        <w:t xml:space="preserve">At the start of the process, I felt anxious, overwhelmed and unsure of myself. I wanted to do well, but I was worried that my work would not be good enough. I was especially concerned about choosing weak sources or making mistakes in my reference list. </w:t>
      </w:r>
      <w:proofErr w:type="spellStart"/>
      <w:r w:rsidRPr="00F55281">
        <w:rPr>
          <w:rFonts w:ascii="Arial" w:hAnsi="Arial" w:cs="Arial"/>
        </w:rPr>
        <w:t>Mearman</w:t>
      </w:r>
      <w:proofErr w:type="spellEnd"/>
      <w:r w:rsidRPr="00F55281">
        <w:rPr>
          <w:rFonts w:ascii="Arial" w:hAnsi="Arial" w:cs="Arial"/>
        </w:rPr>
        <w:t xml:space="preserve"> and Payne (2023) suggest that many students arrive at university with expectations that do not fully match the reality of academic study, and I think that was true in my case. I knew university would be challenging, but I had not understood how much independent organisation and careful checking would be involved. Because I was new to this environment, I also compared myself to other students and assumed that they were coping better than I was.</w:t>
      </w:r>
    </w:p>
    <w:p w14:paraId="3F58F5BB" w14:textId="77777777" w:rsidR="00F55281" w:rsidRPr="00F55281" w:rsidRDefault="00F55281" w:rsidP="00F55281">
      <w:pPr>
        <w:rPr>
          <w:rFonts w:ascii="Arial" w:hAnsi="Arial" w:cs="Arial"/>
        </w:rPr>
      </w:pPr>
      <w:r w:rsidRPr="00F55281">
        <w:rPr>
          <w:rFonts w:ascii="Arial" w:hAnsi="Arial" w:cs="Arial"/>
        </w:rPr>
        <w:t>There were some positive feelings as well. Once I began to find useful sources and understand the structure of my essay more clearly, I felt calmer. The task slowly changed from something frightening into something manageable. Godfrey (2022) explains that academic writing develops through practice, drafting and revision rather than immediate perfection. That describes my experience well. I felt much better when I stopped seeing the assignment as one huge problem and started breaking it into smaller steps. For example, I used one study session to understand the brief, another to search for sources, and another to check the references I had already used.</w:t>
      </w:r>
    </w:p>
    <w:p w14:paraId="52D7ED96" w14:textId="77777777" w:rsidR="00F55281" w:rsidRPr="00F55281" w:rsidRDefault="00F55281" w:rsidP="00F55281">
      <w:pPr>
        <w:rPr>
          <w:rFonts w:ascii="Arial" w:hAnsi="Arial" w:cs="Arial"/>
        </w:rPr>
      </w:pPr>
      <w:r w:rsidRPr="00F55281">
        <w:rPr>
          <w:rFonts w:ascii="Arial" w:hAnsi="Arial" w:cs="Arial"/>
        </w:rPr>
        <w:t xml:space="preserve">When I evaluate the experience, I can see that it had both strengths and weaknesses. One positive point was that it forced me to use university systems properly instead of avoiding them. Before this, I had only used Moodle and the library </w:t>
      </w:r>
      <w:r w:rsidRPr="00F55281">
        <w:rPr>
          <w:rFonts w:ascii="Arial" w:hAnsi="Arial" w:cs="Arial"/>
        </w:rPr>
        <w:lastRenderedPageBreak/>
        <w:t>in a basic way. During this assignment, I learned how to search more effectively, use keywords more carefully and save useful sources for later. Smith, Hodgkin and Young (2022), in a mixed-method study of first-year students in Wales, found that students start university with different levels of preparedness and confidence. This helped me understand that my difficulties were not unusual. They were part of the normal transition into higher education.</w:t>
      </w:r>
    </w:p>
    <w:p w14:paraId="40C2677D" w14:textId="77777777" w:rsidR="00F55281" w:rsidRPr="00F55281" w:rsidRDefault="00F55281" w:rsidP="00F55281">
      <w:pPr>
        <w:rPr>
          <w:rFonts w:ascii="Arial" w:hAnsi="Arial" w:cs="Arial"/>
        </w:rPr>
      </w:pPr>
      <w:r w:rsidRPr="00F55281">
        <w:rPr>
          <w:rFonts w:ascii="Arial" w:hAnsi="Arial" w:cs="Arial"/>
        </w:rPr>
        <w:t>Another positive part of the experience was that it helped me understand academic writing more clearly. Before university, I thought academic writing mainly meant sounding formal and avoiding simple language. After doing this assignment, I realised that it also involves organising ideas clearly, supporting points with evidence and linking paragraphs logically. Clough (2024) argues that seeing examples of real student writing can help learners understand academic expectations more clearly. Class examples made me notice what my own work was missing, especially in relation to paragraphing, clarity and linking ideas together.</w:t>
      </w:r>
    </w:p>
    <w:p w14:paraId="7D08F1A2" w14:textId="77777777" w:rsidR="00F55281" w:rsidRPr="00F55281" w:rsidRDefault="00F55281" w:rsidP="00F55281">
      <w:pPr>
        <w:rPr>
          <w:rFonts w:ascii="Arial" w:hAnsi="Arial" w:cs="Arial"/>
        </w:rPr>
      </w:pPr>
      <w:r w:rsidRPr="00F55281">
        <w:rPr>
          <w:rFonts w:ascii="Arial" w:hAnsi="Arial" w:cs="Arial"/>
        </w:rPr>
        <w:t xml:space="preserve">However, there were also weaknesses in the way I approached the task. One of the biggest problems was time management. I did not start early enough because I underestimated how long the full process would take. I thought most of my time would be spent writing, but in </w:t>
      </w:r>
      <w:proofErr w:type="gramStart"/>
      <w:r w:rsidRPr="00F55281">
        <w:rPr>
          <w:rFonts w:ascii="Arial" w:hAnsi="Arial" w:cs="Arial"/>
        </w:rPr>
        <w:t>reality</w:t>
      </w:r>
      <w:proofErr w:type="gramEnd"/>
      <w:r w:rsidRPr="00F55281">
        <w:rPr>
          <w:rFonts w:ascii="Arial" w:hAnsi="Arial" w:cs="Arial"/>
        </w:rPr>
        <w:t xml:space="preserve"> a large amount of time went into searching for sources, reading them properly and checking references. Timmis et al. (2024) found that students value early support because it helps them feel more prepared before study becomes too intense. Looking back, I think I would have benefited from creating a clearer plan at the start instead of waiting until I felt pressure.</w:t>
      </w:r>
    </w:p>
    <w:p w14:paraId="5B2AE224" w14:textId="77777777" w:rsidR="00F55281" w:rsidRPr="00F55281" w:rsidRDefault="00F55281" w:rsidP="00F55281">
      <w:pPr>
        <w:rPr>
          <w:rFonts w:ascii="Arial" w:hAnsi="Arial" w:cs="Arial"/>
        </w:rPr>
      </w:pPr>
      <w:r w:rsidRPr="00F55281">
        <w:rPr>
          <w:rFonts w:ascii="Arial" w:hAnsi="Arial" w:cs="Arial"/>
        </w:rPr>
        <w:t>A second weakness was my lack of digital confidence. I could use a laptop and everyday digital tools, but I did not feel confident using academic systems and digital resources independently. This meant that even when I was doing the right thing, I still doubted myself. Bancroft, Challen and Pearce (2024) describe digital confidence as an important part of student development in higher education. I think this fits my experience very well because my difficulty was not only a lack of technical skill. It was also a lack of trust in my own decisions.</w:t>
      </w:r>
    </w:p>
    <w:p w14:paraId="17325686" w14:textId="77777777" w:rsidR="00F55281" w:rsidRPr="00F55281" w:rsidRDefault="00F55281" w:rsidP="00F55281">
      <w:pPr>
        <w:rPr>
          <w:rFonts w:ascii="Arial" w:hAnsi="Arial" w:cs="Arial"/>
        </w:rPr>
      </w:pPr>
      <w:r w:rsidRPr="00F55281">
        <w:rPr>
          <w:rFonts w:ascii="Arial" w:hAnsi="Arial" w:cs="Arial"/>
        </w:rPr>
        <w:t>When I analyse the experience more deeply, I think it developed in this way because I was moving from a more guided style of learning into a much more independent one. At school or college, learning often felt more supported, but university required me to make more decisions for myself. I had to decide which sources were reliable, how to organise my time and how to improve my draft. Hayman et al. (2024) found that the first year of university often involves uncertainty while students try to build a new academic identity. I can relate to that strongly because I was not only learning how to complete one assignment. I was also learning how to think and work like a university student.</w:t>
      </w:r>
    </w:p>
    <w:p w14:paraId="012E052F" w14:textId="77777777" w:rsidR="00F55281" w:rsidRPr="00F55281" w:rsidRDefault="00F55281" w:rsidP="00F55281">
      <w:pPr>
        <w:rPr>
          <w:rFonts w:ascii="Arial" w:hAnsi="Arial" w:cs="Arial"/>
        </w:rPr>
      </w:pPr>
      <w:r w:rsidRPr="00F55281">
        <w:rPr>
          <w:rFonts w:ascii="Arial" w:hAnsi="Arial" w:cs="Arial"/>
        </w:rPr>
        <w:t xml:space="preserve">The digital side of the task was also very important. The assignment depended on my ability to use online tools well, not just my ability to write. I had to move between Moodle, the online library, Word documents and referencing guidance, and I found </w:t>
      </w:r>
      <w:r w:rsidRPr="00F55281">
        <w:rPr>
          <w:rFonts w:ascii="Arial" w:hAnsi="Arial" w:cs="Arial"/>
        </w:rPr>
        <w:lastRenderedPageBreak/>
        <w:t>that mentally tiring. Sweeney (2024) found that students’ experiences of educational technology are shaped by the demands of the task and by how confident they feel using the technology. This helps explain my own experience. I was comfortable with everyday digital tools, but academic digital systems felt more demanding because they required more careful searching, more judgement and more independent problem solving. Selwyn (2021) argues that education and technology are closely connected and that students need to use digital systems thoughtfully, not just functionally.</w:t>
      </w:r>
    </w:p>
    <w:p w14:paraId="5D899FE2" w14:textId="77777777" w:rsidR="00F55281" w:rsidRPr="00F55281" w:rsidRDefault="00F55281" w:rsidP="00F55281">
      <w:pPr>
        <w:rPr>
          <w:rFonts w:ascii="Arial" w:hAnsi="Arial" w:cs="Arial"/>
        </w:rPr>
      </w:pPr>
      <w:r w:rsidRPr="00F55281">
        <w:rPr>
          <w:rFonts w:ascii="Arial" w:hAnsi="Arial" w:cs="Arial"/>
        </w:rPr>
        <w:t>Another important part of this experience was what I learned afterwards. At the time, I mostly saw the assignment as stressful, but later I realised that the process itself had taught me a great deal, even before I received a grade. Coppens et al. (2023) found that reflective logs can help students engage more actively with feedback and learning. Reflection has helped me see that even though I made mistakes and felt stressed, I was still developing useful skills. I improved my ability to search for sources, structure an argument and pay closer attention to referencing detail. Office for Students (2022) also emphasises that students develop academic and data-related skills most effectively when these are used in practical contexts, which helps explain why this assignment became such an important learning experience for me.</w:t>
      </w:r>
    </w:p>
    <w:p w14:paraId="03C789B5" w14:textId="77777777" w:rsidR="00F55281" w:rsidRPr="00F55281" w:rsidRDefault="00F55281" w:rsidP="00F55281">
      <w:pPr>
        <w:rPr>
          <w:rFonts w:ascii="Arial" w:hAnsi="Arial" w:cs="Arial"/>
        </w:rPr>
      </w:pPr>
      <w:r w:rsidRPr="00F55281">
        <w:rPr>
          <w:rFonts w:ascii="Arial" w:hAnsi="Arial" w:cs="Arial"/>
        </w:rPr>
        <w:t>Looking back with hindsight, there are several things I would do differently. First, I would start earlier and divide the work into clear stages from the beginning. This would include one stage for understanding the brief, one for searching sources, one for planning the structure, one for drafting and one for checking references. Timmis et al. (2024) suggest that earlier preparation can help students feel more ready before academic pressure increases. I think the same idea applies here. If I treat academic and digital skills as something to practise regularly rather than only at the end of an assignment, I am more likely to improve steadily.</w:t>
      </w:r>
    </w:p>
    <w:p w14:paraId="18FA9336" w14:textId="77777777" w:rsidR="00F55281" w:rsidRPr="00F55281" w:rsidRDefault="00F55281" w:rsidP="00F55281">
      <w:pPr>
        <w:rPr>
          <w:rFonts w:ascii="Arial" w:hAnsi="Arial" w:cs="Arial"/>
        </w:rPr>
      </w:pPr>
      <w:r w:rsidRPr="00F55281">
        <w:rPr>
          <w:rFonts w:ascii="Arial" w:hAnsi="Arial" w:cs="Arial"/>
        </w:rPr>
        <w:t>Second, I would make better use of the support available instead of trying to solve everything alone. At the time, I thought asking for help might show weakness, but now I see that using guidance is part of learning well. Sharpe, Bennett and Varga-Atkins (2022) explain that digital higher education is not only about access to tools but also about learning how to use them effectively for participation and improvement. I now understand that looking again at library guides, class examples and referencing support earlier in the process would have saved me time and reduced my anxiety.</w:t>
      </w:r>
    </w:p>
    <w:p w14:paraId="5FEE49C5" w14:textId="77777777" w:rsidR="00F55281" w:rsidRPr="00F55281" w:rsidRDefault="00F55281" w:rsidP="00F55281">
      <w:pPr>
        <w:rPr>
          <w:rFonts w:ascii="Arial" w:hAnsi="Arial" w:cs="Arial"/>
        </w:rPr>
      </w:pPr>
      <w:r w:rsidRPr="00F55281">
        <w:rPr>
          <w:rFonts w:ascii="Arial" w:hAnsi="Arial" w:cs="Arial"/>
        </w:rPr>
        <w:t>Overall, this experience was difficult, but it was also very valuable. It showed me that academic writing, referencing and digital study skills do not develop immediately. They improve through practice, reflection and gradual confidence-building. My first assignment made me more aware of my weaknesses, but it also showed me that I could improve when I used support, reflected honestly and kept practising. For that reason, I now see the experience as an important step in my development during my first term at university rather than simply a stressful task.</w:t>
      </w:r>
    </w:p>
    <w:p w14:paraId="5390EB86" w14:textId="2870473D" w:rsidR="00F55281" w:rsidRPr="00F55281" w:rsidRDefault="00F55281" w:rsidP="00F55281">
      <w:pPr>
        <w:rPr>
          <w:rFonts w:ascii="Arial" w:hAnsi="Arial" w:cs="Arial"/>
        </w:rPr>
      </w:pPr>
      <w:r w:rsidRPr="00F55281">
        <w:rPr>
          <w:rFonts w:ascii="Arial" w:hAnsi="Arial" w:cs="Arial"/>
          <w:b/>
          <w:bCs/>
        </w:rPr>
        <w:lastRenderedPageBreak/>
        <w:t>SMART Action Plan</w:t>
      </w:r>
    </w:p>
    <w:p w14:paraId="79A84F2A" w14:textId="77777777" w:rsidR="00F55281" w:rsidRPr="00F55281" w:rsidRDefault="00F55281" w:rsidP="00F55281">
      <w:pPr>
        <w:rPr>
          <w:rFonts w:ascii="Arial" w:hAnsi="Arial" w:cs="Arial"/>
        </w:rPr>
      </w:pPr>
      <w:r w:rsidRPr="00F55281">
        <w:rPr>
          <w:rFonts w:ascii="Arial" w:hAnsi="Arial" w:cs="Arial"/>
          <w:b/>
          <w:bCs/>
        </w:rPr>
        <w:t>Specific:</w:t>
      </w:r>
      <w:r w:rsidRPr="00F55281">
        <w:rPr>
          <w:rFonts w:ascii="Arial" w:hAnsi="Arial" w:cs="Arial"/>
        </w:rPr>
        <w:t xml:space="preserve"> I will improve my academic writing, source searching and Harvard referencing by starting assignments earlier, using the online library more confidently and checking all citations carefully before submission.</w:t>
      </w:r>
    </w:p>
    <w:p w14:paraId="48F1F625" w14:textId="77777777" w:rsidR="00F55281" w:rsidRPr="00F55281" w:rsidRDefault="00F55281" w:rsidP="00F55281">
      <w:pPr>
        <w:rPr>
          <w:rFonts w:ascii="Arial" w:hAnsi="Arial" w:cs="Arial"/>
        </w:rPr>
      </w:pPr>
      <w:r w:rsidRPr="00F55281">
        <w:rPr>
          <w:rFonts w:ascii="Arial" w:hAnsi="Arial" w:cs="Arial"/>
          <w:b/>
          <w:bCs/>
        </w:rPr>
        <w:t>Measurable:</w:t>
      </w:r>
      <w:r w:rsidRPr="00F55281">
        <w:rPr>
          <w:rFonts w:ascii="Arial" w:hAnsi="Arial" w:cs="Arial"/>
        </w:rPr>
        <w:t xml:space="preserve"> I will start each assignment at least seven days before the deadline, use at least six academic sources from the online library and complete a referencing checklist before submitting my work.</w:t>
      </w:r>
    </w:p>
    <w:p w14:paraId="057CB4E6" w14:textId="77777777" w:rsidR="00F55281" w:rsidRPr="00F55281" w:rsidRDefault="00F55281" w:rsidP="00F55281">
      <w:pPr>
        <w:rPr>
          <w:rFonts w:ascii="Arial" w:hAnsi="Arial" w:cs="Arial"/>
        </w:rPr>
      </w:pPr>
      <w:r w:rsidRPr="00F55281">
        <w:rPr>
          <w:rFonts w:ascii="Arial" w:hAnsi="Arial" w:cs="Arial"/>
          <w:b/>
          <w:bCs/>
        </w:rPr>
        <w:t>Achievable:</w:t>
      </w:r>
      <w:r w:rsidRPr="00F55281">
        <w:rPr>
          <w:rFonts w:ascii="Arial" w:hAnsi="Arial" w:cs="Arial"/>
        </w:rPr>
        <w:t xml:space="preserve"> This is realistic because the university provides Moodle guidance, library tools, examples and referencing support that I can use during each assignment.</w:t>
      </w:r>
    </w:p>
    <w:p w14:paraId="1C348BA9" w14:textId="77777777" w:rsidR="00F55281" w:rsidRPr="00F55281" w:rsidRDefault="00F55281" w:rsidP="00F55281">
      <w:pPr>
        <w:rPr>
          <w:rFonts w:ascii="Arial" w:hAnsi="Arial" w:cs="Arial"/>
        </w:rPr>
      </w:pPr>
      <w:r w:rsidRPr="00F55281">
        <w:rPr>
          <w:rFonts w:ascii="Arial" w:hAnsi="Arial" w:cs="Arial"/>
          <w:b/>
          <w:bCs/>
        </w:rPr>
        <w:t>Relevant:</w:t>
      </w:r>
      <w:r w:rsidRPr="00F55281">
        <w:rPr>
          <w:rFonts w:ascii="Arial" w:hAnsi="Arial" w:cs="Arial"/>
        </w:rPr>
        <w:t xml:space="preserve"> This is relevant because it will help me reduce stress, improve the quality of my work and become more confident in academic writing and digital study skills.</w:t>
      </w:r>
    </w:p>
    <w:p w14:paraId="26DE9D66" w14:textId="77777777" w:rsidR="00F55281" w:rsidRPr="00F55281" w:rsidRDefault="00F55281" w:rsidP="00F55281">
      <w:pPr>
        <w:rPr>
          <w:rFonts w:ascii="Arial" w:hAnsi="Arial" w:cs="Arial"/>
        </w:rPr>
      </w:pPr>
      <w:r w:rsidRPr="00F55281">
        <w:rPr>
          <w:rFonts w:ascii="Arial" w:hAnsi="Arial" w:cs="Arial"/>
          <w:b/>
          <w:bCs/>
        </w:rPr>
        <w:t>Time-bound:</w:t>
      </w:r>
      <w:r w:rsidRPr="00F55281">
        <w:rPr>
          <w:rFonts w:ascii="Arial" w:hAnsi="Arial" w:cs="Arial"/>
        </w:rPr>
        <w:t xml:space="preserve"> I will follow this plan during my next term and review my progress after each assignment.</w:t>
      </w:r>
    </w:p>
    <w:p w14:paraId="45492513" w14:textId="77777777" w:rsidR="00F55281" w:rsidRPr="00F55281" w:rsidRDefault="00F55281" w:rsidP="00F55281">
      <w:pPr>
        <w:rPr>
          <w:rFonts w:ascii="Arial" w:hAnsi="Arial" w:cs="Arial"/>
        </w:rPr>
      </w:pPr>
      <w:r w:rsidRPr="00F55281">
        <w:rPr>
          <w:rFonts w:ascii="Arial" w:hAnsi="Arial" w:cs="Arial"/>
          <w:b/>
          <w:bCs/>
        </w:rPr>
        <w:t>References</w:t>
      </w:r>
    </w:p>
    <w:p w14:paraId="22202DA2" w14:textId="423EE146" w:rsidR="00F55281" w:rsidRPr="00F55281" w:rsidRDefault="00F55281" w:rsidP="00F55281">
      <w:pPr>
        <w:rPr>
          <w:rFonts w:ascii="Arial" w:hAnsi="Arial" w:cs="Arial"/>
        </w:rPr>
      </w:pPr>
      <w:r w:rsidRPr="00F55281">
        <w:rPr>
          <w:rFonts w:ascii="Arial" w:hAnsi="Arial" w:cs="Arial"/>
        </w:rPr>
        <w:t xml:space="preserve">Bancroft, R., Challen, R. and Pearce, R. (2024) ‘Searching for a shared understanding of digital confidence in a tertiary context: a scoping review’, </w:t>
      </w:r>
      <w:r w:rsidRPr="00F55281">
        <w:rPr>
          <w:rFonts w:ascii="Arial" w:hAnsi="Arial" w:cs="Arial"/>
          <w:i/>
          <w:iCs/>
        </w:rPr>
        <w:t>Journal of Learning Development in Higher Education</w:t>
      </w:r>
      <w:r w:rsidRPr="00F55281">
        <w:rPr>
          <w:rFonts w:ascii="Arial" w:hAnsi="Arial" w:cs="Arial"/>
        </w:rPr>
        <w:t xml:space="preserve">, 30. Available at: </w:t>
      </w:r>
      <w:hyperlink r:id="rId4" w:tgtFrame="_new" w:history="1">
        <w:r w:rsidRPr="00F55281">
          <w:rPr>
            <w:rStyle w:val="Hyperlink"/>
            <w:rFonts w:ascii="Arial" w:hAnsi="Arial" w:cs="Arial"/>
          </w:rPr>
          <w:t>https://doi.org/10.47408/jldhe.vi30.1061</w:t>
        </w:r>
      </w:hyperlink>
      <w:r>
        <w:rPr>
          <w:rFonts w:ascii="Arial" w:hAnsi="Arial" w:cs="Arial"/>
        </w:rPr>
        <w:t>. (Accessed 21 March 2026).</w:t>
      </w:r>
    </w:p>
    <w:p w14:paraId="478370A0" w14:textId="3BF413AE" w:rsidR="00F55281" w:rsidRPr="00F55281" w:rsidRDefault="00F55281" w:rsidP="00F55281">
      <w:pPr>
        <w:rPr>
          <w:rFonts w:ascii="Arial" w:hAnsi="Arial" w:cs="Arial"/>
        </w:rPr>
      </w:pPr>
      <w:r w:rsidRPr="00F55281">
        <w:rPr>
          <w:rFonts w:ascii="Arial" w:hAnsi="Arial" w:cs="Arial"/>
        </w:rPr>
        <w:t xml:space="preserve">Clough, G. (2024) ‘First Ink: the development of a magazine of exemplary academic writing “by students, for students”’, </w:t>
      </w:r>
      <w:r w:rsidRPr="00F55281">
        <w:rPr>
          <w:rFonts w:ascii="Arial" w:hAnsi="Arial" w:cs="Arial"/>
          <w:i/>
          <w:iCs/>
        </w:rPr>
        <w:t>Journal of Learning Development in Higher Education</w:t>
      </w:r>
      <w:r w:rsidRPr="00F55281">
        <w:rPr>
          <w:rFonts w:ascii="Arial" w:hAnsi="Arial" w:cs="Arial"/>
        </w:rPr>
        <w:t xml:space="preserve">, 32. Available at: </w:t>
      </w:r>
      <w:hyperlink r:id="rId5" w:history="1">
        <w:r w:rsidRPr="00F55281">
          <w:rPr>
            <w:rStyle w:val="Hyperlink"/>
            <w:rFonts w:ascii="Arial" w:hAnsi="Arial" w:cs="Arial"/>
          </w:rPr>
          <w:t>https://doi.org/10.47408/jldhe.vi32.1408</w:t>
        </w:r>
      </w:hyperlink>
      <w:r>
        <w:rPr>
          <w:rFonts w:ascii="Arial" w:hAnsi="Arial" w:cs="Arial"/>
        </w:rPr>
        <w:t xml:space="preserve">. </w:t>
      </w:r>
      <w:r>
        <w:rPr>
          <w:rFonts w:ascii="Arial" w:hAnsi="Arial" w:cs="Arial"/>
        </w:rPr>
        <w:t>(Accessed 2</w:t>
      </w:r>
      <w:r>
        <w:rPr>
          <w:rFonts w:ascii="Arial" w:hAnsi="Arial" w:cs="Arial"/>
        </w:rPr>
        <w:t>0</w:t>
      </w:r>
      <w:r>
        <w:rPr>
          <w:rFonts w:ascii="Arial" w:hAnsi="Arial" w:cs="Arial"/>
        </w:rPr>
        <w:t xml:space="preserve"> March 2026).</w:t>
      </w:r>
      <w:r>
        <w:rPr>
          <w:rFonts w:ascii="Arial" w:hAnsi="Arial" w:cs="Arial"/>
        </w:rPr>
        <w:t xml:space="preserve"> </w:t>
      </w:r>
    </w:p>
    <w:p w14:paraId="18847CA0" w14:textId="3E075967" w:rsidR="00F55281" w:rsidRPr="00F55281" w:rsidRDefault="00F55281" w:rsidP="00F55281">
      <w:pPr>
        <w:rPr>
          <w:rFonts w:ascii="Arial" w:hAnsi="Arial" w:cs="Arial"/>
        </w:rPr>
      </w:pPr>
      <w:r w:rsidRPr="00F55281">
        <w:rPr>
          <w:rFonts w:ascii="Arial" w:hAnsi="Arial" w:cs="Arial"/>
        </w:rPr>
        <w:t xml:space="preserve">Coppens, K., Van den Broeck, L., Winstone, N. and </w:t>
      </w:r>
      <w:proofErr w:type="spellStart"/>
      <w:r w:rsidRPr="00F55281">
        <w:rPr>
          <w:rFonts w:ascii="Arial" w:hAnsi="Arial" w:cs="Arial"/>
        </w:rPr>
        <w:t>Langie</w:t>
      </w:r>
      <w:proofErr w:type="spellEnd"/>
      <w:r w:rsidRPr="00F55281">
        <w:rPr>
          <w:rFonts w:ascii="Arial" w:hAnsi="Arial" w:cs="Arial"/>
        </w:rPr>
        <w:t xml:space="preserve">, G. (2023) ‘Capturing student feedback literacy using reflective logs’, </w:t>
      </w:r>
      <w:r w:rsidRPr="00F55281">
        <w:rPr>
          <w:rFonts w:ascii="Arial" w:hAnsi="Arial" w:cs="Arial"/>
          <w:i/>
          <w:iCs/>
        </w:rPr>
        <w:t>European Journal of Engineering Education</w:t>
      </w:r>
      <w:r w:rsidRPr="00F55281">
        <w:rPr>
          <w:rFonts w:ascii="Arial" w:hAnsi="Arial" w:cs="Arial"/>
        </w:rPr>
        <w:t xml:space="preserve">, 48(4), pp. 653–666. Available at: </w:t>
      </w:r>
      <w:hyperlink r:id="rId6" w:history="1">
        <w:r w:rsidRPr="00F55281">
          <w:rPr>
            <w:rStyle w:val="Hyperlink"/>
            <w:rFonts w:ascii="Arial" w:hAnsi="Arial" w:cs="Arial"/>
          </w:rPr>
          <w:t>https://doi.org/10.1080/03043797.2023.2185501</w:t>
        </w:r>
      </w:hyperlink>
      <w:r>
        <w:rPr>
          <w:rFonts w:ascii="Arial" w:hAnsi="Arial" w:cs="Arial"/>
        </w:rPr>
        <w:t xml:space="preserve">. </w:t>
      </w:r>
      <w:r>
        <w:rPr>
          <w:rFonts w:ascii="Arial" w:hAnsi="Arial" w:cs="Arial"/>
        </w:rPr>
        <w:t xml:space="preserve">(Accessed </w:t>
      </w:r>
      <w:r>
        <w:rPr>
          <w:rFonts w:ascii="Arial" w:hAnsi="Arial" w:cs="Arial"/>
        </w:rPr>
        <w:t>19</w:t>
      </w:r>
      <w:r>
        <w:rPr>
          <w:rFonts w:ascii="Arial" w:hAnsi="Arial" w:cs="Arial"/>
        </w:rPr>
        <w:t xml:space="preserve"> March 2026).</w:t>
      </w:r>
      <w:r>
        <w:rPr>
          <w:rFonts w:ascii="Arial" w:hAnsi="Arial" w:cs="Arial"/>
        </w:rPr>
        <w:t xml:space="preserve"> </w:t>
      </w:r>
    </w:p>
    <w:p w14:paraId="2DADB914" w14:textId="77777777" w:rsidR="00F55281" w:rsidRPr="00F55281" w:rsidRDefault="00F55281" w:rsidP="00F55281">
      <w:pPr>
        <w:rPr>
          <w:rFonts w:ascii="Arial" w:hAnsi="Arial" w:cs="Arial"/>
        </w:rPr>
      </w:pPr>
      <w:r w:rsidRPr="00F55281">
        <w:rPr>
          <w:rFonts w:ascii="Arial" w:hAnsi="Arial" w:cs="Arial"/>
        </w:rPr>
        <w:t xml:space="preserve">Godfrey, J. (2022) </w:t>
      </w:r>
      <w:r w:rsidRPr="00F55281">
        <w:rPr>
          <w:rFonts w:ascii="Arial" w:hAnsi="Arial" w:cs="Arial"/>
          <w:i/>
          <w:iCs/>
        </w:rPr>
        <w:t>Writing for University</w:t>
      </w:r>
      <w:r w:rsidRPr="00F55281">
        <w:rPr>
          <w:rFonts w:ascii="Arial" w:hAnsi="Arial" w:cs="Arial"/>
        </w:rPr>
        <w:t>. London: Bloomsbury Academic.</w:t>
      </w:r>
    </w:p>
    <w:p w14:paraId="7CA1FB85" w14:textId="72A677CB" w:rsidR="00F55281" w:rsidRPr="00F55281" w:rsidRDefault="00F55281" w:rsidP="00F55281">
      <w:pPr>
        <w:rPr>
          <w:rFonts w:ascii="Arial" w:hAnsi="Arial" w:cs="Arial"/>
        </w:rPr>
      </w:pPr>
      <w:r w:rsidRPr="00F55281">
        <w:rPr>
          <w:rFonts w:ascii="Arial" w:hAnsi="Arial" w:cs="Arial"/>
        </w:rPr>
        <w:t xml:space="preserve">Hayman, R., Wharton, K., Bell, L. and Bird, L. (2024) ‘Navigating the first year at an English university: exploring the experiences of mature students through the lens of transition theory’, </w:t>
      </w:r>
      <w:r w:rsidRPr="00F55281">
        <w:rPr>
          <w:rFonts w:ascii="Arial" w:hAnsi="Arial" w:cs="Arial"/>
          <w:i/>
          <w:iCs/>
        </w:rPr>
        <w:t>International Journal of Lifelong Education</w:t>
      </w:r>
      <w:r w:rsidRPr="00F55281">
        <w:rPr>
          <w:rFonts w:ascii="Arial" w:hAnsi="Arial" w:cs="Arial"/>
        </w:rPr>
        <w:t xml:space="preserve">, 43(1), pp. 39–51. Available at: </w:t>
      </w:r>
      <w:hyperlink r:id="rId7" w:tgtFrame="_new" w:history="1">
        <w:r w:rsidRPr="00F55281">
          <w:rPr>
            <w:rStyle w:val="Hyperlink"/>
            <w:rFonts w:ascii="Arial" w:hAnsi="Arial" w:cs="Arial"/>
          </w:rPr>
          <w:t>https://doi.org/10.1080/02601370.2023.2297671</w:t>
        </w:r>
      </w:hyperlink>
      <w:r>
        <w:rPr>
          <w:rFonts w:ascii="Arial" w:hAnsi="Arial" w:cs="Arial"/>
        </w:rPr>
        <w:t xml:space="preserve">. </w:t>
      </w:r>
      <w:r>
        <w:rPr>
          <w:rFonts w:ascii="Arial" w:hAnsi="Arial" w:cs="Arial"/>
        </w:rPr>
        <w:t xml:space="preserve">(Accessed </w:t>
      </w:r>
      <w:r>
        <w:rPr>
          <w:rFonts w:ascii="Arial" w:hAnsi="Arial" w:cs="Arial"/>
        </w:rPr>
        <w:t>19</w:t>
      </w:r>
      <w:r>
        <w:rPr>
          <w:rFonts w:ascii="Arial" w:hAnsi="Arial" w:cs="Arial"/>
        </w:rPr>
        <w:t xml:space="preserve"> March 2026).</w:t>
      </w:r>
    </w:p>
    <w:p w14:paraId="6D3B138D" w14:textId="01079D9D" w:rsidR="00F55281" w:rsidRPr="00F55281" w:rsidRDefault="00F55281" w:rsidP="00F55281">
      <w:pPr>
        <w:rPr>
          <w:rFonts w:ascii="Arial" w:hAnsi="Arial" w:cs="Arial"/>
        </w:rPr>
      </w:pPr>
      <w:r w:rsidRPr="00F55281">
        <w:rPr>
          <w:rFonts w:ascii="Arial" w:hAnsi="Arial" w:cs="Arial"/>
        </w:rPr>
        <w:t xml:space="preserve">Jisc (2022) </w:t>
      </w:r>
      <w:r w:rsidRPr="00F55281">
        <w:rPr>
          <w:rFonts w:ascii="Arial" w:hAnsi="Arial" w:cs="Arial"/>
          <w:i/>
          <w:iCs/>
        </w:rPr>
        <w:t>Individual digital capabilities</w:t>
      </w:r>
      <w:r w:rsidRPr="00F55281">
        <w:rPr>
          <w:rFonts w:ascii="Arial" w:hAnsi="Arial" w:cs="Arial"/>
        </w:rPr>
        <w:t xml:space="preserve">. Available at: </w:t>
      </w:r>
      <w:hyperlink r:id="rId8" w:tgtFrame="_new" w:history="1">
        <w:r w:rsidRPr="00F55281">
          <w:rPr>
            <w:rStyle w:val="Hyperlink"/>
            <w:rFonts w:ascii="Arial" w:hAnsi="Arial" w:cs="Arial"/>
          </w:rPr>
          <w:t>https://digitalcapability.jisc.ac.uk/what-is-digital-capability/individual-digital-capabilities/</w:t>
        </w:r>
      </w:hyperlink>
      <w:r w:rsidRPr="00F55281">
        <w:rPr>
          <w:rFonts w:ascii="Arial" w:hAnsi="Arial" w:cs="Arial"/>
        </w:rPr>
        <w:t xml:space="preserve"> (Accessed: 2</w:t>
      </w:r>
      <w:r>
        <w:rPr>
          <w:rFonts w:ascii="Arial" w:hAnsi="Arial" w:cs="Arial"/>
        </w:rPr>
        <w:t>0</w:t>
      </w:r>
      <w:r w:rsidRPr="00F55281">
        <w:rPr>
          <w:rFonts w:ascii="Arial" w:hAnsi="Arial" w:cs="Arial"/>
        </w:rPr>
        <w:t xml:space="preserve"> March 2026).</w:t>
      </w:r>
    </w:p>
    <w:p w14:paraId="0E69FA58" w14:textId="606F4742" w:rsidR="00F55281" w:rsidRPr="00F55281" w:rsidRDefault="00F55281" w:rsidP="00F55281">
      <w:pPr>
        <w:rPr>
          <w:rFonts w:ascii="Arial" w:hAnsi="Arial" w:cs="Arial"/>
        </w:rPr>
      </w:pPr>
      <w:proofErr w:type="spellStart"/>
      <w:r w:rsidRPr="00F55281">
        <w:rPr>
          <w:rFonts w:ascii="Arial" w:hAnsi="Arial" w:cs="Arial"/>
        </w:rPr>
        <w:lastRenderedPageBreak/>
        <w:t>Mearman</w:t>
      </w:r>
      <w:proofErr w:type="spellEnd"/>
      <w:r w:rsidRPr="00F55281">
        <w:rPr>
          <w:rFonts w:ascii="Arial" w:hAnsi="Arial" w:cs="Arial"/>
        </w:rPr>
        <w:t xml:space="preserve">, A. and Payne, R. (2023) ‘Reflections on welcome and induction: exploring the sources of students’ expectations and anticipations about university’, </w:t>
      </w:r>
      <w:r w:rsidRPr="00F55281">
        <w:rPr>
          <w:rFonts w:ascii="Arial" w:hAnsi="Arial" w:cs="Arial"/>
          <w:i/>
          <w:iCs/>
        </w:rPr>
        <w:t>Journal of Further and Higher Education</w:t>
      </w:r>
      <w:r w:rsidRPr="00F55281">
        <w:rPr>
          <w:rFonts w:ascii="Arial" w:hAnsi="Arial" w:cs="Arial"/>
        </w:rPr>
        <w:t xml:space="preserve">, 47(7), pp. 980–993. Available at: </w:t>
      </w:r>
      <w:hyperlink r:id="rId9" w:tgtFrame="_new" w:history="1">
        <w:r w:rsidRPr="00F55281">
          <w:rPr>
            <w:rStyle w:val="Hyperlink"/>
            <w:rFonts w:ascii="Arial" w:hAnsi="Arial" w:cs="Arial"/>
          </w:rPr>
          <w:t>https://doi.org/10.1080/0309877X.2023.2208054</w:t>
        </w:r>
      </w:hyperlink>
      <w:r>
        <w:rPr>
          <w:rFonts w:ascii="Arial" w:hAnsi="Arial" w:cs="Arial"/>
        </w:rPr>
        <w:t xml:space="preserve">. </w:t>
      </w:r>
      <w:r>
        <w:rPr>
          <w:rFonts w:ascii="Arial" w:hAnsi="Arial" w:cs="Arial"/>
        </w:rPr>
        <w:t xml:space="preserve">(Accessed </w:t>
      </w:r>
      <w:r>
        <w:rPr>
          <w:rFonts w:ascii="Arial" w:hAnsi="Arial" w:cs="Arial"/>
        </w:rPr>
        <w:t>18</w:t>
      </w:r>
      <w:r>
        <w:rPr>
          <w:rFonts w:ascii="Arial" w:hAnsi="Arial" w:cs="Arial"/>
        </w:rPr>
        <w:t xml:space="preserve"> March 2026).</w:t>
      </w:r>
    </w:p>
    <w:p w14:paraId="12B5A7A9" w14:textId="7C549B6C" w:rsidR="00F55281" w:rsidRPr="00F55281" w:rsidRDefault="00F55281" w:rsidP="00F55281">
      <w:pPr>
        <w:rPr>
          <w:rFonts w:ascii="Arial" w:hAnsi="Arial" w:cs="Arial"/>
        </w:rPr>
      </w:pPr>
      <w:r w:rsidRPr="00F55281">
        <w:rPr>
          <w:rFonts w:ascii="Arial" w:hAnsi="Arial" w:cs="Arial"/>
        </w:rPr>
        <w:t xml:space="preserve">Office for Students (2022) </w:t>
      </w:r>
      <w:r w:rsidRPr="00F55281">
        <w:rPr>
          <w:rFonts w:ascii="Arial" w:hAnsi="Arial" w:cs="Arial"/>
          <w:i/>
          <w:iCs/>
        </w:rPr>
        <w:t>Evaluation of National Data Skills pilots: final report</w:t>
      </w:r>
      <w:r w:rsidRPr="00F55281">
        <w:rPr>
          <w:rFonts w:ascii="Arial" w:hAnsi="Arial" w:cs="Arial"/>
        </w:rPr>
        <w:t xml:space="preserve">. Available at: </w:t>
      </w:r>
      <w:hyperlink r:id="rId10" w:tgtFrame="_new" w:history="1">
        <w:r w:rsidRPr="00F55281">
          <w:rPr>
            <w:rStyle w:val="Hyperlink"/>
            <w:rFonts w:ascii="Arial" w:hAnsi="Arial" w:cs="Arial"/>
          </w:rPr>
          <w:t>https://www.officeforstudents.org.uk/publications/evaluation-of-national-data-skills-pilots-final-report/</w:t>
        </w:r>
      </w:hyperlink>
      <w:r w:rsidRPr="00F55281">
        <w:rPr>
          <w:rFonts w:ascii="Arial" w:hAnsi="Arial" w:cs="Arial"/>
        </w:rPr>
        <w:t xml:space="preserve"> (Accessed: </w:t>
      </w:r>
      <w:r>
        <w:rPr>
          <w:rFonts w:ascii="Arial" w:hAnsi="Arial" w:cs="Arial"/>
        </w:rPr>
        <w:t>20</w:t>
      </w:r>
      <w:r w:rsidRPr="00F55281">
        <w:rPr>
          <w:rFonts w:ascii="Arial" w:hAnsi="Arial" w:cs="Arial"/>
        </w:rPr>
        <w:t xml:space="preserve"> March 2026).</w:t>
      </w:r>
    </w:p>
    <w:p w14:paraId="5DEDBFE1" w14:textId="2BC6ABB9" w:rsidR="00F55281" w:rsidRPr="00F55281" w:rsidRDefault="00F55281" w:rsidP="00F55281">
      <w:pPr>
        <w:rPr>
          <w:rFonts w:ascii="Arial" w:hAnsi="Arial" w:cs="Arial"/>
        </w:rPr>
      </w:pPr>
      <w:r w:rsidRPr="00F55281">
        <w:rPr>
          <w:rFonts w:ascii="Arial" w:hAnsi="Arial" w:cs="Arial"/>
        </w:rPr>
        <w:t xml:space="preserve">Pears, R. and Shields, G. (2025) </w:t>
      </w:r>
      <w:r w:rsidRPr="00F55281">
        <w:rPr>
          <w:rFonts w:ascii="Arial" w:hAnsi="Arial" w:cs="Arial"/>
          <w:i/>
          <w:iCs/>
        </w:rPr>
        <w:t>Cite Them Right: The Essential Referencing Guide</w:t>
      </w:r>
      <w:r w:rsidRPr="00F55281">
        <w:rPr>
          <w:rFonts w:ascii="Arial" w:hAnsi="Arial" w:cs="Arial"/>
        </w:rPr>
        <w:t>. 13</w:t>
      </w:r>
      <w:proofErr w:type="gramStart"/>
      <w:r w:rsidRPr="00F55281">
        <w:rPr>
          <w:rFonts w:ascii="Arial" w:hAnsi="Arial" w:cs="Arial"/>
          <w:vertAlign w:val="superscript"/>
        </w:rPr>
        <w:t>th</w:t>
      </w:r>
      <w:r>
        <w:rPr>
          <w:rFonts w:ascii="Arial" w:hAnsi="Arial" w:cs="Arial"/>
        </w:rPr>
        <w:t xml:space="preserve"> </w:t>
      </w:r>
      <w:r w:rsidRPr="00F55281">
        <w:rPr>
          <w:rFonts w:ascii="Arial" w:hAnsi="Arial" w:cs="Arial"/>
        </w:rPr>
        <w:t xml:space="preserve"> </w:t>
      </w:r>
      <w:proofErr w:type="spellStart"/>
      <w:r w:rsidRPr="00F55281">
        <w:rPr>
          <w:rFonts w:ascii="Arial" w:hAnsi="Arial" w:cs="Arial"/>
        </w:rPr>
        <w:t>edn</w:t>
      </w:r>
      <w:proofErr w:type="spellEnd"/>
      <w:proofErr w:type="gramEnd"/>
      <w:r w:rsidRPr="00F55281">
        <w:rPr>
          <w:rFonts w:ascii="Arial" w:hAnsi="Arial" w:cs="Arial"/>
        </w:rPr>
        <w:t>. London: Bloomsbury Academic.</w:t>
      </w:r>
    </w:p>
    <w:p w14:paraId="2461B899" w14:textId="77777777" w:rsidR="00F55281" w:rsidRDefault="00F55281" w:rsidP="00F55281">
      <w:pPr>
        <w:rPr>
          <w:rFonts w:ascii="Arial" w:hAnsi="Arial" w:cs="Arial"/>
        </w:rPr>
      </w:pPr>
      <w:r w:rsidRPr="00F55281">
        <w:rPr>
          <w:rFonts w:ascii="Arial" w:hAnsi="Arial" w:cs="Arial"/>
        </w:rPr>
        <w:t xml:space="preserve">Selwyn, N. (2021) </w:t>
      </w:r>
      <w:r w:rsidRPr="00F55281">
        <w:rPr>
          <w:rFonts w:ascii="Arial" w:hAnsi="Arial" w:cs="Arial"/>
          <w:i/>
          <w:iCs/>
        </w:rPr>
        <w:t>Education and Technology: Key Issues and Debates</w:t>
      </w:r>
      <w:r w:rsidRPr="00F55281">
        <w:rPr>
          <w:rFonts w:ascii="Arial" w:hAnsi="Arial" w:cs="Arial"/>
        </w:rPr>
        <w:t>. 3</w:t>
      </w:r>
      <w:r w:rsidRPr="00F55281">
        <w:rPr>
          <w:rFonts w:ascii="Arial" w:hAnsi="Arial" w:cs="Arial"/>
          <w:vertAlign w:val="superscript"/>
        </w:rPr>
        <w:t>rd</w:t>
      </w:r>
    </w:p>
    <w:p w14:paraId="04E71181" w14:textId="2FC49A57" w:rsidR="00F55281" w:rsidRPr="00F55281" w:rsidRDefault="00F55281" w:rsidP="00F55281">
      <w:pPr>
        <w:rPr>
          <w:rFonts w:ascii="Arial" w:hAnsi="Arial" w:cs="Arial"/>
        </w:rPr>
      </w:pPr>
      <w:r w:rsidRPr="00F55281">
        <w:rPr>
          <w:rFonts w:ascii="Arial" w:hAnsi="Arial" w:cs="Arial"/>
        </w:rPr>
        <w:t xml:space="preserve"> </w:t>
      </w:r>
      <w:proofErr w:type="spellStart"/>
      <w:r w:rsidRPr="00F55281">
        <w:rPr>
          <w:rFonts w:ascii="Arial" w:hAnsi="Arial" w:cs="Arial"/>
        </w:rPr>
        <w:t>edn</w:t>
      </w:r>
      <w:proofErr w:type="spellEnd"/>
      <w:r w:rsidRPr="00F55281">
        <w:rPr>
          <w:rFonts w:ascii="Arial" w:hAnsi="Arial" w:cs="Arial"/>
        </w:rPr>
        <w:t>. London: Bloomsbury Academic.</w:t>
      </w:r>
    </w:p>
    <w:p w14:paraId="2F973185" w14:textId="1C87CC99" w:rsidR="00F55281" w:rsidRPr="00F55281" w:rsidRDefault="00F55281" w:rsidP="00F55281">
      <w:pPr>
        <w:rPr>
          <w:rFonts w:ascii="Arial" w:hAnsi="Arial" w:cs="Arial"/>
        </w:rPr>
      </w:pPr>
      <w:r w:rsidRPr="00F55281">
        <w:rPr>
          <w:rFonts w:ascii="Arial" w:hAnsi="Arial" w:cs="Arial"/>
        </w:rPr>
        <w:t>Sharpe, R., Bennett, S. and Varga-Atkins, T.</w:t>
      </w:r>
      <w:r>
        <w:rPr>
          <w:rFonts w:ascii="Arial" w:hAnsi="Arial" w:cs="Arial"/>
        </w:rPr>
        <w:t xml:space="preserve"> </w:t>
      </w:r>
      <w:r w:rsidRPr="00F55281">
        <w:rPr>
          <w:rFonts w:ascii="Arial" w:hAnsi="Arial" w:cs="Arial"/>
        </w:rPr>
        <w:t xml:space="preserve">(2022) </w:t>
      </w:r>
      <w:r w:rsidRPr="00F55281">
        <w:rPr>
          <w:rFonts w:ascii="Arial" w:hAnsi="Arial" w:cs="Arial"/>
          <w:i/>
          <w:iCs/>
        </w:rPr>
        <w:t>Handbook of Digital Higher Education</w:t>
      </w:r>
      <w:r w:rsidRPr="00F55281">
        <w:rPr>
          <w:rFonts w:ascii="Arial" w:hAnsi="Arial" w:cs="Arial"/>
        </w:rPr>
        <w:t>. Cheltenham: Edward Elgar Publishing.</w:t>
      </w:r>
    </w:p>
    <w:p w14:paraId="565382DF" w14:textId="7B5A8D75" w:rsidR="00F55281" w:rsidRPr="00F55281" w:rsidRDefault="00F55281" w:rsidP="00F55281">
      <w:pPr>
        <w:rPr>
          <w:rFonts w:ascii="Arial" w:hAnsi="Arial" w:cs="Arial"/>
        </w:rPr>
      </w:pPr>
      <w:r w:rsidRPr="00F55281">
        <w:rPr>
          <w:rFonts w:ascii="Arial" w:hAnsi="Arial" w:cs="Arial"/>
        </w:rPr>
        <w:t xml:space="preserve">Smith, E.R., Hodgkin, K. and Young, N. (2022) ‘Student transitions to university in Wales: a mixed-method study of the enablers and barriers of first-year engagement’, </w:t>
      </w:r>
      <w:r w:rsidRPr="00F55281">
        <w:rPr>
          <w:rFonts w:ascii="Arial" w:hAnsi="Arial" w:cs="Arial"/>
          <w:i/>
          <w:iCs/>
        </w:rPr>
        <w:t>International Journal of Educational Research Open</w:t>
      </w:r>
      <w:r w:rsidRPr="00F55281">
        <w:rPr>
          <w:rFonts w:ascii="Arial" w:hAnsi="Arial" w:cs="Arial"/>
        </w:rPr>
        <w:t xml:space="preserve">, 3, 100216. Available at: </w:t>
      </w:r>
      <w:hyperlink r:id="rId11" w:history="1">
        <w:r w:rsidRPr="00F55281">
          <w:rPr>
            <w:rStyle w:val="Hyperlink"/>
            <w:rFonts w:ascii="Arial" w:hAnsi="Arial" w:cs="Arial"/>
          </w:rPr>
          <w:t>https://doi.org/10.1016/j.ijedro.2022.100216</w:t>
        </w:r>
      </w:hyperlink>
      <w:r>
        <w:rPr>
          <w:rFonts w:ascii="Arial" w:hAnsi="Arial" w:cs="Arial"/>
        </w:rPr>
        <w:t xml:space="preserve">. </w:t>
      </w:r>
      <w:r>
        <w:rPr>
          <w:rFonts w:ascii="Arial" w:hAnsi="Arial" w:cs="Arial"/>
        </w:rPr>
        <w:t xml:space="preserve">(Accessed </w:t>
      </w:r>
      <w:r>
        <w:rPr>
          <w:rFonts w:ascii="Arial" w:hAnsi="Arial" w:cs="Arial"/>
        </w:rPr>
        <w:t>18</w:t>
      </w:r>
      <w:r>
        <w:rPr>
          <w:rFonts w:ascii="Arial" w:hAnsi="Arial" w:cs="Arial"/>
        </w:rPr>
        <w:t xml:space="preserve"> March 2026).</w:t>
      </w:r>
    </w:p>
    <w:p w14:paraId="5CD090C2" w14:textId="4E7A72CC" w:rsidR="00F55281" w:rsidRPr="00F55281" w:rsidRDefault="00F55281" w:rsidP="00F55281">
      <w:pPr>
        <w:rPr>
          <w:rFonts w:ascii="Arial" w:hAnsi="Arial" w:cs="Arial"/>
        </w:rPr>
      </w:pPr>
      <w:r w:rsidRPr="00F55281">
        <w:rPr>
          <w:rFonts w:ascii="Arial" w:hAnsi="Arial" w:cs="Arial"/>
        </w:rPr>
        <w:t xml:space="preserve">Sweeney, D.M. (2024) ‘Students’ experiences of educational technology use to facilitate university learning: factors influencing their mediation of learning’, </w:t>
      </w:r>
      <w:r w:rsidRPr="00F55281">
        <w:rPr>
          <w:rFonts w:ascii="Arial" w:hAnsi="Arial" w:cs="Arial"/>
          <w:i/>
          <w:iCs/>
        </w:rPr>
        <w:t>Research in Learning Technology</w:t>
      </w:r>
      <w:r w:rsidRPr="00F55281">
        <w:rPr>
          <w:rFonts w:ascii="Arial" w:hAnsi="Arial" w:cs="Arial"/>
        </w:rPr>
        <w:t xml:space="preserve">, 32. Available at: </w:t>
      </w:r>
      <w:hyperlink r:id="rId12" w:history="1">
        <w:r w:rsidRPr="00F55281">
          <w:rPr>
            <w:rStyle w:val="Hyperlink"/>
            <w:rFonts w:ascii="Arial" w:hAnsi="Arial" w:cs="Arial"/>
          </w:rPr>
          <w:t>https://doi.org/10.25304/rlt.v32.3193</w:t>
        </w:r>
      </w:hyperlink>
      <w:r>
        <w:rPr>
          <w:rFonts w:ascii="Arial" w:hAnsi="Arial" w:cs="Arial"/>
        </w:rPr>
        <w:t xml:space="preserve">. </w:t>
      </w:r>
      <w:r>
        <w:rPr>
          <w:rFonts w:ascii="Arial" w:hAnsi="Arial" w:cs="Arial"/>
        </w:rPr>
        <w:t xml:space="preserve">(Accessed </w:t>
      </w:r>
      <w:r>
        <w:rPr>
          <w:rFonts w:ascii="Arial" w:hAnsi="Arial" w:cs="Arial"/>
        </w:rPr>
        <w:t>18</w:t>
      </w:r>
      <w:r>
        <w:rPr>
          <w:rFonts w:ascii="Arial" w:hAnsi="Arial" w:cs="Arial"/>
        </w:rPr>
        <w:t xml:space="preserve"> March 2026).</w:t>
      </w:r>
    </w:p>
    <w:p w14:paraId="484E43F5" w14:textId="25C8E781" w:rsidR="00F55281" w:rsidRPr="00F55281" w:rsidRDefault="00F55281" w:rsidP="00F55281">
      <w:pPr>
        <w:rPr>
          <w:rFonts w:ascii="Arial" w:hAnsi="Arial" w:cs="Arial"/>
        </w:rPr>
      </w:pPr>
      <w:r w:rsidRPr="00F55281">
        <w:rPr>
          <w:rFonts w:ascii="Arial" w:hAnsi="Arial" w:cs="Arial"/>
        </w:rPr>
        <w:t xml:space="preserve">Timmis, M.A., Humphrey, K., Strongman, C., Scruton, A., </w:t>
      </w:r>
      <w:proofErr w:type="spellStart"/>
      <w:r w:rsidRPr="00F55281">
        <w:rPr>
          <w:rFonts w:ascii="Arial" w:hAnsi="Arial" w:cs="Arial"/>
        </w:rPr>
        <w:t>Winnard</w:t>
      </w:r>
      <w:proofErr w:type="spellEnd"/>
      <w:r w:rsidRPr="00F55281">
        <w:rPr>
          <w:rFonts w:ascii="Arial" w:hAnsi="Arial" w:cs="Arial"/>
        </w:rPr>
        <w:t xml:space="preserve">, Y. and </w:t>
      </w:r>
      <w:proofErr w:type="spellStart"/>
      <w:r w:rsidRPr="00F55281">
        <w:rPr>
          <w:rFonts w:ascii="Arial" w:hAnsi="Arial" w:cs="Arial"/>
        </w:rPr>
        <w:t>Cavallerio</w:t>
      </w:r>
      <w:proofErr w:type="spellEnd"/>
      <w:r w:rsidRPr="00F55281">
        <w:rPr>
          <w:rFonts w:ascii="Arial" w:hAnsi="Arial" w:cs="Arial"/>
        </w:rPr>
        <w:t xml:space="preserve">, F. (2024) ‘“You’ve already, kind of, got the wheels moving a little bit”; students’ value of pre-arrival support in transitioning into higher education’, </w:t>
      </w:r>
      <w:r w:rsidRPr="00F55281">
        <w:rPr>
          <w:rFonts w:ascii="Arial" w:hAnsi="Arial" w:cs="Arial"/>
          <w:i/>
          <w:iCs/>
        </w:rPr>
        <w:t>Journal of Hospitality, Leisure, Sport and Tourism Education</w:t>
      </w:r>
      <w:r w:rsidRPr="00F55281">
        <w:rPr>
          <w:rFonts w:ascii="Arial" w:hAnsi="Arial" w:cs="Arial"/>
        </w:rPr>
        <w:t xml:space="preserve">, 35, 100521. Available at: </w:t>
      </w:r>
      <w:hyperlink r:id="rId13" w:history="1">
        <w:r w:rsidRPr="00F55281">
          <w:rPr>
            <w:rStyle w:val="Hyperlink"/>
            <w:rFonts w:ascii="Arial" w:hAnsi="Arial" w:cs="Arial"/>
          </w:rPr>
          <w:t>https://doi.org/10.1016/j.jhlste.2024.100521</w:t>
        </w:r>
      </w:hyperlink>
      <w:r>
        <w:rPr>
          <w:rFonts w:ascii="Arial" w:hAnsi="Arial" w:cs="Arial"/>
        </w:rPr>
        <w:t xml:space="preserve"> </w:t>
      </w:r>
      <w:r>
        <w:rPr>
          <w:rFonts w:ascii="Arial" w:hAnsi="Arial" w:cs="Arial"/>
        </w:rPr>
        <w:t>(Accessed 21 March 2026).</w:t>
      </w:r>
    </w:p>
    <w:p w14:paraId="43625224" w14:textId="77777777" w:rsidR="00370A7D" w:rsidRPr="00F55281" w:rsidRDefault="00370A7D">
      <w:pPr>
        <w:rPr>
          <w:rFonts w:ascii="Arial" w:hAnsi="Arial" w:cs="Arial"/>
        </w:rPr>
      </w:pPr>
    </w:p>
    <w:sectPr w:rsidR="00370A7D" w:rsidRPr="00F55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A7D"/>
    <w:rsid w:val="00370A7D"/>
    <w:rsid w:val="009930C0"/>
    <w:rsid w:val="00BF2631"/>
    <w:rsid w:val="00F55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7984A"/>
  <w15:chartTrackingRefBased/>
  <w15:docId w15:val="{71153C56-806C-458C-B320-976321D5B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A7D"/>
    <w:rPr>
      <w:rFonts w:eastAsiaTheme="majorEastAsia" w:cstheme="majorBidi"/>
      <w:color w:val="272727" w:themeColor="text1" w:themeTint="D8"/>
    </w:rPr>
  </w:style>
  <w:style w:type="paragraph" w:styleId="Title">
    <w:name w:val="Title"/>
    <w:basedOn w:val="Normal"/>
    <w:next w:val="Normal"/>
    <w:link w:val="TitleChar"/>
    <w:uiPriority w:val="10"/>
    <w:qFormat/>
    <w:rsid w:val="00370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A7D"/>
    <w:pPr>
      <w:spacing w:before="160"/>
      <w:jc w:val="center"/>
    </w:pPr>
    <w:rPr>
      <w:i/>
      <w:iCs/>
      <w:color w:val="404040" w:themeColor="text1" w:themeTint="BF"/>
    </w:rPr>
  </w:style>
  <w:style w:type="character" w:customStyle="1" w:styleId="QuoteChar">
    <w:name w:val="Quote Char"/>
    <w:basedOn w:val="DefaultParagraphFont"/>
    <w:link w:val="Quote"/>
    <w:uiPriority w:val="29"/>
    <w:rsid w:val="00370A7D"/>
    <w:rPr>
      <w:i/>
      <w:iCs/>
      <w:color w:val="404040" w:themeColor="text1" w:themeTint="BF"/>
    </w:rPr>
  </w:style>
  <w:style w:type="paragraph" w:styleId="ListParagraph">
    <w:name w:val="List Paragraph"/>
    <w:basedOn w:val="Normal"/>
    <w:uiPriority w:val="34"/>
    <w:qFormat/>
    <w:rsid w:val="00370A7D"/>
    <w:pPr>
      <w:ind w:left="720"/>
      <w:contextualSpacing/>
    </w:pPr>
  </w:style>
  <w:style w:type="character" w:styleId="IntenseEmphasis">
    <w:name w:val="Intense Emphasis"/>
    <w:basedOn w:val="DefaultParagraphFont"/>
    <w:uiPriority w:val="21"/>
    <w:qFormat/>
    <w:rsid w:val="00370A7D"/>
    <w:rPr>
      <w:i/>
      <w:iCs/>
      <w:color w:val="0F4761" w:themeColor="accent1" w:themeShade="BF"/>
    </w:rPr>
  </w:style>
  <w:style w:type="paragraph" w:styleId="IntenseQuote">
    <w:name w:val="Intense Quote"/>
    <w:basedOn w:val="Normal"/>
    <w:next w:val="Normal"/>
    <w:link w:val="IntenseQuoteChar"/>
    <w:uiPriority w:val="30"/>
    <w:qFormat/>
    <w:rsid w:val="00370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A7D"/>
    <w:rPr>
      <w:i/>
      <w:iCs/>
      <w:color w:val="0F4761" w:themeColor="accent1" w:themeShade="BF"/>
    </w:rPr>
  </w:style>
  <w:style w:type="character" w:styleId="IntenseReference">
    <w:name w:val="Intense Reference"/>
    <w:basedOn w:val="DefaultParagraphFont"/>
    <w:uiPriority w:val="32"/>
    <w:qFormat/>
    <w:rsid w:val="00370A7D"/>
    <w:rPr>
      <w:b/>
      <w:bCs/>
      <w:smallCaps/>
      <w:color w:val="0F4761" w:themeColor="accent1" w:themeShade="BF"/>
      <w:spacing w:val="5"/>
    </w:rPr>
  </w:style>
  <w:style w:type="character" w:styleId="Hyperlink">
    <w:name w:val="Hyperlink"/>
    <w:basedOn w:val="DefaultParagraphFont"/>
    <w:uiPriority w:val="99"/>
    <w:unhideWhenUsed/>
    <w:rsid w:val="00F55281"/>
    <w:rPr>
      <w:color w:val="467886" w:themeColor="hyperlink"/>
      <w:u w:val="single"/>
    </w:rPr>
  </w:style>
  <w:style w:type="character" w:styleId="UnresolvedMention">
    <w:name w:val="Unresolved Mention"/>
    <w:basedOn w:val="DefaultParagraphFont"/>
    <w:uiPriority w:val="99"/>
    <w:semiHidden/>
    <w:unhideWhenUsed/>
    <w:rsid w:val="00F552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apability.jisc.ac.uk/what-is-digital-capability/individual-digital-capabilities/?utm_source=chatgpt.com" TargetMode="External"/><Relationship Id="rId13" Type="http://schemas.openxmlformats.org/officeDocument/2006/relationships/hyperlink" Target="https://doi.org/10.1016/j.jhlste.2024.100521" TargetMode="External"/><Relationship Id="rId3" Type="http://schemas.openxmlformats.org/officeDocument/2006/relationships/webSettings" Target="webSettings.xml"/><Relationship Id="rId7" Type="http://schemas.openxmlformats.org/officeDocument/2006/relationships/hyperlink" Target="https://doi.org/10.1080/02601370.2023.2297671" TargetMode="External"/><Relationship Id="rId12" Type="http://schemas.openxmlformats.org/officeDocument/2006/relationships/hyperlink" Target="https://doi.org/10.25304/rlt.v32.319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3043797.2023.2185501" TargetMode="External"/><Relationship Id="rId11" Type="http://schemas.openxmlformats.org/officeDocument/2006/relationships/hyperlink" Target="https://doi.org/10.1016/j.ijedro.2022.100216" TargetMode="External"/><Relationship Id="rId5" Type="http://schemas.openxmlformats.org/officeDocument/2006/relationships/hyperlink" Target="https://doi.org/10.47408/jldhe.vi32.1408" TargetMode="External"/><Relationship Id="rId15" Type="http://schemas.openxmlformats.org/officeDocument/2006/relationships/theme" Target="theme/theme1.xml"/><Relationship Id="rId10" Type="http://schemas.openxmlformats.org/officeDocument/2006/relationships/hyperlink" Target="https://www.officeforstudents.org.uk/publications/evaluation-of-national-data-skills-pilots-final-report/?utm_source=chatgpt.com" TargetMode="External"/><Relationship Id="rId4" Type="http://schemas.openxmlformats.org/officeDocument/2006/relationships/hyperlink" Target="https://doi.org/10.47408/jldhe.vi30.1061" TargetMode="External"/><Relationship Id="rId9" Type="http://schemas.openxmlformats.org/officeDocument/2006/relationships/hyperlink" Target="https://doi.org/10.1080/0309877X.2023.220805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2229</Words>
  <Characters>12374</Characters>
  <Application>Microsoft Office Word</Application>
  <DocSecurity>0</DocSecurity>
  <Lines>196</Lines>
  <Paragraphs>45</Paragraphs>
  <ScaleCrop>false</ScaleCrop>
  <Company/>
  <LinksUpToDate>false</LinksUpToDate>
  <CharactersWithSpaces>14558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Cojocaru (2207413)</dc:creator>
  <cp:keywords/>
  <dc:description/>
  <cp:lastModifiedBy>Paul Cojocaru (2207413)</cp:lastModifiedBy>
  <cp:revision>3</cp:revision>
  <dcterms:created xsi:type="dcterms:W3CDTF">2026-03-26T06:15:00Z</dcterms:created>
  <dcterms:modified xsi:type="dcterms:W3CDTF">2026-03-26T06:20:00Z</dcterms:modified>
</cp:coreProperties>
</file>