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AD887" w14:textId="3BA11B4A" w:rsidR="00114797" w:rsidRPr="00114797" w:rsidRDefault="00114797" w:rsidP="00114797"/>
    <w:p w14:paraId="540191D4" w14:textId="6985E84B" w:rsidR="00114797" w:rsidRPr="00114797" w:rsidRDefault="00114797" w:rsidP="00114797">
      <w:pPr>
        <w:rPr>
          <w:b/>
          <w:bCs/>
        </w:rPr>
      </w:pPr>
      <w:r w:rsidRPr="00114797">
        <w:rPr>
          <w:noProof/>
          <w:lang w:val="en-US"/>
        </w:rPr>
        <w:drawing>
          <wp:inline distT="0" distB="0" distL="0" distR="0" wp14:anchorId="512D80CD" wp14:editId="59B32677">
            <wp:extent cx="2865120" cy="1584960"/>
            <wp:effectExtent l="0" t="0" r="0" b="0"/>
            <wp:docPr id="2018712185" name="Picture 2"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logo with black 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65120" cy="1584960"/>
                    </a:xfrm>
                    <a:prstGeom prst="rect">
                      <a:avLst/>
                    </a:prstGeom>
                    <a:noFill/>
                    <a:ln>
                      <a:noFill/>
                    </a:ln>
                  </pic:spPr>
                </pic:pic>
              </a:graphicData>
            </a:graphic>
          </wp:inline>
        </w:drawing>
      </w:r>
    </w:p>
    <w:p w14:paraId="5B44433D" w14:textId="77777777" w:rsidR="00114797" w:rsidRPr="00114797" w:rsidRDefault="00114797" w:rsidP="00114797">
      <w:pPr>
        <w:rPr>
          <w:b/>
          <w:bCs/>
        </w:rPr>
      </w:pPr>
    </w:p>
    <w:p w14:paraId="64D4511A" w14:textId="77777777" w:rsidR="00114797" w:rsidRPr="00114797" w:rsidRDefault="00114797" w:rsidP="00114797">
      <w:pPr>
        <w:rPr>
          <w:b/>
          <w:bCs/>
        </w:rPr>
      </w:pPr>
    </w:p>
    <w:p w14:paraId="40383966" w14:textId="77777777" w:rsidR="00114797" w:rsidRPr="00114797" w:rsidRDefault="00114797" w:rsidP="00114797">
      <w:pPr>
        <w:rPr>
          <w:b/>
          <w:bCs/>
        </w:rPr>
      </w:pPr>
    </w:p>
    <w:p w14:paraId="47FEC78F" w14:textId="77777777" w:rsidR="00114797" w:rsidRPr="00114797" w:rsidRDefault="00114797" w:rsidP="00114797">
      <w:pPr>
        <w:rPr>
          <w:b/>
          <w:bCs/>
        </w:rPr>
      </w:pPr>
    </w:p>
    <w:p w14:paraId="143A9A0F" w14:textId="77777777" w:rsidR="00114797" w:rsidRPr="00114797" w:rsidRDefault="00114797" w:rsidP="00114797">
      <w:pPr>
        <w:rPr>
          <w:rFonts w:ascii="Arial" w:hAnsi="Arial" w:cs="Arial"/>
          <w:sz w:val="24"/>
          <w:szCs w:val="24"/>
        </w:rPr>
      </w:pPr>
      <w:r w:rsidRPr="00114797">
        <w:rPr>
          <w:rFonts w:ascii="Arial" w:hAnsi="Arial" w:cs="Arial"/>
          <w:b/>
          <w:bCs/>
          <w:sz w:val="24"/>
          <w:szCs w:val="24"/>
        </w:rPr>
        <w:t xml:space="preserve">Student Name: </w:t>
      </w:r>
      <w:r w:rsidRPr="00114797">
        <w:rPr>
          <w:rFonts w:ascii="Arial" w:hAnsi="Arial" w:cs="Arial"/>
          <w:sz w:val="24"/>
          <w:szCs w:val="24"/>
        </w:rPr>
        <w:t>Mihai-Daniel Mihalcea</w:t>
      </w:r>
    </w:p>
    <w:p w14:paraId="2734F483" w14:textId="77777777" w:rsidR="00114797" w:rsidRPr="00114797" w:rsidRDefault="00114797" w:rsidP="00114797">
      <w:pPr>
        <w:rPr>
          <w:rFonts w:ascii="Arial" w:hAnsi="Arial" w:cs="Arial"/>
          <w:sz w:val="24"/>
          <w:szCs w:val="24"/>
        </w:rPr>
      </w:pPr>
      <w:r w:rsidRPr="00114797">
        <w:rPr>
          <w:rFonts w:ascii="Arial" w:hAnsi="Arial" w:cs="Arial"/>
          <w:b/>
          <w:bCs/>
          <w:sz w:val="24"/>
          <w:szCs w:val="24"/>
        </w:rPr>
        <w:t xml:space="preserve">Student ID: </w:t>
      </w:r>
      <w:r w:rsidRPr="00114797">
        <w:rPr>
          <w:rFonts w:ascii="Arial" w:hAnsi="Arial" w:cs="Arial"/>
          <w:sz w:val="24"/>
          <w:szCs w:val="24"/>
        </w:rPr>
        <w:t>2244870</w:t>
      </w:r>
    </w:p>
    <w:p w14:paraId="35950EDF" w14:textId="77777777" w:rsidR="00114797" w:rsidRPr="00114797" w:rsidRDefault="00114797" w:rsidP="00114797">
      <w:pPr>
        <w:rPr>
          <w:rFonts w:ascii="Arial" w:hAnsi="Arial" w:cs="Arial"/>
          <w:sz w:val="24"/>
          <w:szCs w:val="24"/>
        </w:rPr>
      </w:pPr>
      <w:r w:rsidRPr="00114797">
        <w:rPr>
          <w:rFonts w:ascii="Arial" w:hAnsi="Arial" w:cs="Arial"/>
          <w:b/>
          <w:bCs/>
          <w:sz w:val="24"/>
          <w:szCs w:val="24"/>
        </w:rPr>
        <w:t xml:space="preserve">Module: </w:t>
      </w:r>
      <w:r w:rsidRPr="00114797">
        <w:rPr>
          <w:rFonts w:ascii="Arial" w:hAnsi="Arial" w:cs="Arial"/>
          <w:sz w:val="24"/>
          <w:szCs w:val="24"/>
        </w:rPr>
        <w:t>Sustainable Hospitality &amp; Tourism Management (BMIH5006)</w:t>
      </w:r>
    </w:p>
    <w:p w14:paraId="32684D37" w14:textId="5D123DE5" w:rsidR="00114797" w:rsidRPr="00114797" w:rsidRDefault="00114797" w:rsidP="00114797">
      <w:pPr>
        <w:rPr>
          <w:rFonts w:ascii="Arial" w:hAnsi="Arial" w:cs="Arial"/>
          <w:sz w:val="24"/>
          <w:szCs w:val="24"/>
        </w:rPr>
      </w:pPr>
      <w:r w:rsidRPr="00114797">
        <w:rPr>
          <w:rFonts w:ascii="Arial" w:hAnsi="Arial" w:cs="Arial"/>
          <w:b/>
          <w:bCs/>
          <w:sz w:val="24"/>
          <w:szCs w:val="24"/>
        </w:rPr>
        <w:t xml:space="preserve">Word count: </w:t>
      </w:r>
      <w:r w:rsidRPr="00114797">
        <w:rPr>
          <w:rFonts w:ascii="Arial" w:hAnsi="Arial" w:cs="Arial"/>
          <w:sz w:val="24"/>
          <w:szCs w:val="24"/>
        </w:rPr>
        <w:t>2</w:t>
      </w:r>
      <w:r w:rsidR="00A52DA7">
        <w:rPr>
          <w:rFonts w:ascii="Arial" w:hAnsi="Arial" w:cs="Arial"/>
          <w:sz w:val="24"/>
          <w:szCs w:val="24"/>
        </w:rPr>
        <w:t>198</w:t>
      </w:r>
    </w:p>
    <w:p w14:paraId="66670667" w14:textId="01F21835" w:rsidR="00114797" w:rsidRDefault="00114797" w:rsidP="00114797">
      <w:pPr>
        <w:rPr>
          <w:rFonts w:ascii="Arial" w:hAnsi="Arial" w:cs="Arial"/>
          <w:sz w:val="24"/>
          <w:szCs w:val="24"/>
        </w:rPr>
      </w:pPr>
      <w:r w:rsidRPr="00114797">
        <w:rPr>
          <w:rFonts w:ascii="Arial" w:hAnsi="Arial" w:cs="Arial"/>
          <w:b/>
          <w:bCs/>
          <w:sz w:val="24"/>
          <w:szCs w:val="24"/>
        </w:rPr>
        <w:t xml:space="preserve">Tutor: </w:t>
      </w:r>
      <w:r w:rsidR="004F4C3B">
        <w:rPr>
          <w:rFonts w:ascii="Arial" w:hAnsi="Arial" w:cs="Arial"/>
          <w:sz w:val="24"/>
          <w:szCs w:val="24"/>
        </w:rPr>
        <w:t>Daniel Payne</w:t>
      </w:r>
    </w:p>
    <w:p w14:paraId="774079BE" w14:textId="2A218D2F" w:rsidR="00D51122" w:rsidRPr="00D51122" w:rsidRDefault="00D51122" w:rsidP="00114797">
      <w:pPr>
        <w:rPr>
          <w:rFonts w:ascii="Arial" w:hAnsi="Arial" w:cs="Arial"/>
          <w:sz w:val="24"/>
          <w:szCs w:val="24"/>
        </w:rPr>
      </w:pPr>
      <w:r w:rsidRPr="00D51122">
        <w:rPr>
          <w:rFonts w:ascii="Arial" w:hAnsi="Arial" w:cs="Arial"/>
          <w:b/>
          <w:bCs/>
          <w:sz w:val="24"/>
          <w:szCs w:val="24"/>
        </w:rPr>
        <w:t>Module Lead:</w:t>
      </w:r>
      <w:r>
        <w:rPr>
          <w:rFonts w:ascii="Arial" w:hAnsi="Arial" w:cs="Arial"/>
          <w:b/>
          <w:bCs/>
          <w:sz w:val="24"/>
          <w:szCs w:val="24"/>
        </w:rPr>
        <w:t xml:space="preserve"> </w:t>
      </w:r>
      <w:r>
        <w:rPr>
          <w:rFonts w:ascii="Arial" w:hAnsi="Arial" w:cs="Arial"/>
          <w:sz w:val="24"/>
          <w:szCs w:val="24"/>
        </w:rPr>
        <w:t>Lisa Knight</w:t>
      </w:r>
    </w:p>
    <w:p w14:paraId="196D8BF1" w14:textId="77777777" w:rsidR="00114797" w:rsidRPr="00114797" w:rsidRDefault="00114797" w:rsidP="00114797"/>
    <w:p w14:paraId="1A9E4CF5" w14:textId="77777777" w:rsidR="00114797" w:rsidRPr="00114797" w:rsidRDefault="00114797" w:rsidP="00114797"/>
    <w:p w14:paraId="45FB1384" w14:textId="77777777" w:rsidR="00114797" w:rsidRPr="00114797" w:rsidRDefault="00114797" w:rsidP="00114797"/>
    <w:p w14:paraId="4C2897DA" w14:textId="77777777" w:rsidR="00114797" w:rsidRPr="00114797" w:rsidRDefault="00114797" w:rsidP="00114797"/>
    <w:p w14:paraId="4C566B6C" w14:textId="77777777" w:rsidR="00114797" w:rsidRPr="00114797" w:rsidRDefault="00114797" w:rsidP="00114797"/>
    <w:p w14:paraId="2A63F749" w14:textId="77777777" w:rsidR="00114797" w:rsidRPr="00114797" w:rsidRDefault="00114797" w:rsidP="00114797"/>
    <w:p w14:paraId="58127852" w14:textId="77777777" w:rsidR="00114797" w:rsidRPr="00114797" w:rsidRDefault="00114797" w:rsidP="00114797"/>
    <w:p w14:paraId="579EC298" w14:textId="77777777" w:rsidR="00114797" w:rsidRPr="00114797" w:rsidRDefault="00114797" w:rsidP="00114797">
      <w:r w:rsidRPr="00114797">
        <w:br w:type="page"/>
      </w:r>
    </w:p>
    <w:p w14:paraId="009C3523" w14:textId="77777777" w:rsidR="00114797" w:rsidRPr="00114797" w:rsidRDefault="00114797" w:rsidP="00114797">
      <w:pPr>
        <w:rPr>
          <w:b/>
        </w:rPr>
      </w:pPr>
      <w:r w:rsidRPr="00114797">
        <w:rPr>
          <w:rFonts w:ascii="Arial" w:hAnsi="Arial" w:cs="Arial"/>
          <w:b/>
          <w:sz w:val="24"/>
          <w:szCs w:val="24"/>
        </w:rPr>
        <w:lastRenderedPageBreak/>
        <w:t>Al Acknowledgement</w:t>
      </w:r>
      <w:r w:rsidRPr="00114797">
        <w:rPr>
          <w:b/>
        </w:rPr>
        <w:t>:</w:t>
      </w:r>
    </w:p>
    <w:p w14:paraId="7C3ADE9D" w14:textId="5868E4B2" w:rsidR="0044017C" w:rsidRDefault="0044017C" w:rsidP="0044017C">
      <w:pPr>
        <w:spacing w:line="360" w:lineRule="auto"/>
        <w:jc w:val="both"/>
        <w:rPr>
          <w:rFonts w:ascii="Arial" w:hAnsi="Arial" w:cs="Arial"/>
          <w:sz w:val="24"/>
          <w:szCs w:val="24"/>
        </w:rPr>
      </w:pPr>
      <w:r w:rsidRPr="0044017C">
        <w:rPr>
          <w:rFonts w:ascii="Arial" w:hAnsi="Arial" w:cs="Arial"/>
          <w:sz w:val="24"/>
          <w:szCs w:val="24"/>
        </w:rPr>
        <w:t xml:space="preserve">I acknowledge the use of </w:t>
      </w:r>
      <w:r>
        <w:rPr>
          <w:rFonts w:ascii="Arial" w:hAnsi="Arial" w:cs="Arial"/>
          <w:sz w:val="24"/>
          <w:szCs w:val="24"/>
        </w:rPr>
        <w:t>Copilot</w:t>
      </w:r>
      <w:r w:rsidRPr="0044017C">
        <w:rPr>
          <w:rFonts w:ascii="Arial" w:hAnsi="Arial" w:cs="Arial"/>
          <w:sz w:val="24"/>
          <w:szCs w:val="24"/>
        </w:rPr>
        <w:t xml:space="preserve"> (https://copilot.microsoft.com/) on </w:t>
      </w:r>
      <w:r w:rsidR="00913DC9">
        <w:rPr>
          <w:rFonts w:ascii="Arial" w:hAnsi="Arial" w:cs="Arial"/>
          <w:sz w:val="24"/>
          <w:szCs w:val="24"/>
        </w:rPr>
        <w:t>7</w:t>
      </w:r>
      <w:r w:rsidRPr="0044017C">
        <w:rPr>
          <w:rFonts w:ascii="Arial" w:hAnsi="Arial" w:cs="Arial"/>
          <w:sz w:val="24"/>
          <w:szCs w:val="24"/>
        </w:rPr>
        <w:t xml:space="preserve"> February 202</w:t>
      </w:r>
      <w:r>
        <w:rPr>
          <w:rFonts w:ascii="Arial" w:hAnsi="Arial" w:cs="Arial"/>
          <w:sz w:val="24"/>
          <w:szCs w:val="24"/>
        </w:rPr>
        <w:t>5</w:t>
      </w:r>
      <w:r w:rsidRPr="0044017C">
        <w:rPr>
          <w:rFonts w:ascii="Arial" w:hAnsi="Arial" w:cs="Arial"/>
          <w:sz w:val="24"/>
          <w:szCs w:val="24"/>
        </w:rPr>
        <w:t xml:space="preserve"> to check my work using the prompt(s):</w:t>
      </w:r>
    </w:p>
    <w:p w14:paraId="44674189" w14:textId="797B2451" w:rsidR="00114797" w:rsidRPr="00114797" w:rsidRDefault="0044017C" w:rsidP="0044017C">
      <w:pPr>
        <w:spacing w:line="360" w:lineRule="auto"/>
        <w:jc w:val="both"/>
      </w:pPr>
      <w:r w:rsidRPr="0044017C">
        <w:rPr>
          <w:rFonts w:ascii="Arial" w:hAnsi="Arial" w:cs="Arial"/>
          <w:sz w:val="24"/>
          <w:szCs w:val="24"/>
        </w:rPr>
        <w:t xml:space="preserve"> 1. 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r w:rsidR="00114797" w:rsidRPr="00114797">
        <w:br w:type="page"/>
      </w:r>
    </w:p>
    <w:p w14:paraId="4849F6E4" w14:textId="77777777" w:rsidR="00114797" w:rsidRPr="00114797" w:rsidRDefault="00114797" w:rsidP="00114797">
      <w:pPr>
        <w:rPr>
          <w:rFonts w:ascii="Arial" w:hAnsi="Arial" w:cs="Arial"/>
          <w:b/>
          <w:i/>
          <w:sz w:val="24"/>
          <w:szCs w:val="24"/>
          <w:u w:val="single"/>
        </w:rPr>
      </w:pPr>
      <w:r w:rsidRPr="00114797">
        <w:rPr>
          <w:rFonts w:ascii="Arial" w:hAnsi="Arial" w:cs="Arial"/>
          <w:b/>
          <w:i/>
          <w:sz w:val="24"/>
          <w:szCs w:val="24"/>
          <w:u w:val="single"/>
        </w:rPr>
        <w:lastRenderedPageBreak/>
        <w:t>"Bridging Sustainability Gaps in the UK Hospitality Industry: A Case Study of London Hilton on Park Lane"</w:t>
      </w:r>
    </w:p>
    <w:p w14:paraId="16601BDC" w14:textId="77777777" w:rsidR="0016660D" w:rsidRPr="0016660D" w:rsidRDefault="0016660D" w:rsidP="0016660D">
      <w:pPr>
        <w:spacing w:line="360" w:lineRule="auto"/>
        <w:jc w:val="both"/>
        <w:rPr>
          <w:rFonts w:ascii="Arial" w:hAnsi="Arial" w:cs="Arial"/>
          <w:sz w:val="24"/>
          <w:szCs w:val="24"/>
          <w:lang w:val="ro-RO"/>
        </w:rPr>
      </w:pPr>
      <w:r w:rsidRPr="0016660D">
        <w:rPr>
          <w:rFonts w:ascii="Arial" w:hAnsi="Arial" w:cs="Arial"/>
          <w:sz w:val="24"/>
          <w:szCs w:val="24"/>
          <w:lang w:val="ro-RO"/>
        </w:rPr>
        <w:t>Green practices are actions or strategies that have less or no effect on the environment or will positively impact the environment. These policies focus on conserving resources and reducing waste, through proper utilisation, in sectors like hospitality and manufacturing (Cooper, 2021). In hospitality, eco-friendly measures include procedures that reduce environmental harm, promote efficient resource use, and support sustainable tourism (Inkson &amp; Minnaert, 2018). The hospitality industry now prioritises sustainability as part of its corporate responsibility because customers seek environmentally friendly practices, and hotel operations need climate-friendly solutions (Sloan et al., 2017). The London Hilton on Park Lane, a landmark renowned for its superior service within the brand portofolio, has encountered substantial investigation into its sustainability work. This hotel's undisclosed lapse questions its sustainability performance and compliance with green operations standards (Hilton, 2025). Hotels usually practice green and sustainable methods through initiatives like energy preservation, water optimization, waste minimisation, sustainable food acquisition, and carbon emission reductions. These efforts improve both environmental protection and operational efficiency while building trust with environmentally focused customers. The Scarlet Hotel, for instance, generates all its energy from renewable sources, uses a biomass heater, and recycles greywater, reducing water usage by 30% (Biofilico, 2025). The UK hospitality sector generates "one million tonnes of food waste annually," while food waste contributes globally to 8-10% of greenhouse gas emissions (UNEP, 2021). A critical assessment of sustainable practice deficiencies occurs at the London Hilton on Park Lane through an analysis of sustainable food acquisition and waste management strategies.</w:t>
      </w:r>
    </w:p>
    <w:p w14:paraId="5CF6069E" w14:textId="77777777" w:rsidR="00114797" w:rsidRPr="00114797" w:rsidRDefault="00114797" w:rsidP="00114797">
      <w:pPr>
        <w:spacing w:line="360" w:lineRule="auto"/>
        <w:jc w:val="both"/>
        <w:rPr>
          <w:rFonts w:ascii="Arial" w:hAnsi="Arial" w:cs="Arial"/>
          <w:sz w:val="24"/>
          <w:szCs w:val="24"/>
        </w:rPr>
      </w:pPr>
      <w:r w:rsidRPr="00114797">
        <w:rPr>
          <w:rFonts w:ascii="Arial" w:hAnsi="Arial" w:cs="Arial"/>
          <w:sz w:val="24"/>
          <w:szCs w:val="24"/>
        </w:rPr>
        <w:t xml:space="preserve">London Hilton on Park Lane underwent intense public inspection in September 2024 because Westminster City Council assessed its food safety at zero out of five. Through its rating process, Westminster City Council uncovered multiple gaps in sustainable practices at the hotel beyond food safety, primarily through shortcomings in sourcing and managing food waste (Bullock, 2025). The hotel's Corporate Social Responsibility (CSR) and sustainability commitments are affected by these shortcomings. To fight food waste, Hilton introduced their "Taste of Zero Waste" menu at specific hotels in the United Kingdom, starting with London Hilton on Park Lane. The program follows </w:t>
      </w:r>
      <w:r w:rsidRPr="00114797">
        <w:rPr>
          <w:rFonts w:ascii="Arial" w:hAnsi="Arial" w:cs="Arial"/>
          <w:sz w:val="24"/>
          <w:szCs w:val="24"/>
        </w:rPr>
        <w:lastRenderedPageBreak/>
        <w:t>Hilton's 2030 Travel with Purpose Goals, which seek to lower landfill-bound waste by 50% before 2030 (Hilton, 2025). Proper hygiene practices to maintain food hygiene are key to solving the problem of food waste, which is a key component of sustainability in the hospitality industry. The food handling and storage are wasting unnecessary food, which goes against any zero-waste initiative and creates an environmental impact (Sustainable Hospitality Alliance, 2025). Sustainable food hygiene standards ensure high standards, which can help reduce waste, improve resource efficiency, and give a good reputation to a hotel as a responsible operation.</w:t>
      </w:r>
    </w:p>
    <w:p w14:paraId="6568CFC3" w14:textId="77777777" w:rsidR="00114797" w:rsidRPr="00114797" w:rsidRDefault="00114797" w:rsidP="00114797">
      <w:pPr>
        <w:spacing w:line="360" w:lineRule="auto"/>
        <w:jc w:val="both"/>
        <w:rPr>
          <w:rFonts w:ascii="Arial" w:hAnsi="Arial" w:cs="Arial"/>
          <w:sz w:val="24"/>
          <w:szCs w:val="24"/>
        </w:rPr>
      </w:pPr>
      <w:r w:rsidRPr="00114797">
        <w:rPr>
          <w:rFonts w:ascii="Arial" w:hAnsi="Arial" w:cs="Arial"/>
          <w:sz w:val="24"/>
          <w:szCs w:val="24"/>
        </w:rPr>
        <w:t>Hotels that adopt zero-waste kitchen practices achieve up to 30% operational savings through minimised purchasing of excess supplies and waste management expenses (WRAP, 2025). A zero-waste kitchen initiative employs predictive inventory systems with food donation programs and composting to create a circular system that reduces food waste.</w:t>
      </w:r>
    </w:p>
    <w:p w14:paraId="00F7490E" w14:textId="77777777" w:rsidR="00114797" w:rsidRPr="00114797" w:rsidRDefault="00114797" w:rsidP="00114797">
      <w:pPr>
        <w:spacing w:line="360" w:lineRule="auto"/>
        <w:jc w:val="both"/>
        <w:rPr>
          <w:rFonts w:ascii="Arial" w:hAnsi="Arial" w:cs="Arial"/>
          <w:sz w:val="24"/>
          <w:szCs w:val="24"/>
        </w:rPr>
      </w:pPr>
      <w:r w:rsidRPr="00114797">
        <w:rPr>
          <w:rFonts w:ascii="Arial" w:hAnsi="Arial" w:cs="Arial"/>
          <w:sz w:val="24"/>
          <w:szCs w:val="24"/>
        </w:rPr>
        <w:t>The hospitality industry faces two major sustainability challenges through food waste with unsustainable sourcing methods (Jauhari, 2021). The absence of food waste tracking systems allows environmental damage to occur while demonstrating operational shortcomings. The industry's dependence on massive suppliers who choose cost-effective operations above sustainability measures makes both environmental issues worse through excessive transportation emissions and destructive farming methods (Edgell, 2020). The Green House Hotel heats water through solar power, using efficient lighting systems and providing electric vehicle charging stations. Additionally, the hotel conducts food waste composting combined with coffee ground mushroom cultivation and timber furniture procurement from storm damage resources, which decreases procurement carbon emissions by 40% (Biofilico, 2025).</w:t>
      </w:r>
    </w:p>
    <w:p w14:paraId="29BA5011" w14:textId="77777777" w:rsidR="00114797" w:rsidRPr="00114797" w:rsidRDefault="00114797" w:rsidP="00114797">
      <w:pPr>
        <w:spacing w:line="360" w:lineRule="auto"/>
        <w:jc w:val="both"/>
        <w:rPr>
          <w:rFonts w:ascii="Arial" w:hAnsi="Arial" w:cs="Arial"/>
          <w:sz w:val="24"/>
          <w:szCs w:val="24"/>
        </w:rPr>
      </w:pPr>
      <w:r w:rsidRPr="00114797">
        <w:rPr>
          <w:rFonts w:ascii="Arial" w:hAnsi="Arial" w:cs="Arial"/>
          <w:sz w:val="24"/>
          <w:szCs w:val="24"/>
        </w:rPr>
        <w:t>While many hotels are introducing new sustainability initiatives, the Hilton London on Park Lane falls short in numerous important areas. Specifically, by neglecting to engage with local ethical suppliers or establish creative waste reduction techniques. Without these sustainability measures, the property fails to protect its reputation with eco-conscious visitors and weakens its capacity to reach international sustainability standards (Costa and Costa, 2022).</w:t>
      </w:r>
    </w:p>
    <w:p w14:paraId="6B9E5592" w14:textId="77777777" w:rsidR="00114797" w:rsidRPr="00114797" w:rsidRDefault="00114797" w:rsidP="00114797">
      <w:pPr>
        <w:spacing w:line="360" w:lineRule="auto"/>
        <w:jc w:val="both"/>
        <w:rPr>
          <w:rFonts w:ascii="Arial" w:hAnsi="Arial" w:cs="Arial"/>
          <w:sz w:val="24"/>
          <w:szCs w:val="24"/>
        </w:rPr>
      </w:pPr>
      <w:r w:rsidRPr="00114797">
        <w:rPr>
          <w:rFonts w:ascii="Arial" w:hAnsi="Arial" w:cs="Arial"/>
          <w:sz w:val="24"/>
          <w:szCs w:val="24"/>
        </w:rPr>
        <w:lastRenderedPageBreak/>
        <w:t>A two-part solution is proposed to address these issues by implementing sustainable food-sourcing practices with zero-waste kitchen initiatives. Organisations must establish sustainable food sourcing by working exclusively with suppliers who use local sources and organic practices and hold ethical certifications to reduce environmental damage while stimulating local economic growth (Inkson and Minnaert, 2018). The method decreases dependence on high-carbon food supply networks and supports biodiversity conservation and ethical farming standards. The implementation needs careful strategic planning to confront potential obstacles, which will lead to successful deployment (Haski-Leventhal, 2018). The main challenge stems from organic and fair-trade ingredients costing more at the beginning of procurement when compared to standard supplier costs. Small operations among local suppliers often drive higher prices because they lack advantages from economies of scale. Hotel operations depend on suppliers consistently delivering high-quality products at specified volumes because supply chain breakdowns affect business operations and guest satisfaction levels (Wickham et al., 2021).</w:t>
      </w:r>
    </w:p>
    <w:p w14:paraId="3445ACA0" w14:textId="77777777" w:rsidR="00114797" w:rsidRPr="00114797" w:rsidRDefault="00114797" w:rsidP="00114797">
      <w:pPr>
        <w:spacing w:line="360" w:lineRule="auto"/>
        <w:jc w:val="both"/>
        <w:rPr>
          <w:rFonts w:ascii="Arial" w:hAnsi="Arial" w:cs="Arial"/>
          <w:sz w:val="24"/>
          <w:szCs w:val="24"/>
        </w:rPr>
      </w:pPr>
      <w:r w:rsidRPr="00114797">
        <w:rPr>
          <w:rFonts w:ascii="Arial" w:hAnsi="Arial" w:cs="Arial"/>
          <w:sz w:val="24"/>
          <w:szCs w:val="24"/>
        </w:rPr>
        <w:t>The proven success of luxury hotel chains indicates strong lessons that the London Hilton on Park Lane can learn from. Six Senses Resorts maintains organic farms for sustainable food production with site-based composting systems to eliminate waste. Through data analytics, Marriott International leads the global industry in sustainability by using the approach to minimise food waste by 45% throughout its worldwide properties (Ruiz Molina et al., 2022). The demonstrated sustainable practices show luxury hotels can implement sustainable strategies to have operational benefits. Applying these initiatives at the London Hilton on Park Lane would generate extensive beneficial changes. The hotel achieves both environmental sustainability and economic development through local sustainable food procurement. A zero-waste kitchen approach implemented with local sustainable food procurement would reduce operational costs, improve efficiency, and minimise food waste. As a result, the hotel will gain recognition as a leading sustainable destination through these initiatives and attract more environmentally conscious travellers looking for green hospitality experiences (Cooper, 2021).</w:t>
      </w:r>
    </w:p>
    <w:p w14:paraId="6FFC4B9E" w14:textId="77777777" w:rsidR="00114797" w:rsidRPr="00114797" w:rsidRDefault="00114797" w:rsidP="00114797">
      <w:pPr>
        <w:spacing w:line="360" w:lineRule="auto"/>
        <w:jc w:val="both"/>
        <w:rPr>
          <w:rFonts w:ascii="Arial" w:hAnsi="Arial" w:cs="Arial"/>
          <w:sz w:val="24"/>
          <w:szCs w:val="24"/>
          <w:lang w:val="en-SG"/>
        </w:rPr>
      </w:pPr>
      <w:r w:rsidRPr="00114797">
        <w:rPr>
          <w:rFonts w:ascii="Arial" w:hAnsi="Arial" w:cs="Arial"/>
          <w:sz w:val="24"/>
          <w:szCs w:val="24"/>
        </w:rPr>
        <w:t xml:space="preserve">The benefits exist while facing multiple obstacles. Sustainable procurement expenses exceed conventional supply chain costs. A high-profile hotel like Hilton might encounter procurement challenges because local suppliers frequently fall short when </w:t>
      </w:r>
      <w:r w:rsidRPr="00114797">
        <w:rPr>
          <w:rFonts w:ascii="Arial" w:hAnsi="Arial" w:cs="Arial"/>
          <w:sz w:val="24"/>
          <w:szCs w:val="24"/>
        </w:rPr>
        <w:lastRenderedPageBreak/>
        <w:t xml:space="preserve">it comes to keeping up with volume needs and achieving consistent supply, while seasonal changes could create difficulties during menu development (Bullock, 2025). The implementation of zero-waste kitchen practices needs investments in infrastructure for composting systems and food donation logistics with thorough staff training to maintain persistent protocol adherence. </w:t>
      </w:r>
      <w:r w:rsidRPr="00114797">
        <w:rPr>
          <w:rFonts w:ascii="Arial" w:hAnsi="Arial" w:cs="Arial"/>
          <w:sz w:val="24"/>
          <w:szCs w:val="24"/>
          <w:lang w:val="en-SG"/>
        </w:rPr>
        <w:t>Though difficult to overcome at first, sustainable solutions return higher rewards than expenditure. The hotel emerges as a leader in ethical luxury hospitality by implementing practices that match worldwide standards and regulatory obligations (BOUCHARDY, 2025). The London Hilton on Park Lane should fill its operational gaps to become an exemplary sustainable hotel that will stay competitive in a market that is becoming more environmentally conscious</w:t>
      </w:r>
      <w:r w:rsidRPr="00114797">
        <w:rPr>
          <w:rFonts w:ascii="Arial" w:hAnsi="Arial" w:cs="Arial"/>
          <w:sz w:val="24"/>
          <w:szCs w:val="24"/>
        </w:rPr>
        <w:t>.</w:t>
      </w:r>
    </w:p>
    <w:p w14:paraId="3CEDCFE7" w14:textId="77777777" w:rsidR="00114797" w:rsidRPr="00114797" w:rsidRDefault="00114797" w:rsidP="00114797">
      <w:pPr>
        <w:spacing w:line="360" w:lineRule="auto"/>
        <w:jc w:val="both"/>
        <w:rPr>
          <w:rFonts w:ascii="Arial" w:hAnsi="Arial" w:cs="Arial"/>
          <w:sz w:val="24"/>
          <w:szCs w:val="24"/>
        </w:rPr>
      </w:pPr>
      <w:r w:rsidRPr="00114797">
        <w:rPr>
          <w:rFonts w:ascii="Arial" w:hAnsi="Arial" w:cs="Arial"/>
          <w:sz w:val="24"/>
          <w:szCs w:val="24"/>
        </w:rPr>
        <w:t>Sustainable food sourcing with zero-waste kitchen operations brings additional environmental and operational advantages to businesses that go beyond direct resource conservation (Sustainable Hospitality Alliance, 2025). Food transportation emissions labelled "food miles" can be reduced when the London Hilton on Park Lane selects locally grown organic ingredients. Local partnerships with producers using regenerative agriculture help support ecosystem health by boosting biodiversity along with reducing chemical pesticide and fertiliser usage. The hotel serves as a sustainability champion by choosing local organic suppliers, which creates twofold benefits by reducing climate change impact and demonstrating sustainable agriculture leadership to its peers. The social advantages of this approach demonstrate equal importance (Ruiz Molina et al., 2022). Hotel operations that choose local suppliers generate both stronger community connections and improved regional economic growth. For example, the hotel supports small businesses by acquiring its produce from local farmers, which prevents resources from flowing to massive harmful agricultural corporations. Local supplier engagement mirrors worldwide sustainability objectives, especially through the United Nations' Sustainable Development Goals (SDGs), which emphasise accountable production and consumption (Management Association, 2018). Through food donation programs directed toward local charities, hotels create dual benefits of fighting food insecurity while decreasing waste.</w:t>
      </w:r>
    </w:p>
    <w:p w14:paraId="0A4DB327" w14:textId="77777777" w:rsidR="00114797" w:rsidRPr="00114797" w:rsidRDefault="00114797" w:rsidP="00114797">
      <w:pPr>
        <w:spacing w:line="360" w:lineRule="auto"/>
        <w:jc w:val="both"/>
        <w:rPr>
          <w:rFonts w:ascii="Arial" w:hAnsi="Arial" w:cs="Arial"/>
          <w:sz w:val="24"/>
          <w:szCs w:val="24"/>
        </w:rPr>
      </w:pPr>
      <w:r w:rsidRPr="00114797">
        <w:rPr>
          <w:rFonts w:ascii="Arial" w:hAnsi="Arial" w:cs="Arial"/>
          <w:sz w:val="24"/>
          <w:szCs w:val="24"/>
        </w:rPr>
        <w:t xml:space="preserve">The operational implementation of predictive inventory technology with kitchen management systems helps reduce both food spoilage and waste. The predictive tools combine historical data with real-time trends to optimise procurement functions by determining accurate ingredient ordering amounts (Cooper, 2021). High-volume </w:t>
      </w:r>
      <w:r w:rsidRPr="00114797">
        <w:rPr>
          <w:rFonts w:ascii="Arial" w:hAnsi="Arial" w:cs="Arial"/>
          <w:sz w:val="24"/>
          <w:szCs w:val="24"/>
        </w:rPr>
        <w:lastRenderedPageBreak/>
        <w:t>facilities such as the London Hilton on Park Lane often struggle with over-ordering, so this technology decreases the probability of stockpiling. PathMatch systems that track inventory help minimise food waste, yet restaurants can use composting systems alongside anaerobic digesters to dispose of organic waste through compost production and renewable energy generation. Implementing sustainable procurement faces two main obstacles: initial investment expenses and seasonal limitations of local produce, which can affect menu flexibility. The extensive difficulties in reaching sustainable operations become evident because only 20% of UK hotels monitor their food waste (United Nations Environment Programme 2021).</w:t>
      </w:r>
    </w:p>
    <w:p w14:paraId="61DE97AA" w14:textId="77777777" w:rsidR="00114797" w:rsidRPr="00114797" w:rsidRDefault="00114797" w:rsidP="00114797">
      <w:pPr>
        <w:spacing w:line="360" w:lineRule="auto"/>
        <w:jc w:val="both"/>
        <w:rPr>
          <w:rFonts w:ascii="Arial" w:hAnsi="Arial" w:cs="Arial"/>
          <w:sz w:val="24"/>
          <w:szCs w:val="24"/>
        </w:rPr>
      </w:pPr>
      <w:r w:rsidRPr="00114797">
        <w:rPr>
          <w:rFonts w:ascii="Arial" w:hAnsi="Arial" w:cs="Arial"/>
          <w:sz w:val="24"/>
          <w:szCs w:val="24"/>
        </w:rPr>
        <w:t>Staff training stands as a fundamental aspect during this transformation process. Employees from every department are required to understand the significance of sustainability projects while acquiring the necessary skills to accomplish them properly (Sustainable Tourism: Breakthroughs in Research and Practice, 2019). Food scraps management must receive training that supports both composting and repurposing techniques, and procurement staff requires training to establish local supplier relationships. Training initiatives need to explain the environmental and social consequences of organisational changes because this helps workers develop a commitment to the initiatives (Sloan et al., 2017). A staged implementation plan provides a solution for the hotel to resolve its current challenges. Testing sustainable practices begins with establishing pilot programs within certain areas of the business, such as restaurant and banquet services. The hotel begins its sustainability effort by testing small parts of the initiative before expanding to all departments to find and solve potential problems (Batabyal, 2018). A pilot program for zero-waste approaches within the banquet kitchen should begin by conducting waste audits to discover ways food waste can be reused or donated. The Savoy Hotel in London has put in place thorough waste recycling and reuse projects that redirect all public area waste together with guest room waste and hotel room waste from going to landfills (BOUCHARDY, 2025).</w:t>
      </w:r>
    </w:p>
    <w:p w14:paraId="336D2CF3" w14:textId="77777777" w:rsidR="00114797" w:rsidRPr="00114797" w:rsidRDefault="00114797" w:rsidP="00114797">
      <w:pPr>
        <w:spacing w:line="360" w:lineRule="auto"/>
        <w:jc w:val="both"/>
        <w:rPr>
          <w:rFonts w:ascii="Arial" w:hAnsi="Arial" w:cs="Arial"/>
          <w:sz w:val="24"/>
          <w:szCs w:val="24"/>
        </w:rPr>
      </w:pPr>
      <w:r w:rsidRPr="00114797">
        <w:rPr>
          <w:rFonts w:ascii="Arial" w:hAnsi="Arial" w:cs="Arial"/>
          <w:sz w:val="24"/>
          <w:szCs w:val="24"/>
        </w:rPr>
        <w:t>The hotel should start its path to sustainable food acquisition by bringing locally sourced organic ingredients into select menu items. The hotel can use "sustainably sourced" labels to both attract eco-minded customers and evaluate supplier performance and guest responses (Wickham et al., 2021). After the initial pilot phase succeeds, the hotel should implement additional sustainable practices through expanded ingredient sourcing and waste reduction initiatives. Local, sustainable food-</w:t>
      </w:r>
      <w:r w:rsidRPr="00114797">
        <w:rPr>
          <w:rFonts w:ascii="Arial" w:hAnsi="Arial" w:cs="Arial"/>
          <w:sz w:val="24"/>
          <w:szCs w:val="24"/>
        </w:rPr>
        <w:lastRenderedPageBreak/>
        <w:t>sourcing practices reduce mealtime emissions by 25% while minimising food transportation distances (Sustainable Hospitality Alliance, 2025). When hotels choose to purchase from local suppliers, they observe an 18% rise in guest satisfaction due to their displayed environmental stewardship. The success of these sustainability programs relies on full disclosure. The hotel requires regular updates regarding its sustainability objectives along with its previous accomplishments, which must be shared with employee hotel guests and the surrounding community. Sustainability reports published each year demonstrate measurable achievements through waste diversion metrics, emission reductions, and local ingredient procurement percentages (New governance and management in touristic destinations, 2022). Sustainability reports act as proof of accountability while helping the hotel establish a leadership position in sustainable hospitality.</w:t>
      </w:r>
    </w:p>
    <w:p w14:paraId="7E623818" w14:textId="77777777" w:rsidR="00114797" w:rsidRPr="00114797" w:rsidRDefault="00114797" w:rsidP="00114797">
      <w:pPr>
        <w:spacing w:line="360" w:lineRule="auto"/>
        <w:jc w:val="both"/>
        <w:rPr>
          <w:rFonts w:ascii="Arial" w:hAnsi="Arial" w:cs="Arial"/>
          <w:sz w:val="24"/>
          <w:szCs w:val="24"/>
        </w:rPr>
      </w:pPr>
      <w:r w:rsidRPr="00114797">
        <w:rPr>
          <w:rFonts w:ascii="Arial" w:hAnsi="Arial" w:cs="Arial"/>
          <w:sz w:val="24"/>
          <w:szCs w:val="24"/>
        </w:rPr>
        <w:t>These sustainable practices establish deep, long-term advantages. Travellers today deeply care about sustainability initiatives because they actively choose accommodations that reflect their environmental values. New research shows eco-friendly hotel choices are the preferred choice of 70% of world travellers, with this preference expected to increase annually (Deloitte, 2025). The London Hilton on Park Lane will attract dedicated customers while increasing occupancy rates and charging premium prices by tailoring its operations toward environmentally conscious preferences. Through its leadership in green practices, the hotel can motivate similar sustainability initiatives across the Hilton brand network to expand its overall impact on the hospitality sector (Inkson and Minnaert, 2018).</w:t>
      </w:r>
    </w:p>
    <w:p w14:paraId="1A52BC93" w14:textId="77777777" w:rsidR="00A52DA7" w:rsidRPr="00A52DA7" w:rsidRDefault="00A52DA7" w:rsidP="00A52DA7">
      <w:pPr>
        <w:spacing w:line="360" w:lineRule="auto"/>
        <w:jc w:val="both"/>
        <w:rPr>
          <w:rFonts w:ascii="Arial" w:hAnsi="Arial" w:cs="Arial"/>
          <w:sz w:val="24"/>
          <w:szCs w:val="24"/>
        </w:rPr>
      </w:pPr>
      <w:r w:rsidRPr="00A52DA7">
        <w:rPr>
          <w:rFonts w:ascii="Arial" w:hAnsi="Arial" w:cs="Arial"/>
          <w:sz w:val="24"/>
          <w:szCs w:val="24"/>
        </w:rPr>
        <w:t>The London Hilton on Park Lane is tackling its sustainability shortcomings with a groundbreaking initiative, overhauling operations through sustainable food sourcing and adopting a zero-waste model to meet their environmental stewardship and social responsibility goals. While this will require investment, the projected environmental, social, and economic benefits are significant.</w:t>
      </w:r>
    </w:p>
    <w:p w14:paraId="6F42C833" w14:textId="77777777" w:rsidR="00114797" w:rsidRPr="00114797" w:rsidRDefault="00114797" w:rsidP="00114797">
      <w:pPr>
        <w:spacing w:line="360" w:lineRule="auto"/>
        <w:jc w:val="both"/>
        <w:rPr>
          <w:rFonts w:ascii="Arial" w:hAnsi="Arial" w:cs="Arial"/>
          <w:sz w:val="24"/>
          <w:szCs w:val="24"/>
        </w:rPr>
      </w:pPr>
      <w:r w:rsidRPr="00114797">
        <w:rPr>
          <w:rFonts w:ascii="Arial" w:hAnsi="Arial" w:cs="Arial"/>
          <w:sz w:val="24"/>
          <w:szCs w:val="24"/>
        </w:rPr>
        <w:t xml:space="preserve">Observations of sustainability gaps witnessed at the London Hilton on Park Lane reinforce the need for the most profound operational practice transformations, especially concerning food sourcing and waste management. Beyond worrying about guest safety, the poor food hygiene rating of the hotel directly impacts its sustainability efforts, as noncompliance with food hygiene practices leads to increased food waste </w:t>
      </w:r>
      <w:r w:rsidRPr="00114797">
        <w:rPr>
          <w:rFonts w:ascii="Arial" w:hAnsi="Arial" w:cs="Arial"/>
          <w:sz w:val="24"/>
          <w:szCs w:val="24"/>
        </w:rPr>
        <w:lastRenderedPageBreak/>
        <w:t>and waste in resource utilisation. Creating synergy between food hygiene and sustainability becomes a necessity for hotels to boost operational efficiency, decrease waste, and save face as a responsible luxury brand. The hotel will resolve its present shortcomings through partnerships with local organic suppliers along with zero-waste kitchen practices to deliver substantial environmental and operational advantages and social progress. The long-term benefits of sustainable practices exceed first-cost expenses despite the need for careful planning to overcome higher expenses, supplier dependability, and employee training difficulties. The hotel's sustainability advantages stem from lower emissions along with stronger community bonds, operational optimisation, and its appeal to environmentally aware visitors. The hotel's position as an industry leader in sustainable luxury service results from its commitment to sustainability, which now serves as a fundamental business success indicator within the hospitality sector.</w:t>
      </w:r>
    </w:p>
    <w:p w14:paraId="7007465C" w14:textId="77777777" w:rsidR="00114797" w:rsidRPr="00114797" w:rsidRDefault="00114797" w:rsidP="00114797">
      <w:pPr>
        <w:rPr>
          <w:b/>
        </w:rPr>
      </w:pPr>
    </w:p>
    <w:p w14:paraId="62231EBF" w14:textId="77777777" w:rsidR="00114797" w:rsidRPr="00114797" w:rsidRDefault="00114797" w:rsidP="00114797">
      <w:pPr>
        <w:rPr>
          <w:b/>
        </w:rPr>
      </w:pPr>
    </w:p>
    <w:p w14:paraId="785F71CE" w14:textId="77777777" w:rsidR="00114797" w:rsidRPr="00114797" w:rsidRDefault="00114797" w:rsidP="00114797">
      <w:pPr>
        <w:rPr>
          <w:b/>
        </w:rPr>
      </w:pPr>
    </w:p>
    <w:p w14:paraId="009DE5AC" w14:textId="77777777" w:rsidR="00114797" w:rsidRPr="00114797" w:rsidRDefault="00114797" w:rsidP="00114797">
      <w:pPr>
        <w:rPr>
          <w:b/>
        </w:rPr>
      </w:pPr>
    </w:p>
    <w:p w14:paraId="4480B872" w14:textId="77777777" w:rsidR="00114797" w:rsidRPr="00114797" w:rsidRDefault="00114797" w:rsidP="00114797">
      <w:pPr>
        <w:rPr>
          <w:b/>
        </w:rPr>
      </w:pPr>
    </w:p>
    <w:p w14:paraId="1930D9C4" w14:textId="77777777" w:rsidR="00114797" w:rsidRPr="00114797" w:rsidRDefault="00114797" w:rsidP="00114797">
      <w:pPr>
        <w:rPr>
          <w:b/>
        </w:rPr>
      </w:pPr>
    </w:p>
    <w:p w14:paraId="021EE5CF" w14:textId="77777777" w:rsidR="00114797" w:rsidRPr="00114797" w:rsidRDefault="00114797" w:rsidP="00114797">
      <w:pPr>
        <w:rPr>
          <w:b/>
        </w:rPr>
      </w:pPr>
    </w:p>
    <w:p w14:paraId="7662F31D" w14:textId="77777777" w:rsidR="00114797" w:rsidRPr="00114797" w:rsidRDefault="00114797" w:rsidP="00114797">
      <w:pPr>
        <w:rPr>
          <w:b/>
        </w:rPr>
      </w:pPr>
    </w:p>
    <w:p w14:paraId="4D15933A" w14:textId="77777777" w:rsidR="00114797" w:rsidRPr="00114797" w:rsidRDefault="00114797" w:rsidP="00114797">
      <w:pPr>
        <w:rPr>
          <w:b/>
        </w:rPr>
      </w:pPr>
    </w:p>
    <w:p w14:paraId="1E9B507C" w14:textId="77777777" w:rsidR="008D37F7" w:rsidRDefault="008D37F7" w:rsidP="008D37F7">
      <w:pPr>
        <w:spacing w:line="360" w:lineRule="auto"/>
        <w:jc w:val="both"/>
        <w:rPr>
          <w:rFonts w:ascii="Arial" w:hAnsi="Arial" w:cs="Arial"/>
          <w:b/>
          <w:sz w:val="24"/>
          <w:szCs w:val="24"/>
        </w:rPr>
      </w:pPr>
    </w:p>
    <w:p w14:paraId="7BE521B6" w14:textId="77777777" w:rsidR="008D37F7" w:rsidRDefault="008D37F7" w:rsidP="008D37F7">
      <w:pPr>
        <w:spacing w:line="360" w:lineRule="auto"/>
        <w:jc w:val="both"/>
        <w:rPr>
          <w:rFonts w:ascii="Arial" w:hAnsi="Arial" w:cs="Arial"/>
          <w:b/>
          <w:sz w:val="24"/>
          <w:szCs w:val="24"/>
        </w:rPr>
      </w:pPr>
    </w:p>
    <w:p w14:paraId="01208106" w14:textId="77777777" w:rsidR="008D37F7" w:rsidRDefault="008D37F7" w:rsidP="008D37F7">
      <w:pPr>
        <w:spacing w:line="360" w:lineRule="auto"/>
        <w:jc w:val="both"/>
        <w:rPr>
          <w:rFonts w:ascii="Arial" w:hAnsi="Arial" w:cs="Arial"/>
          <w:b/>
          <w:sz w:val="24"/>
          <w:szCs w:val="24"/>
        </w:rPr>
      </w:pPr>
    </w:p>
    <w:p w14:paraId="15B6EF63" w14:textId="77777777" w:rsidR="008D37F7" w:rsidRDefault="008D37F7" w:rsidP="008D37F7">
      <w:pPr>
        <w:spacing w:line="360" w:lineRule="auto"/>
        <w:jc w:val="both"/>
        <w:rPr>
          <w:rFonts w:ascii="Arial" w:hAnsi="Arial" w:cs="Arial"/>
          <w:b/>
          <w:sz w:val="24"/>
          <w:szCs w:val="24"/>
        </w:rPr>
      </w:pPr>
    </w:p>
    <w:p w14:paraId="77D0DDFA" w14:textId="77777777" w:rsidR="008D37F7" w:rsidRDefault="008D37F7" w:rsidP="008D37F7">
      <w:pPr>
        <w:spacing w:line="360" w:lineRule="auto"/>
        <w:jc w:val="both"/>
        <w:rPr>
          <w:rFonts w:ascii="Arial" w:hAnsi="Arial" w:cs="Arial"/>
          <w:b/>
          <w:sz w:val="24"/>
          <w:szCs w:val="24"/>
        </w:rPr>
      </w:pPr>
    </w:p>
    <w:p w14:paraId="21B80900" w14:textId="77777777" w:rsidR="008D37F7" w:rsidRDefault="008D37F7" w:rsidP="008D37F7">
      <w:pPr>
        <w:spacing w:line="360" w:lineRule="auto"/>
        <w:jc w:val="both"/>
        <w:rPr>
          <w:rFonts w:ascii="Arial" w:hAnsi="Arial" w:cs="Arial"/>
          <w:b/>
          <w:sz w:val="24"/>
          <w:szCs w:val="24"/>
        </w:rPr>
      </w:pPr>
    </w:p>
    <w:p w14:paraId="6274BAD7" w14:textId="77777777" w:rsidR="008D37F7" w:rsidRDefault="008D37F7" w:rsidP="008D37F7">
      <w:pPr>
        <w:spacing w:line="360" w:lineRule="auto"/>
        <w:jc w:val="both"/>
        <w:rPr>
          <w:rFonts w:ascii="Arial" w:hAnsi="Arial" w:cs="Arial"/>
          <w:b/>
          <w:sz w:val="24"/>
          <w:szCs w:val="24"/>
        </w:rPr>
      </w:pPr>
    </w:p>
    <w:p w14:paraId="706C7A47" w14:textId="77777777" w:rsidR="008D37F7" w:rsidRDefault="008D37F7" w:rsidP="008D37F7">
      <w:pPr>
        <w:spacing w:line="360" w:lineRule="auto"/>
        <w:jc w:val="both"/>
        <w:rPr>
          <w:rFonts w:ascii="Arial" w:hAnsi="Arial" w:cs="Arial"/>
          <w:b/>
          <w:sz w:val="24"/>
          <w:szCs w:val="24"/>
        </w:rPr>
      </w:pPr>
    </w:p>
    <w:p w14:paraId="4FBDF402" w14:textId="3330C118" w:rsidR="00114797" w:rsidRPr="008D37F7" w:rsidRDefault="00114797" w:rsidP="008D37F7">
      <w:pPr>
        <w:spacing w:line="360" w:lineRule="auto"/>
        <w:jc w:val="both"/>
        <w:rPr>
          <w:rFonts w:ascii="Arial" w:hAnsi="Arial" w:cs="Arial"/>
          <w:b/>
          <w:sz w:val="24"/>
          <w:szCs w:val="24"/>
        </w:rPr>
      </w:pPr>
      <w:r w:rsidRPr="008D37F7">
        <w:rPr>
          <w:rFonts w:ascii="Arial" w:hAnsi="Arial" w:cs="Arial"/>
          <w:b/>
          <w:sz w:val="24"/>
          <w:szCs w:val="24"/>
        </w:rPr>
        <w:lastRenderedPageBreak/>
        <w:t>List of References</w:t>
      </w:r>
    </w:p>
    <w:p w14:paraId="4546C5B2"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Batabyal, A. (2018) </w:t>
      </w:r>
      <w:r w:rsidRPr="008D37F7">
        <w:rPr>
          <w:rFonts w:ascii="Arial" w:hAnsi="Arial" w:cs="Arial"/>
          <w:i/>
          <w:iCs/>
          <w:sz w:val="24"/>
          <w:szCs w:val="24"/>
        </w:rPr>
        <w:t>Managing sustainable tourism resources</w:t>
      </w:r>
      <w:r w:rsidRPr="008D37F7">
        <w:rPr>
          <w:rFonts w:ascii="Arial" w:hAnsi="Arial" w:cs="Arial"/>
          <w:sz w:val="24"/>
          <w:szCs w:val="24"/>
        </w:rPr>
        <w:t>. IGI Global.</w:t>
      </w:r>
    </w:p>
    <w:p w14:paraId="471B16C1"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Biofilico (2025) </w:t>
      </w:r>
      <w:r w:rsidRPr="008D37F7">
        <w:rPr>
          <w:rFonts w:ascii="Arial" w:hAnsi="Arial" w:cs="Arial"/>
          <w:i/>
          <w:iCs/>
          <w:sz w:val="24"/>
          <w:szCs w:val="24"/>
        </w:rPr>
        <w:t>Sustainable UK countryside hotels</w:t>
      </w:r>
      <w:r w:rsidRPr="008D37F7">
        <w:rPr>
          <w:rFonts w:ascii="Arial" w:hAnsi="Arial" w:cs="Arial"/>
          <w:sz w:val="24"/>
          <w:szCs w:val="24"/>
        </w:rPr>
        <w:t xml:space="preserve">. Available at: </w:t>
      </w:r>
      <w:hyperlink r:id="rId6" w:tgtFrame="_new" w:history="1">
        <w:r w:rsidRPr="008D37F7">
          <w:rPr>
            <w:rStyle w:val="Hyperlink"/>
            <w:rFonts w:ascii="Arial" w:hAnsi="Arial" w:cs="Arial"/>
            <w:sz w:val="24"/>
            <w:szCs w:val="24"/>
          </w:rPr>
          <w:t>https://biofilico.com/news/sustainable-uk-countryside-hotels</w:t>
        </w:r>
      </w:hyperlink>
      <w:r w:rsidRPr="008D37F7">
        <w:rPr>
          <w:rFonts w:ascii="Arial" w:hAnsi="Arial" w:cs="Arial"/>
          <w:sz w:val="24"/>
          <w:szCs w:val="24"/>
        </w:rPr>
        <w:t xml:space="preserve"> (Accessed: 30 January 2025).</w:t>
      </w:r>
    </w:p>
    <w:p w14:paraId="7544C2D3"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Bouchardy, I. (2025) ‘Rural eco-territoriality or the subtle alchemy between locality and globality’, </w:t>
      </w:r>
      <w:r w:rsidRPr="008D37F7">
        <w:rPr>
          <w:rFonts w:ascii="Arial" w:hAnsi="Arial" w:cs="Arial"/>
          <w:i/>
          <w:iCs/>
          <w:sz w:val="24"/>
          <w:szCs w:val="24"/>
        </w:rPr>
        <w:t>Development and the Sustainable City: The Limits of a Technical Approach</w:t>
      </w:r>
      <w:r w:rsidRPr="008D37F7">
        <w:rPr>
          <w:rFonts w:ascii="Arial" w:hAnsi="Arial" w:cs="Arial"/>
          <w:sz w:val="24"/>
          <w:szCs w:val="24"/>
        </w:rPr>
        <w:t xml:space="preserve">, p. 149. Available at: </w:t>
      </w:r>
      <w:hyperlink r:id="rId7" w:anchor="v=onepage&amp;q&amp;f=false" w:tgtFrame="_new" w:history="1">
        <w:r w:rsidRPr="008D37F7">
          <w:rPr>
            <w:rStyle w:val="Hyperlink"/>
            <w:rFonts w:ascii="Arial" w:hAnsi="Arial" w:cs="Arial"/>
            <w:sz w:val="24"/>
            <w:szCs w:val="24"/>
          </w:rPr>
          <w:t>https://books.google.com.bd/books?hl=en&amp;lr=&amp;id=pAs8EQAAQBAJ&amp;oi=fnd&amp;pg=PA149&amp;dq=The+Savoy+Hotel+in+London+has+put+in+place+thorough+waste+recycling+and+reuse+projects+that+redirect+all+public+area+waste+together+with+guest+room+waste+and+hotel+room+waste+from+going+to+landfills.&amp;ots=LePfRUqoWJ&amp;sig=YdxhTVSMF6dxPfs1IDUHgRW1Q8o&amp;redir_esc=y#v=onepage&amp;q&amp;f=false</w:t>
        </w:r>
      </w:hyperlink>
      <w:r w:rsidRPr="008D37F7">
        <w:rPr>
          <w:rFonts w:ascii="Arial" w:hAnsi="Arial" w:cs="Arial"/>
          <w:sz w:val="24"/>
          <w:szCs w:val="24"/>
        </w:rPr>
        <w:t>.</w:t>
      </w:r>
    </w:p>
    <w:p w14:paraId="69F31B40"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Bullock, C. (2024) </w:t>
      </w:r>
      <w:r w:rsidRPr="008D37F7">
        <w:rPr>
          <w:rFonts w:ascii="Arial" w:hAnsi="Arial" w:cs="Arial"/>
          <w:i/>
          <w:iCs/>
          <w:sz w:val="24"/>
          <w:szCs w:val="24"/>
        </w:rPr>
        <w:t>Sustainable interior design</w:t>
      </w:r>
      <w:r w:rsidRPr="008D37F7">
        <w:rPr>
          <w:rFonts w:ascii="Arial" w:hAnsi="Arial" w:cs="Arial"/>
          <w:sz w:val="24"/>
          <w:szCs w:val="24"/>
        </w:rPr>
        <w:t xml:space="preserve">. Routledge. Available at: </w:t>
      </w:r>
      <w:hyperlink r:id="rId8" w:anchor="v=onepage&amp;q&amp;f=false" w:tgtFrame="_new" w:history="1">
        <w:r w:rsidRPr="008D37F7">
          <w:rPr>
            <w:rStyle w:val="Hyperlink"/>
            <w:rFonts w:ascii="Arial" w:hAnsi="Arial" w:cs="Arial"/>
            <w:sz w:val="24"/>
            <w:szCs w:val="24"/>
          </w:rPr>
          <w:t>https://books.google.com.bd/books?hl=en&amp;lr=&amp;id=OhgFEQAAQBAJ&amp;oi=fnd&amp;pg=PT31&amp;dq=London+Hilton+on+Park+Lane+September+2024+because+Westminster+City+Council+assessed+its+food+safety+at+zero+out+of+five.+&amp;ots=62UJSOUaFr&amp;sig=ym2lV9W0AscK51uLdmEkOZwN5z8&amp;redir_esc=y#v=onepage&amp;q&amp;f=false</w:t>
        </w:r>
      </w:hyperlink>
      <w:r w:rsidRPr="008D37F7">
        <w:rPr>
          <w:rFonts w:ascii="Arial" w:hAnsi="Arial" w:cs="Arial"/>
          <w:sz w:val="24"/>
          <w:szCs w:val="24"/>
        </w:rPr>
        <w:t>.</w:t>
      </w:r>
    </w:p>
    <w:p w14:paraId="2E69572B"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Cooper, C. (2021) </w:t>
      </w:r>
      <w:r w:rsidRPr="008D37F7">
        <w:rPr>
          <w:rFonts w:ascii="Arial" w:hAnsi="Arial" w:cs="Arial"/>
          <w:i/>
          <w:iCs/>
          <w:sz w:val="24"/>
          <w:szCs w:val="24"/>
        </w:rPr>
        <w:t>Essentials of tourism</w:t>
      </w:r>
      <w:r w:rsidRPr="008D37F7">
        <w:rPr>
          <w:rFonts w:ascii="Arial" w:hAnsi="Arial" w:cs="Arial"/>
          <w:sz w:val="24"/>
          <w:szCs w:val="24"/>
        </w:rPr>
        <w:t>. 3rd edn. London: SAGE.</w:t>
      </w:r>
    </w:p>
    <w:p w14:paraId="1A41DC33"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Costa, C. and Costa, C. (eds.) (2022) </w:t>
      </w:r>
      <w:r w:rsidRPr="008D37F7">
        <w:rPr>
          <w:rFonts w:ascii="Arial" w:hAnsi="Arial" w:cs="Arial"/>
          <w:i/>
          <w:iCs/>
          <w:sz w:val="24"/>
          <w:szCs w:val="24"/>
        </w:rPr>
        <w:t>Sustainability and competitiveness in the hospitality industry</w:t>
      </w:r>
      <w:r w:rsidRPr="008D37F7">
        <w:rPr>
          <w:rFonts w:ascii="Arial" w:hAnsi="Arial" w:cs="Arial"/>
          <w:sz w:val="24"/>
          <w:szCs w:val="24"/>
        </w:rPr>
        <w:t>. Business Science Reference.</w:t>
      </w:r>
    </w:p>
    <w:p w14:paraId="6BA94041"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Deloitte (2025) </w:t>
      </w:r>
      <w:r w:rsidRPr="008D37F7">
        <w:rPr>
          <w:rFonts w:ascii="Arial" w:hAnsi="Arial" w:cs="Arial"/>
          <w:i/>
          <w:iCs/>
          <w:sz w:val="24"/>
          <w:szCs w:val="24"/>
        </w:rPr>
        <w:t>2024 Travel and Hospitality Industry Outlook</w:t>
      </w:r>
      <w:r w:rsidRPr="008D37F7">
        <w:rPr>
          <w:rFonts w:ascii="Arial" w:hAnsi="Arial" w:cs="Arial"/>
          <w:sz w:val="24"/>
          <w:szCs w:val="24"/>
        </w:rPr>
        <w:t xml:space="preserve">. Available at: </w:t>
      </w:r>
      <w:hyperlink r:id="rId9" w:tgtFrame="_new" w:history="1">
        <w:r w:rsidRPr="008D37F7">
          <w:rPr>
            <w:rStyle w:val="Hyperlink"/>
            <w:rFonts w:ascii="Arial" w:hAnsi="Arial" w:cs="Arial"/>
            <w:sz w:val="24"/>
            <w:szCs w:val="24"/>
          </w:rPr>
          <w:t>https://www2.deloitte.com/us/en/pages/consumer-business/articles/travel-hospitality-industry-outlook.html</w:t>
        </w:r>
      </w:hyperlink>
      <w:r w:rsidRPr="008D37F7">
        <w:rPr>
          <w:rFonts w:ascii="Arial" w:hAnsi="Arial" w:cs="Arial"/>
          <w:sz w:val="24"/>
          <w:szCs w:val="24"/>
        </w:rPr>
        <w:t xml:space="preserve"> (Accessed: 27 January 2025).</w:t>
      </w:r>
    </w:p>
    <w:p w14:paraId="5712F280"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Edgell, D. (2020) </w:t>
      </w:r>
      <w:r w:rsidRPr="008D37F7">
        <w:rPr>
          <w:rFonts w:ascii="Arial" w:hAnsi="Arial" w:cs="Arial"/>
          <w:i/>
          <w:iCs/>
          <w:sz w:val="24"/>
          <w:szCs w:val="24"/>
        </w:rPr>
        <w:t>Managing sustainable tourism: a legacy for the future</w:t>
      </w:r>
      <w:r w:rsidRPr="008D37F7">
        <w:rPr>
          <w:rFonts w:ascii="Arial" w:hAnsi="Arial" w:cs="Arial"/>
          <w:sz w:val="24"/>
          <w:szCs w:val="24"/>
        </w:rPr>
        <w:t>. 3rd edn. Routledge.</w:t>
      </w:r>
    </w:p>
    <w:p w14:paraId="0CEE0021"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Haski-Leventhal, D. (2018) </w:t>
      </w:r>
      <w:r w:rsidRPr="008D37F7">
        <w:rPr>
          <w:rFonts w:ascii="Arial" w:hAnsi="Arial" w:cs="Arial"/>
          <w:i/>
          <w:iCs/>
          <w:sz w:val="24"/>
          <w:szCs w:val="24"/>
        </w:rPr>
        <w:t>Strategic corporate social responsibility: tools &amp; theories for responsible management</w:t>
      </w:r>
      <w:r w:rsidRPr="008D37F7">
        <w:rPr>
          <w:rFonts w:ascii="Arial" w:hAnsi="Arial" w:cs="Arial"/>
          <w:sz w:val="24"/>
          <w:szCs w:val="24"/>
        </w:rPr>
        <w:t>. London: SAGE.</w:t>
      </w:r>
    </w:p>
    <w:p w14:paraId="2187AD7C"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lastRenderedPageBreak/>
        <w:t xml:space="preserve">Hilton (2025) </w:t>
      </w:r>
      <w:r w:rsidRPr="008D37F7">
        <w:rPr>
          <w:rFonts w:ascii="Arial" w:hAnsi="Arial" w:cs="Arial"/>
          <w:i/>
          <w:iCs/>
          <w:sz w:val="24"/>
          <w:szCs w:val="24"/>
        </w:rPr>
        <w:t>Hilton launches zero-waste menus across flagship UK hotels</w:t>
      </w:r>
      <w:r w:rsidRPr="008D37F7">
        <w:rPr>
          <w:rFonts w:ascii="Arial" w:hAnsi="Arial" w:cs="Arial"/>
          <w:sz w:val="24"/>
          <w:szCs w:val="24"/>
        </w:rPr>
        <w:t xml:space="preserve">. Available at: </w:t>
      </w:r>
      <w:hyperlink r:id="rId10" w:tgtFrame="_new" w:history="1">
        <w:r w:rsidRPr="008D37F7">
          <w:rPr>
            <w:rStyle w:val="Hyperlink"/>
            <w:rFonts w:ascii="Arial" w:hAnsi="Arial" w:cs="Arial"/>
            <w:sz w:val="24"/>
            <w:szCs w:val="24"/>
          </w:rPr>
          <w:t>https://stories.hilton.com/emea/sustainability/hilton-launches-zero-waste-menus-across-flagship-uk-hotels</w:t>
        </w:r>
      </w:hyperlink>
      <w:r w:rsidRPr="008D37F7">
        <w:rPr>
          <w:rFonts w:ascii="Arial" w:hAnsi="Arial" w:cs="Arial"/>
          <w:sz w:val="24"/>
          <w:szCs w:val="24"/>
        </w:rPr>
        <w:t xml:space="preserve"> (Accessed: 27 January 2025).</w:t>
      </w:r>
    </w:p>
    <w:p w14:paraId="6D172A10"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Inkson, C. and Minnaert, L. (2018) </w:t>
      </w:r>
      <w:r w:rsidRPr="008D37F7">
        <w:rPr>
          <w:rFonts w:ascii="Arial" w:hAnsi="Arial" w:cs="Arial"/>
          <w:i/>
          <w:iCs/>
          <w:sz w:val="24"/>
          <w:szCs w:val="24"/>
        </w:rPr>
        <w:t>Tourism management: an introduction</w:t>
      </w:r>
      <w:r w:rsidRPr="008D37F7">
        <w:rPr>
          <w:rFonts w:ascii="Arial" w:hAnsi="Arial" w:cs="Arial"/>
          <w:sz w:val="24"/>
          <w:szCs w:val="24"/>
        </w:rPr>
        <w:t>. 2nd edn. London: SAGE.</w:t>
      </w:r>
    </w:p>
    <w:p w14:paraId="2CB5949C"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Jauhari, V. (2021) ‘Managing sustainability in the hospitality and tourism industry: paradigms and directions for the future’, </w:t>
      </w:r>
      <w:r w:rsidRPr="008D37F7">
        <w:rPr>
          <w:rFonts w:ascii="Arial" w:hAnsi="Arial" w:cs="Arial"/>
          <w:i/>
          <w:iCs/>
          <w:sz w:val="24"/>
          <w:szCs w:val="24"/>
        </w:rPr>
        <w:t>9th edn.</w:t>
      </w:r>
      <w:r w:rsidRPr="008D37F7">
        <w:rPr>
          <w:rFonts w:ascii="Arial" w:hAnsi="Arial" w:cs="Arial"/>
          <w:sz w:val="24"/>
          <w:szCs w:val="24"/>
        </w:rPr>
        <w:t xml:space="preserve"> Oakville: Apple Academic Press, Inc.</w:t>
      </w:r>
    </w:p>
    <w:p w14:paraId="4D12F49F"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Korstanje, M., George, B. and Nedelea, A. (2020) </w:t>
      </w:r>
      <w:r w:rsidRPr="008D37F7">
        <w:rPr>
          <w:rFonts w:ascii="Arial" w:hAnsi="Arial" w:cs="Arial"/>
          <w:i/>
          <w:iCs/>
          <w:sz w:val="24"/>
          <w:szCs w:val="24"/>
        </w:rPr>
        <w:t>Strategies for promoting sustainable hospitality and tourism services</w:t>
      </w:r>
      <w:r w:rsidRPr="008D37F7">
        <w:rPr>
          <w:rFonts w:ascii="Arial" w:hAnsi="Arial" w:cs="Arial"/>
          <w:sz w:val="24"/>
          <w:szCs w:val="24"/>
        </w:rPr>
        <w:t>. IGI Global.</w:t>
      </w:r>
    </w:p>
    <w:p w14:paraId="6B3F4A55"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Management Association (2018) </w:t>
      </w:r>
      <w:r w:rsidRPr="008D37F7">
        <w:rPr>
          <w:rFonts w:ascii="Arial" w:hAnsi="Arial" w:cs="Arial"/>
          <w:i/>
          <w:iCs/>
          <w:sz w:val="24"/>
          <w:szCs w:val="24"/>
        </w:rPr>
        <w:t>Sustainable tourism</w:t>
      </w:r>
      <w:r w:rsidRPr="008D37F7">
        <w:rPr>
          <w:rFonts w:ascii="Arial" w:hAnsi="Arial" w:cs="Arial"/>
          <w:sz w:val="24"/>
          <w:szCs w:val="24"/>
        </w:rPr>
        <w:t>. IGI Global.</w:t>
      </w:r>
    </w:p>
    <w:p w14:paraId="76137F29"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New governance and management in touristic destinations (2022) </w:t>
      </w:r>
      <w:r w:rsidRPr="008D37F7">
        <w:rPr>
          <w:rFonts w:ascii="Arial" w:hAnsi="Arial" w:cs="Arial"/>
          <w:i/>
          <w:iCs/>
          <w:sz w:val="24"/>
          <w:szCs w:val="24"/>
        </w:rPr>
        <w:t>IGI Global</w:t>
      </w:r>
      <w:r w:rsidRPr="008D37F7">
        <w:rPr>
          <w:rFonts w:ascii="Arial" w:hAnsi="Arial" w:cs="Arial"/>
          <w:sz w:val="24"/>
          <w:szCs w:val="24"/>
        </w:rPr>
        <w:t>.</w:t>
      </w:r>
    </w:p>
    <w:p w14:paraId="65023177"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Ruiz Molina, M.E., Belda-Miquel, S., Hytti, A. and Gil-Saura, I. (2022) ‘Addressing sustainable food management in hotels: proposing a framework and examining hotel groups’, </w:t>
      </w:r>
      <w:r w:rsidRPr="008D37F7">
        <w:rPr>
          <w:rFonts w:ascii="Arial" w:hAnsi="Arial" w:cs="Arial"/>
          <w:i/>
          <w:iCs/>
          <w:sz w:val="24"/>
          <w:szCs w:val="24"/>
        </w:rPr>
        <w:t>British Food Journal</w:t>
      </w:r>
      <w:r w:rsidRPr="008D37F7">
        <w:rPr>
          <w:rFonts w:ascii="Arial" w:hAnsi="Arial" w:cs="Arial"/>
          <w:sz w:val="24"/>
          <w:szCs w:val="24"/>
        </w:rPr>
        <w:t xml:space="preserve">, 124(2), pp. 462-492. Available at: </w:t>
      </w:r>
      <w:hyperlink r:id="rId11" w:tgtFrame="_new" w:history="1">
        <w:r w:rsidRPr="008D37F7">
          <w:rPr>
            <w:rStyle w:val="Hyperlink"/>
            <w:rFonts w:ascii="Arial" w:hAnsi="Arial" w:cs="Arial"/>
            <w:sz w:val="24"/>
            <w:szCs w:val="24"/>
          </w:rPr>
          <w:t>https://www.emerald.com/insight/content/doi/10.1108/bfj-12-2020-1171/full/html</w:t>
        </w:r>
      </w:hyperlink>
      <w:r w:rsidRPr="008D37F7">
        <w:rPr>
          <w:rFonts w:ascii="Arial" w:hAnsi="Arial" w:cs="Arial"/>
          <w:sz w:val="24"/>
          <w:szCs w:val="24"/>
        </w:rPr>
        <w:t>.</w:t>
      </w:r>
    </w:p>
    <w:p w14:paraId="20309FE3"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Sloan, P., Legrand, W. and Chen, J.S. (2017) </w:t>
      </w:r>
      <w:r w:rsidRPr="008D37F7">
        <w:rPr>
          <w:rFonts w:ascii="Arial" w:hAnsi="Arial" w:cs="Arial"/>
          <w:i/>
          <w:iCs/>
          <w:sz w:val="24"/>
          <w:szCs w:val="24"/>
        </w:rPr>
        <w:t>Sustainability in the hospitality industry: principles of sustainable operations</w:t>
      </w:r>
      <w:r w:rsidRPr="008D37F7">
        <w:rPr>
          <w:rFonts w:ascii="Arial" w:hAnsi="Arial" w:cs="Arial"/>
          <w:sz w:val="24"/>
          <w:szCs w:val="24"/>
        </w:rPr>
        <w:t>. 3rd edn. London: Butterworth-Heinemann.</w:t>
      </w:r>
    </w:p>
    <w:p w14:paraId="04729266"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Sustainable Hospitality Alliance (2025) </w:t>
      </w:r>
      <w:r w:rsidRPr="008D37F7">
        <w:rPr>
          <w:rFonts w:ascii="Arial" w:hAnsi="Arial" w:cs="Arial"/>
          <w:i/>
          <w:iCs/>
          <w:sz w:val="24"/>
          <w:szCs w:val="24"/>
        </w:rPr>
        <w:t>Food Waste Factsheet</w:t>
      </w:r>
      <w:r w:rsidRPr="008D37F7">
        <w:rPr>
          <w:rFonts w:ascii="Arial" w:hAnsi="Arial" w:cs="Arial"/>
          <w:sz w:val="24"/>
          <w:szCs w:val="24"/>
        </w:rPr>
        <w:t xml:space="preserve">. Available at: </w:t>
      </w:r>
      <w:hyperlink r:id="rId12" w:tgtFrame="_new" w:history="1">
        <w:r w:rsidRPr="008D37F7">
          <w:rPr>
            <w:rStyle w:val="Hyperlink"/>
            <w:rFonts w:ascii="Arial" w:hAnsi="Arial" w:cs="Arial"/>
            <w:sz w:val="24"/>
            <w:szCs w:val="24"/>
          </w:rPr>
          <w:t>https://sustainablehospitalityalliance.org/wp-content/uploads/2021/06/Food-waste-factsheet.pdf</w:t>
        </w:r>
      </w:hyperlink>
      <w:r w:rsidRPr="008D37F7">
        <w:rPr>
          <w:rFonts w:ascii="Arial" w:hAnsi="Arial" w:cs="Arial"/>
          <w:sz w:val="24"/>
          <w:szCs w:val="24"/>
        </w:rPr>
        <w:t xml:space="preserve"> (Accessed: 27 January 2025).</w:t>
      </w:r>
    </w:p>
    <w:p w14:paraId="3A66F8BF"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Sustainable Hospitality Alliance (2025) </w:t>
      </w:r>
      <w:r w:rsidRPr="008D37F7">
        <w:rPr>
          <w:rFonts w:ascii="Arial" w:hAnsi="Arial" w:cs="Arial"/>
          <w:i/>
          <w:iCs/>
          <w:sz w:val="24"/>
          <w:szCs w:val="24"/>
        </w:rPr>
        <w:t>Home</w:t>
      </w:r>
      <w:r w:rsidRPr="008D37F7">
        <w:rPr>
          <w:rFonts w:ascii="Arial" w:hAnsi="Arial" w:cs="Arial"/>
          <w:sz w:val="24"/>
          <w:szCs w:val="24"/>
        </w:rPr>
        <w:t xml:space="preserve">. Available at: </w:t>
      </w:r>
      <w:hyperlink r:id="rId13" w:tgtFrame="_new" w:history="1">
        <w:r w:rsidRPr="008D37F7">
          <w:rPr>
            <w:rStyle w:val="Hyperlink"/>
            <w:rFonts w:ascii="Arial" w:hAnsi="Arial" w:cs="Arial"/>
            <w:sz w:val="24"/>
            <w:szCs w:val="24"/>
          </w:rPr>
          <w:t>https://sustainablehospitalityalliance.org/</w:t>
        </w:r>
      </w:hyperlink>
      <w:r w:rsidRPr="008D37F7">
        <w:rPr>
          <w:rFonts w:ascii="Arial" w:hAnsi="Arial" w:cs="Arial"/>
          <w:sz w:val="24"/>
          <w:szCs w:val="24"/>
        </w:rPr>
        <w:t xml:space="preserve"> (Accessed: 27 January 2025).</w:t>
      </w:r>
    </w:p>
    <w:p w14:paraId="1B6178E0"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i/>
          <w:iCs/>
          <w:sz w:val="24"/>
          <w:szCs w:val="24"/>
        </w:rPr>
        <w:t>Sustainable tourism: breakthroughs in research and practice</w:t>
      </w:r>
      <w:r w:rsidRPr="008D37F7">
        <w:rPr>
          <w:rFonts w:ascii="Arial" w:hAnsi="Arial" w:cs="Arial"/>
          <w:sz w:val="24"/>
          <w:szCs w:val="24"/>
        </w:rPr>
        <w:t xml:space="preserve"> (2019). IGI Global.</w:t>
      </w:r>
    </w:p>
    <w:p w14:paraId="0566F9C7"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United Nations Environment Programme (UNEP) (2021) </w:t>
      </w:r>
      <w:r w:rsidRPr="008D37F7">
        <w:rPr>
          <w:rFonts w:ascii="Arial" w:hAnsi="Arial" w:cs="Arial"/>
          <w:i/>
          <w:iCs/>
          <w:sz w:val="24"/>
          <w:szCs w:val="24"/>
        </w:rPr>
        <w:t>UNEP Food Waste Index Report 2021</w:t>
      </w:r>
      <w:r w:rsidRPr="008D37F7">
        <w:rPr>
          <w:rFonts w:ascii="Arial" w:hAnsi="Arial" w:cs="Arial"/>
          <w:sz w:val="24"/>
          <w:szCs w:val="24"/>
        </w:rPr>
        <w:t xml:space="preserve">. Available at: </w:t>
      </w:r>
      <w:hyperlink r:id="rId14" w:tgtFrame="_new" w:history="1">
        <w:r w:rsidRPr="008D37F7">
          <w:rPr>
            <w:rStyle w:val="Hyperlink"/>
            <w:rFonts w:ascii="Arial" w:hAnsi="Arial" w:cs="Arial"/>
            <w:sz w:val="24"/>
            <w:szCs w:val="24"/>
          </w:rPr>
          <w:t>https://www.unep.org/resources/report/unep-food-waste-index-report-2021</w:t>
        </w:r>
      </w:hyperlink>
      <w:r w:rsidRPr="008D37F7">
        <w:rPr>
          <w:rFonts w:ascii="Arial" w:hAnsi="Arial" w:cs="Arial"/>
          <w:sz w:val="24"/>
          <w:szCs w:val="24"/>
        </w:rPr>
        <w:t xml:space="preserve"> (Accessed: 27 January 2025).</w:t>
      </w:r>
    </w:p>
    <w:p w14:paraId="5A88F6F2"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t xml:space="preserve">Wickham, D., Donnelly, T. and French, L. (2021) ‘Strategic sustainability management in the event sector’, </w:t>
      </w:r>
      <w:r w:rsidRPr="008D37F7">
        <w:rPr>
          <w:rFonts w:ascii="Arial" w:hAnsi="Arial" w:cs="Arial"/>
          <w:i/>
          <w:iCs/>
          <w:sz w:val="24"/>
          <w:szCs w:val="24"/>
        </w:rPr>
        <w:t>Event Management</w:t>
      </w:r>
      <w:r w:rsidRPr="008D37F7">
        <w:rPr>
          <w:rFonts w:ascii="Arial" w:hAnsi="Arial" w:cs="Arial"/>
          <w:sz w:val="24"/>
          <w:szCs w:val="24"/>
        </w:rPr>
        <w:t>, 25(3), pp. 279–296.</w:t>
      </w:r>
    </w:p>
    <w:p w14:paraId="53768FD5" w14:textId="77777777" w:rsidR="00114797" w:rsidRPr="008D37F7" w:rsidRDefault="00114797" w:rsidP="008D37F7">
      <w:pPr>
        <w:spacing w:line="360" w:lineRule="auto"/>
        <w:jc w:val="both"/>
        <w:rPr>
          <w:rFonts w:ascii="Arial" w:hAnsi="Arial" w:cs="Arial"/>
          <w:sz w:val="24"/>
          <w:szCs w:val="24"/>
        </w:rPr>
      </w:pPr>
      <w:r w:rsidRPr="008D37F7">
        <w:rPr>
          <w:rFonts w:ascii="Arial" w:hAnsi="Arial" w:cs="Arial"/>
          <w:sz w:val="24"/>
          <w:szCs w:val="24"/>
        </w:rPr>
        <w:lastRenderedPageBreak/>
        <w:t xml:space="preserve">WRAP (2025) </w:t>
      </w:r>
      <w:r w:rsidRPr="008D37F7">
        <w:rPr>
          <w:rFonts w:ascii="Arial" w:hAnsi="Arial" w:cs="Arial"/>
          <w:i/>
          <w:iCs/>
          <w:sz w:val="24"/>
          <w:szCs w:val="24"/>
        </w:rPr>
        <w:t>Overview of waste in the UK hospitality and food service sector</w:t>
      </w:r>
      <w:r w:rsidRPr="008D37F7">
        <w:rPr>
          <w:rFonts w:ascii="Arial" w:hAnsi="Arial" w:cs="Arial"/>
          <w:sz w:val="24"/>
          <w:szCs w:val="24"/>
        </w:rPr>
        <w:t xml:space="preserve">. Available at: </w:t>
      </w:r>
      <w:hyperlink r:id="rId15" w:tgtFrame="_new" w:history="1">
        <w:r w:rsidRPr="008D37F7">
          <w:rPr>
            <w:rStyle w:val="Hyperlink"/>
            <w:rFonts w:ascii="Arial" w:hAnsi="Arial" w:cs="Arial"/>
            <w:sz w:val="24"/>
            <w:szCs w:val="24"/>
          </w:rPr>
          <w:t>https://www.wrap.ngo/resources/report/overview-waste-hospitality-and-food-service-sector</w:t>
        </w:r>
      </w:hyperlink>
      <w:r w:rsidRPr="008D37F7">
        <w:rPr>
          <w:rFonts w:ascii="Arial" w:hAnsi="Arial" w:cs="Arial"/>
          <w:sz w:val="24"/>
          <w:szCs w:val="24"/>
        </w:rPr>
        <w:t xml:space="preserve"> (Accessed: 27 January 2025).</w:t>
      </w:r>
    </w:p>
    <w:p w14:paraId="0678CA21" w14:textId="77777777" w:rsidR="00114797" w:rsidRPr="00114797" w:rsidRDefault="00114797" w:rsidP="00114797"/>
    <w:p w14:paraId="62EF0F1B" w14:textId="77777777" w:rsidR="00114797" w:rsidRPr="00114797" w:rsidRDefault="00114797" w:rsidP="00114797"/>
    <w:p w14:paraId="082364B7" w14:textId="77777777" w:rsidR="00114797" w:rsidRPr="00114797" w:rsidRDefault="00114797" w:rsidP="00114797"/>
    <w:p w14:paraId="50DB7528" w14:textId="77777777" w:rsidR="00114797" w:rsidRPr="00114797" w:rsidRDefault="00114797" w:rsidP="00114797"/>
    <w:p w14:paraId="5AA56343" w14:textId="77777777" w:rsidR="006D11D5" w:rsidRDefault="006D11D5"/>
    <w:sectPr w:rsidR="006D11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FF05A4"/>
    <w:multiLevelType w:val="hybridMultilevel"/>
    <w:tmpl w:val="C8B09B1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2058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D3"/>
    <w:rsid w:val="00114797"/>
    <w:rsid w:val="0016660D"/>
    <w:rsid w:val="00172823"/>
    <w:rsid w:val="002064BE"/>
    <w:rsid w:val="002C4AB3"/>
    <w:rsid w:val="002F72C1"/>
    <w:rsid w:val="0044017C"/>
    <w:rsid w:val="004F4C3B"/>
    <w:rsid w:val="005A03AD"/>
    <w:rsid w:val="00657F3F"/>
    <w:rsid w:val="006C06D3"/>
    <w:rsid w:val="006D11D5"/>
    <w:rsid w:val="006F7EB9"/>
    <w:rsid w:val="00734BCD"/>
    <w:rsid w:val="00765FA2"/>
    <w:rsid w:val="008D37F7"/>
    <w:rsid w:val="00913DC9"/>
    <w:rsid w:val="009355CD"/>
    <w:rsid w:val="0095552A"/>
    <w:rsid w:val="009B01A2"/>
    <w:rsid w:val="009E0A9C"/>
    <w:rsid w:val="00A52DA7"/>
    <w:rsid w:val="00AC1FB2"/>
    <w:rsid w:val="00B119BE"/>
    <w:rsid w:val="00BA55BA"/>
    <w:rsid w:val="00BD0F9A"/>
    <w:rsid w:val="00C5768E"/>
    <w:rsid w:val="00C82872"/>
    <w:rsid w:val="00D0372F"/>
    <w:rsid w:val="00D51122"/>
    <w:rsid w:val="00E02237"/>
    <w:rsid w:val="00E6099B"/>
    <w:rsid w:val="00EB008A"/>
    <w:rsid w:val="00F50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22EFC"/>
  <w15:chartTrackingRefBased/>
  <w15:docId w15:val="{28ED8B86-272F-4CE6-A4F0-2ACDDF015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06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06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06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06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06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06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06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06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06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06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06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06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06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06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06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06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06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06D3"/>
    <w:rPr>
      <w:rFonts w:eastAsiaTheme="majorEastAsia" w:cstheme="majorBidi"/>
      <w:color w:val="272727" w:themeColor="text1" w:themeTint="D8"/>
    </w:rPr>
  </w:style>
  <w:style w:type="paragraph" w:styleId="Title">
    <w:name w:val="Title"/>
    <w:basedOn w:val="Normal"/>
    <w:next w:val="Normal"/>
    <w:link w:val="TitleChar"/>
    <w:uiPriority w:val="10"/>
    <w:qFormat/>
    <w:rsid w:val="006C06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06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06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06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06D3"/>
    <w:pPr>
      <w:spacing w:before="160"/>
      <w:jc w:val="center"/>
    </w:pPr>
    <w:rPr>
      <w:i/>
      <w:iCs/>
      <w:color w:val="404040" w:themeColor="text1" w:themeTint="BF"/>
    </w:rPr>
  </w:style>
  <w:style w:type="character" w:customStyle="1" w:styleId="QuoteChar">
    <w:name w:val="Quote Char"/>
    <w:basedOn w:val="DefaultParagraphFont"/>
    <w:link w:val="Quote"/>
    <w:uiPriority w:val="29"/>
    <w:rsid w:val="006C06D3"/>
    <w:rPr>
      <w:i/>
      <w:iCs/>
      <w:color w:val="404040" w:themeColor="text1" w:themeTint="BF"/>
    </w:rPr>
  </w:style>
  <w:style w:type="paragraph" w:styleId="ListParagraph">
    <w:name w:val="List Paragraph"/>
    <w:basedOn w:val="Normal"/>
    <w:uiPriority w:val="34"/>
    <w:qFormat/>
    <w:rsid w:val="006C06D3"/>
    <w:pPr>
      <w:ind w:left="720"/>
      <w:contextualSpacing/>
    </w:pPr>
  </w:style>
  <w:style w:type="character" w:styleId="IntenseEmphasis">
    <w:name w:val="Intense Emphasis"/>
    <w:basedOn w:val="DefaultParagraphFont"/>
    <w:uiPriority w:val="21"/>
    <w:qFormat/>
    <w:rsid w:val="006C06D3"/>
    <w:rPr>
      <w:i/>
      <w:iCs/>
      <w:color w:val="0F4761" w:themeColor="accent1" w:themeShade="BF"/>
    </w:rPr>
  </w:style>
  <w:style w:type="paragraph" w:styleId="IntenseQuote">
    <w:name w:val="Intense Quote"/>
    <w:basedOn w:val="Normal"/>
    <w:next w:val="Normal"/>
    <w:link w:val="IntenseQuoteChar"/>
    <w:uiPriority w:val="30"/>
    <w:qFormat/>
    <w:rsid w:val="006C06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06D3"/>
    <w:rPr>
      <w:i/>
      <w:iCs/>
      <w:color w:val="0F4761" w:themeColor="accent1" w:themeShade="BF"/>
    </w:rPr>
  </w:style>
  <w:style w:type="character" w:styleId="IntenseReference">
    <w:name w:val="Intense Reference"/>
    <w:basedOn w:val="DefaultParagraphFont"/>
    <w:uiPriority w:val="32"/>
    <w:qFormat/>
    <w:rsid w:val="006C06D3"/>
    <w:rPr>
      <w:b/>
      <w:bCs/>
      <w:smallCaps/>
      <w:color w:val="0F4761" w:themeColor="accent1" w:themeShade="BF"/>
      <w:spacing w:val="5"/>
    </w:rPr>
  </w:style>
  <w:style w:type="character" w:styleId="Hyperlink">
    <w:name w:val="Hyperlink"/>
    <w:basedOn w:val="DefaultParagraphFont"/>
    <w:uiPriority w:val="99"/>
    <w:unhideWhenUsed/>
    <w:rsid w:val="00114797"/>
    <w:rPr>
      <w:color w:val="467886" w:themeColor="hyperlink"/>
      <w:u w:val="single"/>
    </w:rPr>
  </w:style>
  <w:style w:type="character" w:styleId="UnresolvedMention">
    <w:name w:val="Unresolved Mention"/>
    <w:basedOn w:val="DefaultParagraphFont"/>
    <w:uiPriority w:val="99"/>
    <w:semiHidden/>
    <w:unhideWhenUsed/>
    <w:rsid w:val="00114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265056">
      <w:bodyDiv w:val="1"/>
      <w:marLeft w:val="0"/>
      <w:marRight w:val="0"/>
      <w:marTop w:val="0"/>
      <w:marBottom w:val="0"/>
      <w:divBdr>
        <w:top w:val="none" w:sz="0" w:space="0" w:color="auto"/>
        <w:left w:val="none" w:sz="0" w:space="0" w:color="auto"/>
        <w:bottom w:val="none" w:sz="0" w:space="0" w:color="auto"/>
        <w:right w:val="none" w:sz="0" w:space="0" w:color="auto"/>
      </w:divBdr>
    </w:div>
    <w:div w:id="600990988">
      <w:bodyDiv w:val="1"/>
      <w:marLeft w:val="0"/>
      <w:marRight w:val="0"/>
      <w:marTop w:val="0"/>
      <w:marBottom w:val="0"/>
      <w:divBdr>
        <w:top w:val="none" w:sz="0" w:space="0" w:color="auto"/>
        <w:left w:val="none" w:sz="0" w:space="0" w:color="auto"/>
        <w:bottom w:val="none" w:sz="0" w:space="0" w:color="auto"/>
        <w:right w:val="none" w:sz="0" w:space="0" w:color="auto"/>
      </w:divBdr>
    </w:div>
    <w:div w:id="764620181">
      <w:bodyDiv w:val="1"/>
      <w:marLeft w:val="0"/>
      <w:marRight w:val="0"/>
      <w:marTop w:val="0"/>
      <w:marBottom w:val="0"/>
      <w:divBdr>
        <w:top w:val="none" w:sz="0" w:space="0" w:color="auto"/>
        <w:left w:val="none" w:sz="0" w:space="0" w:color="auto"/>
        <w:bottom w:val="none" w:sz="0" w:space="0" w:color="auto"/>
        <w:right w:val="none" w:sz="0" w:space="0" w:color="auto"/>
      </w:divBdr>
      <w:divsChild>
        <w:div w:id="1031344787">
          <w:marLeft w:val="0"/>
          <w:marRight w:val="0"/>
          <w:marTop w:val="0"/>
          <w:marBottom w:val="0"/>
          <w:divBdr>
            <w:top w:val="none" w:sz="0" w:space="0" w:color="auto"/>
            <w:left w:val="none" w:sz="0" w:space="0" w:color="auto"/>
            <w:bottom w:val="none" w:sz="0" w:space="0" w:color="auto"/>
            <w:right w:val="none" w:sz="0" w:space="0" w:color="auto"/>
          </w:divBdr>
          <w:divsChild>
            <w:div w:id="5894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868493">
      <w:bodyDiv w:val="1"/>
      <w:marLeft w:val="0"/>
      <w:marRight w:val="0"/>
      <w:marTop w:val="0"/>
      <w:marBottom w:val="0"/>
      <w:divBdr>
        <w:top w:val="none" w:sz="0" w:space="0" w:color="auto"/>
        <w:left w:val="none" w:sz="0" w:space="0" w:color="auto"/>
        <w:bottom w:val="none" w:sz="0" w:space="0" w:color="auto"/>
        <w:right w:val="none" w:sz="0" w:space="0" w:color="auto"/>
      </w:divBdr>
    </w:div>
    <w:div w:id="1276137922">
      <w:bodyDiv w:val="1"/>
      <w:marLeft w:val="0"/>
      <w:marRight w:val="0"/>
      <w:marTop w:val="0"/>
      <w:marBottom w:val="0"/>
      <w:divBdr>
        <w:top w:val="none" w:sz="0" w:space="0" w:color="auto"/>
        <w:left w:val="none" w:sz="0" w:space="0" w:color="auto"/>
        <w:bottom w:val="none" w:sz="0" w:space="0" w:color="auto"/>
        <w:right w:val="none" w:sz="0" w:space="0" w:color="auto"/>
      </w:divBdr>
      <w:divsChild>
        <w:div w:id="458110301">
          <w:marLeft w:val="0"/>
          <w:marRight w:val="0"/>
          <w:marTop w:val="0"/>
          <w:marBottom w:val="0"/>
          <w:divBdr>
            <w:top w:val="none" w:sz="0" w:space="0" w:color="auto"/>
            <w:left w:val="none" w:sz="0" w:space="0" w:color="auto"/>
            <w:bottom w:val="none" w:sz="0" w:space="0" w:color="auto"/>
            <w:right w:val="none" w:sz="0" w:space="0" w:color="auto"/>
          </w:divBdr>
          <w:divsChild>
            <w:div w:id="174610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9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d/books?hl=en&amp;lr=&amp;id=OhgFEQAAQBAJ&amp;oi=fnd&amp;pg=PT31&amp;dq=London+Hilton+on+Park+Lane+September+2024+because+Westminster+City+Council+assessed+its+food+safety+at+zero+out+of+five.+&amp;ots=62UJSOUaFr&amp;sig=ym2lV9W0AscK51uLdmEkOZwN5z8&amp;redir_esc=y" TargetMode="External"/><Relationship Id="rId13" Type="http://schemas.openxmlformats.org/officeDocument/2006/relationships/hyperlink" Target="https://sustainablehospitalityalliance.org/" TargetMode="External"/><Relationship Id="rId3" Type="http://schemas.openxmlformats.org/officeDocument/2006/relationships/settings" Target="settings.xml"/><Relationship Id="rId7" Type="http://schemas.openxmlformats.org/officeDocument/2006/relationships/hyperlink" Target="https://books.google.com.bd/books?hl=en&amp;lr=&amp;id=pAs8EQAAQBAJ&amp;oi=fnd&amp;pg=PA149&amp;dq=The+Savoy+Hotel+in+London+has+put+in+place+thorough+waste+recycling+and+reuse+projects+that+redirect+all+public+area+waste+together+with+guest+room+waste+and+hotel+room+waste+from+going+to+landfills.&amp;ots=LePfRUqoWJ&amp;sig=YdxhTVSMF6dxPfs1IDUHgRW1Q8o&amp;redir_esc=y" TargetMode="External"/><Relationship Id="rId12" Type="http://schemas.openxmlformats.org/officeDocument/2006/relationships/hyperlink" Target="https://sustainablehospitalityalliance.org/wp-content/uploads/2021/06/Food-waste-factsheet.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biofilico.com/news/sustainable-uk-countryside-hotels" TargetMode="External"/><Relationship Id="rId11" Type="http://schemas.openxmlformats.org/officeDocument/2006/relationships/hyperlink" Target="https://www.emerald.com/insight/content/doi/10.1108/bfj-12-2020-1171/full/html" TargetMode="External"/><Relationship Id="rId5" Type="http://schemas.openxmlformats.org/officeDocument/2006/relationships/image" Target="media/image1.png"/><Relationship Id="rId15" Type="http://schemas.openxmlformats.org/officeDocument/2006/relationships/hyperlink" Target="https://www.wrap.ngo/resources/report/overview-waste-hospitality-and-food-service-sector" TargetMode="External"/><Relationship Id="rId10" Type="http://schemas.openxmlformats.org/officeDocument/2006/relationships/hyperlink" Target="https://stories.hilton.com/emea/sustainability/hilton-launches-zero-waste-menus-across-flagship-uk-hotels" TargetMode="External"/><Relationship Id="rId4" Type="http://schemas.openxmlformats.org/officeDocument/2006/relationships/webSettings" Target="webSettings.xml"/><Relationship Id="rId9" Type="http://schemas.openxmlformats.org/officeDocument/2006/relationships/hyperlink" Target="https://www2.deloitte.com/us/en/pages/consumer-business/articles/travel-hospitality-industry-outlook.html" TargetMode="External"/><Relationship Id="rId14" Type="http://schemas.openxmlformats.org/officeDocument/2006/relationships/hyperlink" Target="https://www.unep.org/resources/report/unep-food-waste-index-report-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12</Pages>
  <Words>3404</Words>
  <Characters>19404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Daniel Mihalcea (2244870)</dc:creator>
  <cp:keywords/>
  <dc:description/>
  <cp:lastModifiedBy>Mihai Daniel Mihalcea (2244870)</cp:lastModifiedBy>
  <cp:revision>21</cp:revision>
  <dcterms:created xsi:type="dcterms:W3CDTF">2025-01-16T09:53:00Z</dcterms:created>
  <dcterms:modified xsi:type="dcterms:W3CDTF">2025-02-07T10:03:00Z</dcterms:modified>
</cp:coreProperties>
</file>