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046B8" w14:textId="1D10BCDE" w:rsidR="00AE1946" w:rsidRPr="00133E4D" w:rsidRDefault="00AE1946" w:rsidP="00133E4D">
      <w:pPr>
        <w:spacing w:line="360" w:lineRule="auto"/>
        <w:rPr>
          <w:rFonts w:ascii="Arial" w:hAnsi="Arial" w:cs="Arial"/>
          <w:b/>
          <w:bCs/>
        </w:rPr>
      </w:pPr>
      <w:r w:rsidRPr="00133E4D">
        <w:rPr>
          <w:rFonts w:ascii="Arial" w:hAnsi="Arial" w:cs="Arial"/>
          <w:b/>
          <w:bCs/>
        </w:rPr>
        <w:t xml:space="preserve">Strategic Evaluation and Future Growth Strategy for </w:t>
      </w:r>
      <w:proofErr w:type="spellStart"/>
      <w:r w:rsidRPr="00133E4D">
        <w:rPr>
          <w:rFonts w:ascii="Arial" w:hAnsi="Arial" w:cs="Arial"/>
          <w:b/>
          <w:bCs/>
        </w:rPr>
        <w:t>VodafoneThree</w:t>
      </w:r>
      <w:proofErr w:type="spellEnd"/>
      <w:r w:rsidRPr="00133E4D">
        <w:rPr>
          <w:rFonts w:ascii="Arial" w:hAnsi="Arial" w:cs="Arial"/>
          <w:b/>
          <w:bCs/>
        </w:rPr>
        <w:t xml:space="preserve"> Following the UK Merger</w:t>
      </w:r>
    </w:p>
    <w:p w14:paraId="587298F3" w14:textId="10DE9006" w:rsidR="00133E4D" w:rsidRPr="00133E4D" w:rsidRDefault="00133E4D" w:rsidP="00133E4D">
      <w:pPr>
        <w:spacing w:line="360" w:lineRule="auto"/>
        <w:rPr>
          <w:rFonts w:ascii="Arial" w:hAnsi="Arial" w:cs="Arial"/>
        </w:rPr>
      </w:pPr>
      <w:r w:rsidRPr="00133E4D">
        <w:rPr>
          <w:rFonts w:ascii="Arial" w:hAnsi="Arial" w:cs="Arial"/>
        </w:rPr>
        <w:t xml:space="preserve">Student name: </w:t>
      </w:r>
      <w:r w:rsidRPr="00133E4D">
        <w:rPr>
          <w:rFonts w:ascii="Arial" w:hAnsi="Arial" w:cs="Arial"/>
        </w:rPr>
        <w:t>Lorena-Valentina Sbirnea</w:t>
      </w:r>
    </w:p>
    <w:p w14:paraId="3F628974" w14:textId="77777777" w:rsidR="00133E4D" w:rsidRPr="00133E4D" w:rsidRDefault="00133E4D" w:rsidP="00133E4D">
      <w:pPr>
        <w:spacing w:line="360" w:lineRule="auto"/>
        <w:rPr>
          <w:rFonts w:ascii="Arial" w:hAnsi="Arial" w:cs="Arial"/>
        </w:rPr>
      </w:pPr>
      <w:r w:rsidRPr="00133E4D">
        <w:rPr>
          <w:rFonts w:ascii="Arial" w:hAnsi="Arial" w:cs="Arial"/>
        </w:rPr>
        <w:t>Module name: LCLM6001</w:t>
      </w:r>
    </w:p>
    <w:p w14:paraId="4240058D" w14:textId="742634D4" w:rsidR="00133E4D" w:rsidRPr="00133E4D" w:rsidRDefault="00133E4D" w:rsidP="00133E4D">
      <w:pPr>
        <w:spacing w:line="360" w:lineRule="auto"/>
        <w:rPr>
          <w:rFonts w:ascii="Arial" w:hAnsi="Arial" w:cs="Arial"/>
        </w:rPr>
      </w:pPr>
      <w:r w:rsidRPr="00133E4D">
        <w:rPr>
          <w:rFonts w:ascii="Arial" w:hAnsi="Arial" w:cs="Arial"/>
        </w:rPr>
        <w:t>Student ID: 232960</w:t>
      </w:r>
      <w:r w:rsidRPr="00133E4D">
        <w:rPr>
          <w:rFonts w:ascii="Arial" w:hAnsi="Arial" w:cs="Arial"/>
        </w:rPr>
        <w:t>4</w:t>
      </w:r>
    </w:p>
    <w:p w14:paraId="66EE5AC0" w14:textId="2D21C6F8" w:rsidR="00133E4D" w:rsidRPr="00133E4D" w:rsidRDefault="00133E4D" w:rsidP="00133E4D">
      <w:pPr>
        <w:spacing w:line="360" w:lineRule="auto"/>
        <w:rPr>
          <w:rFonts w:ascii="Arial" w:hAnsi="Arial" w:cs="Arial"/>
        </w:rPr>
      </w:pPr>
      <w:r w:rsidRPr="00133E4D">
        <w:rPr>
          <w:rFonts w:ascii="Arial" w:hAnsi="Arial" w:cs="Arial"/>
        </w:rPr>
        <w:t xml:space="preserve">Lecturer name: </w:t>
      </w:r>
      <w:proofErr w:type="spellStart"/>
      <w:r w:rsidRPr="00133E4D">
        <w:rPr>
          <w:rFonts w:ascii="Arial" w:hAnsi="Arial" w:cs="Arial"/>
        </w:rPr>
        <w:t>Munodzinesa</w:t>
      </w:r>
      <w:proofErr w:type="spellEnd"/>
      <w:r w:rsidRPr="00133E4D">
        <w:rPr>
          <w:rFonts w:ascii="Arial" w:hAnsi="Arial" w:cs="Arial"/>
        </w:rPr>
        <w:t xml:space="preserve"> </w:t>
      </w:r>
      <w:proofErr w:type="spellStart"/>
      <w:r w:rsidRPr="00133E4D">
        <w:rPr>
          <w:rFonts w:ascii="Arial" w:hAnsi="Arial" w:cs="Arial"/>
        </w:rPr>
        <w:t>Zuwirai</w:t>
      </w:r>
      <w:proofErr w:type="spellEnd"/>
    </w:p>
    <w:p w14:paraId="4CA5D716" w14:textId="7AA92126" w:rsidR="00E14366" w:rsidRPr="00133E4D" w:rsidRDefault="00AE1946" w:rsidP="00133E4D">
      <w:pPr>
        <w:spacing w:line="360" w:lineRule="auto"/>
        <w:rPr>
          <w:rFonts w:ascii="Arial" w:hAnsi="Arial" w:cs="Arial"/>
        </w:rPr>
      </w:pPr>
      <w:r w:rsidRPr="00133E4D">
        <w:rPr>
          <w:rFonts w:ascii="Arial" w:hAnsi="Arial" w:cs="Arial"/>
        </w:rPr>
        <w:br w:type="page"/>
      </w:r>
      <w:r w:rsidRPr="00133E4D">
        <w:rPr>
          <w:rFonts w:ascii="Arial" w:hAnsi="Arial" w:cs="Arial"/>
          <w:b/>
          <w:bCs/>
        </w:rPr>
        <w:lastRenderedPageBreak/>
        <w:t>Executive Summary</w:t>
      </w:r>
    </w:p>
    <w:p w14:paraId="11394375" w14:textId="77777777" w:rsidR="00E14366" w:rsidRPr="00133E4D" w:rsidRDefault="00000000" w:rsidP="00133E4D">
      <w:pPr>
        <w:spacing w:after="120" w:line="360" w:lineRule="auto"/>
        <w:rPr>
          <w:rFonts w:ascii="Arial" w:hAnsi="Arial" w:cs="Arial"/>
        </w:rPr>
      </w:pPr>
      <w:proofErr w:type="spellStart"/>
      <w:r w:rsidRPr="00133E4D">
        <w:rPr>
          <w:rFonts w:ascii="Arial" w:hAnsi="Arial" w:cs="Arial"/>
        </w:rPr>
        <w:t>VodafoneThree</w:t>
      </w:r>
      <w:proofErr w:type="spellEnd"/>
      <w:r w:rsidRPr="00133E4D">
        <w:rPr>
          <w:rFonts w:ascii="Arial" w:hAnsi="Arial" w:cs="Arial"/>
        </w:rPr>
        <w:t xml:space="preserve"> was formed on 31 May 2025 through the £16.5 billion merger of Vodafone UK and Three UK, creating the UK's largest mobile operator with approximately 27 million customers, subject to CMA-approved commitments including an £11 billion network investment (Competition and Markets Authority, 2024). In May 2026, Vodafone agreed to acquire CK Hutchison's 49% stake for £4.3 billion, with completion expected in H2 2026 (Reuters, 2026).</w:t>
      </w:r>
    </w:p>
    <w:p w14:paraId="5CDD9886"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This report applies PESTEL, Porter's Five Forces, VRIO, SWOT and TOWS frameworks to evaluate </w:t>
      </w:r>
      <w:proofErr w:type="spellStart"/>
      <w:r w:rsidRPr="00133E4D">
        <w:rPr>
          <w:rFonts w:ascii="Arial" w:hAnsi="Arial" w:cs="Arial"/>
        </w:rPr>
        <w:t>VodafoneThree's</w:t>
      </w:r>
      <w:proofErr w:type="spellEnd"/>
      <w:r w:rsidRPr="00133E4D">
        <w:rPr>
          <w:rFonts w:ascii="Arial" w:hAnsi="Arial" w:cs="Arial"/>
        </w:rPr>
        <w:t xml:space="preserve"> environment and internal </w:t>
      </w:r>
      <w:proofErr w:type="gramStart"/>
      <w:r w:rsidRPr="00133E4D">
        <w:rPr>
          <w:rFonts w:ascii="Arial" w:hAnsi="Arial" w:cs="Arial"/>
        </w:rPr>
        <w:t>capabilities post-merger</w:t>
      </w:r>
      <w:proofErr w:type="gramEnd"/>
      <w:r w:rsidRPr="00133E4D">
        <w:rPr>
          <w:rFonts w:ascii="Arial" w:hAnsi="Arial" w:cs="Arial"/>
        </w:rPr>
        <w:t xml:space="preserve">, followed by a strategic analysis and evaluation before recommendation. Three growth options are assessed using Ansoff's (1957) matrix and Porter's (1985) generic strategies: technology-led differentiation, market development and cost leadership. Technology-led differentiation — </w:t>
      </w:r>
      <w:proofErr w:type="spellStart"/>
      <w:r w:rsidRPr="00133E4D">
        <w:rPr>
          <w:rFonts w:ascii="Arial" w:hAnsi="Arial" w:cs="Arial"/>
        </w:rPr>
        <w:t>centred</w:t>
      </w:r>
      <w:proofErr w:type="spellEnd"/>
      <w:r w:rsidRPr="00133E4D">
        <w:rPr>
          <w:rFonts w:ascii="Arial" w:hAnsi="Arial" w:cs="Arial"/>
        </w:rPr>
        <w:t xml:space="preserve"> on 5G/</w:t>
      </w:r>
      <w:proofErr w:type="spellStart"/>
      <w:r w:rsidRPr="00133E4D">
        <w:rPr>
          <w:rFonts w:ascii="Arial" w:hAnsi="Arial" w:cs="Arial"/>
        </w:rPr>
        <w:t>fibre</w:t>
      </w:r>
      <w:proofErr w:type="spellEnd"/>
      <w:r w:rsidRPr="00133E4D">
        <w:rPr>
          <w:rFonts w:ascii="Arial" w:hAnsi="Arial" w:cs="Arial"/>
        </w:rPr>
        <w:t xml:space="preserve"> investment and AI-enabled service delivery — is recommended as it best exploits </w:t>
      </w:r>
      <w:proofErr w:type="spellStart"/>
      <w:r w:rsidRPr="00133E4D">
        <w:rPr>
          <w:rFonts w:ascii="Arial" w:hAnsi="Arial" w:cs="Arial"/>
        </w:rPr>
        <w:t>VodafoneThree's</w:t>
      </w:r>
      <w:proofErr w:type="spellEnd"/>
      <w:r w:rsidRPr="00133E4D">
        <w:rPr>
          <w:rFonts w:ascii="Arial" w:hAnsi="Arial" w:cs="Arial"/>
        </w:rPr>
        <w:t xml:space="preserve"> scale and the mandated investment commitment. SFA analysis confirms the strategy is financially feasible and strategically consistent, subject to disciplined integration management. Stakeholder analysis using Mendelow's (1991) matrix and Freeman's (1984) framework reveals that customers, employees, shareholders and regulators hold distinct and sometimes competing priorities, requiring transparent and differentiated communication throughout implementation.</w:t>
      </w:r>
    </w:p>
    <w:p w14:paraId="7A378C24" w14:textId="561407DA" w:rsidR="00E14366" w:rsidRPr="00133E4D" w:rsidRDefault="00000000" w:rsidP="00133E4D">
      <w:pPr>
        <w:spacing w:after="120" w:line="360" w:lineRule="auto"/>
        <w:rPr>
          <w:rFonts w:ascii="Arial" w:hAnsi="Arial" w:cs="Arial"/>
        </w:rPr>
      </w:pPr>
      <w:r w:rsidRPr="00133E4D">
        <w:rPr>
          <w:rFonts w:ascii="Arial" w:hAnsi="Arial" w:cs="Arial"/>
        </w:rPr>
        <w:t xml:space="preserve">Looking forward, </w:t>
      </w:r>
      <w:proofErr w:type="spellStart"/>
      <w:r w:rsidRPr="00133E4D">
        <w:rPr>
          <w:rFonts w:ascii="Arial" w:hAnsi="Arial" w:cs="Arial"/>
        </w:rPr>
        <w:t>VodafoneThree</w:t>
      </w:r>
      <w:proofErr w:type="spellEnd"/>
      <w:r w:rsidRPr="00133E4D">
        <w:rPr>
          <w:rFonts w:ascii="Arial" w:hAnsi="Arial" w:cs="Arial"/>
        </w:rPr>
        <w:t xml:space="preserve"> faces a complex and rapidly evolving business environment shaped by geopolitical tensions, the transformative role of artificial intelligence (AI), demographic pressures from an ageing population, mounting automation-versus-employment trade-offs, and intensifying competition in global digital access markets. These themes are critically examined in Section 6 (Vodafone Facing the Future) to </w:t>
      </w:r>
      <w:proofErr w:type="spellStart"/>
      <w:r w:rsidRPr="00133E4D">
        <w:rPr>
          <w:rFonts w:ascii="Arial" w:hAnsi="Arial" w:cs="Arial"/>
        </w:rPr>
        <w:t>contextualise</w:t>
      </w:r>
      <w:proofErr w:type="spellEnd"/>
      <w:r w:rsidRPr="00133E4D">
        <w:rPr>
          <w:rFonts w:ascii="Arial" w:hAnsi="Arial" w:cs="Arial"/>
        </w:rPr>
        <w:t xml:space="preserve"> the long-term strategic outlook beyond immediate integration priorities.</w:t>
      </w:r>
    </w:p>
    <w:p w14:paraId="41EF1184" w14:textId="32C5C825" w:rsidR="00F114E7" w:rsidRPr="00133E4D" w:rsidRDefault="00F114E7" w:rsidP="00133E4D">
      <w:pPr>
        <w:spacing w:after="120" w:line="360" w:lineRule="auto"/>
        <w:rPr>
          <w:rFonts w:ascii="Arial" w:hAnsi="Arial" w:cs="Arial"/>
        </w:rPr>
      </w:pPr>
    </w:p>
    <w:p w14:paraId="689C06D6" w14:textId="77777777" w:rsidR="00F114E7" w:rsidRPr="00133E4D" w:rsidRDefault="00F114E7" w:rsidP="00133E4D">
      <w:pPr>
        <w:spacing w:line="360" w:lineRule="auto"/>
        <w:rPr>
          <w:rFonts w:ascii="Arial" w:hAnsi="Arial" w:cs="Arial"/>
        </w:rPr>
      </w:pPr>
      <w:r w:rsidRPr="00133E4D">
        <w:rPr>
          <w:rFonts w:ascii="Arial" w:hAnsi="Arial" w:cs="Arial"/>
        </w:rPr>
        <w:br w:type="page"/>
      </w:r>
    </w:p>
    <w:sdt>
      <w:sdtPr>
        <w:rPr>
          <w:rFonts w:ascii="Arial" w:eastAsiaTheme="minorEastAsia" w:hAnsi="Arial" w:cs="Arial"/>
          <w:b w:val="0"/>
          <w:bCs w:val="0"/>
          <w:color w:val="auto"/>
          <w:sz w:val="22"/>
          <w:szCs w:val="22"/>
        </w:rPr>
        <w:id w:val="1085501716"/>
        <w:docPartObj>
          <w:docPartGallery w:val="Table of Contents"/>
          <w:docPartUnique/>
        </w:docPartObj>
      </w:sdtPr>
      <w:sdtEndPr>
        <w:rPr>
          <w:noProof/>
        </w:rPr>
      </w:sdtEndPr>
      <w:sdtContent>
        <w:p w14:paraId="2094CFEC" w14:textId="20FCBFFF" w:rsidR="00F114E7" w:rsidRPr="00133E4D" w:rsidRDefault="00F114E7" w:rsidP="00133E4D">
          <w:pPr>
            <w:pStyle w:val="TOCHeading"/>
            <w:spacing w:line="360" w:lineRule="auto"/>
            <w:rPr>
              <w:rFonts w:ascii="Arial" w:hAnsi="Arial" w:cs="Arial"/>
              <w:sz w:val="22"/>
              <w:szCs w:val="22"/>
            </w:rPr>
          </w:pPr>
        </w:p>
        <w:p w14:paraId="7C861114" w14:textId="5B699C5F" w:rsidR="00133E4D" w:rsidRDefault="00F114E7">
          <w:pPr>
            <w:pStyle w:val="TOC2"/>
            <w:tabs>
              <w:tab w:val="right" w:leader="dot" w:pos="9112"/>
            </w:tabs>
            <w:rPr>
              <w:noProof/>
              <w:kern w:val="2"/>
              <w:sz w:val="24"/>
              <w:szCs w:val="24"/>
              <w:lang w:val="ro-RO" w:eastAsia="ro-RO"/>
              <w14:ligatures w14:val="standardContextual"/>
            </w:rPr>
          </w:pPr>
          <w:r w:rsidRPr="00133E4D">
            <w:rPr>
              <w:rFonts w:ascii="Arial" w:hAnsi="Arial" w:cs="Arial"/>
            </w:rPr>
            <w:fldChar w:fldCharType="begin"/>
          </w:r>
          <w:r w:rsidRPr="00133E4D">
            <w:rPr>
              <w:rFonts w:ascii="Arial" w:hAnsi="Arial" w:cs="Arial"/>
            </w:rPr>
            <w:instrText xml:space="preserve"> TOC \o "1-3" \h \z \u </w:instrText>
          </w:r>
          <w:r w:rsidRPr="00133E4D">
            <w:rPr>
              <w:rFonts w:ascii="Arial" w:hAnsi="Arial" w:cs="Arial"/>
            </w:rPr>
            <w:fldChar w:fldCharType="separate"/>
          </w:r>
          <w:hyperlink w:anchor="_Toc234790808" w:history="1">
            <w:r w:rsidR="00133E4D" w:rsidRPr="00466544">
              <w:rPr>
                <w:rStyle w:val="Hyperlink"/>
                <w:rFonts w:ascii="Arial" w:hAnsi="Arial" w:cs="Arial"/>
                <w:noProof/>
              </w:rPr>
              <w:t>Introduction</w:t>
            </w:r>
            <w:r w:rsidR="00133E4D">
              <w:rPr>
                <w:noProof/>
                <w:webHidden/>
              </w:rPr>
              <w:tab/>
            </w:r>
            <w:r w:rsidR="00133E4D">
              <w:rPr>
                <w:noProof/>
                <w:webHidden/>
              </w:rPr>
              <w:fldChar w:fldCharType="begin"/>
            </w:r>
            <w:r w:rsidR="00133E4D">
              <w:rPr>
                <w:noProof/>
                <w:webHidden/>
              </w:rPr>
              <w:instrText xml:space="preserve"> PAGEREF _Toc234790808 \h </w:instrText>
            </w:r>
            <w:r w:rsidR="00133E4D">
              <w:rPr>
                <w:noProof/>
                <w:webHidden/>
              </w:rPr>
            </w:r>
            <w:r w:rsidR="00133E4D">
              <w:rPr>
                <w:noProof/>
                <w:webHidden/>
              </w:rPr>
              <w:fldChar w:fldCharType="separate"/>
            </w:r>
            <w:r w:rsidR="00133E4D">
              <w:rPr>
                <w:noProof/>
                <w:webHidden/>
              </w:rPr>
              <w:t>5</w:t>
            </w:r>
            <w:r w:rsidR="00133E4D">
              <w:rPr>
                <w:noProof/>
                <w:webHidden/>
              </w:rPr>
              <w:fldChar w:fldCharType="end"/>
            </w:r>
          </w:hyperlink>
        </w:p>
        <w:p w14:paraId="3E4A2101" w14:textId="1EBC60CC" w:rsidR="00133E4D" w:rsidRDefault="00133E4D">
          <w:pPr>
            <w:pStyle w:val="TOC2"/>
            <w:tabs>
              <w:tab w:val="right" w:leader="dot" w:pos="9112"/>
            </w:tabs>
            <w:rPr>
              <w:noProof/>
              <w:kern w:val="2"/>
              <w:sz w:val="24"/>
              <w:szCs w:val="24"/>
              <w:lang w:val="ro-RO" w:eastAsia="ro-RO"/>
              <w14:ligatures w14:val="standardContextual"/>
            </w:rPr>
          </w:pPr>
          <w:hyperlink w:anchor="_Toc234790809" w:history="1">
            <w:r w:rsidRPr="00466544">
              <w:rPr>
                <w:rStyle w:val="Hyperlink"/>
                <w:rFonts w:ascii="Arial" w:hAnsi="Arial" w:cs="Arial"/>
                <w:noProof/>
              </w:rPr>
              <w:t>1. Evaluation of the Current Market Situation</w:t>
            </w:r>
            <w:r>
              <w:rPr>
                <w:noProof/>
                <w:webHidden/>
              </w:rPr>
              <w:tab/>
            </w:r>
            <w:r>
              <w:rPr>
                <w:noProof/>
                <w:webHidden/>
              </w:rPr>
              <w:fldChar w:fldCharType="begin"/>
            </w:r>
            <w:r>
              <w:rPr>
                <w:noProof/>
                <w:webHidden/>
              </w:rPr>
              <w:instrText xml:space="preserve"> PAGEREF _Toc234790809 \h </w:instrText>
            </w:r>
            <w:r>
              <w:rPr>
                <w:noProof/>
                <w:webHidden/>
              </w:rPr>
            </w:r>
            <w:r>
              <w:rPr>
                <w:noProof/>
                <w:webHidden/>
              </w:rPr>
              <w:fldChar w:fldCharType="separate"/>
            </w:r>
            <w:r>
              <w:rPr>
                <w:noProof/>
                <w:webHidden/>
              </w:rPr>
              <w:t>5</w:t>
            </w:r>
            <w:r>
              <w:rPr>
                <w:noProof/>
                <w:webHidden/>
              </w:rPr>
              <w:fldChar w:fldCharType="end"/>
            </w:r>
          </w:hyperlink>
        </w:p>
        <w:p w14:paraId="3CE0FD34" w14:textId="3B8D3568" w:rsidR="00133E4D" w:rsidRDefault="00133E4D">
          <w:pPr>
            <w:pStyle w:val="TOC2"/>
            <w:tabs>
              <w:tab w:val="right" w:leader="dot" w:pos="9112"/>
            </w:tabs>
            <w:rPr>
              <w:noProof/>
              <w:kern w:val="2"/>
              <w:sz w:val="24"/>
              <w:szCs w:val="24"/>
              <w:lang w:val="ro-RO" w:eastAsia="ro-RO"/>
              <w14:ligatures w14:val="standardContextual"/>
            </w:rPr>
          </w:pPr>
          <w:hyperlink w:anchor="_Toc234790810" w:history="1">
            <w:r w:rsidRPr="00466544">
              <w:rPr>
                <w:rStyle w:val="Hyperlink"/>
                <w:rFonts w:ascii="Arial" w:hAnsi="Arial" w:cs="Arial"/>
                <w:noProof/>
              </w:rPr>
              <w:t>1.1 PESTEL Analysis</w:t>
            </w:r>
            <w:r>
              <w:rPr>
                <w:noProof/>
                <w:webHidden/>
              </w:rPr>
              <w:tab/>
            </w:r>
            <w:r>
              <w:rPr>
                <w:noProof/>
                <w:webHidden/>
              </w:rPr>
              <w:fldChar w:fldCharType="begin"/>
            </w:r>
            <w:r>
              <w:rPr>
                <w:noProof/>
                <w:webHidden/>
              </w:rPr>
              <w:instrText xml:space="preserve"> PAGEREF _Toc234790810 \h </w:instrText>
            </w:r>
            <w:r>
              <w:rPr>
                <w:noProof/>
                <w:webHidden/>
              </w:rPr>
            </w:r>
            <w:r>
              <w:rPr>
                <w:noProof/>
                <w:webHidden/>
              </w:rPr>
              <w:fldChar w:fldCharType="separate"/>
            </w:r>
            <w:r>
              <w:rPr>
                <w:noProof/>
                <w:webHidden/>
              </w:rPr>
              <w:t>5</w:t>
            </w:r>
            <w:r>
              <w:rPr>
                <w:noProof/>
                <w:webHidden/>
              </w:rPr>
              <w:fldChar w:fldCharType="end"/>
            </w:r>
          </w:hyperlink>
        </w:p>
        <w:p w14:paraId="1E5E8591" w14:textId="3751F3B2" w:rsidR="00133E4D" w:rsidRDefault="00133E4D">
          <w:pPr>
            <w:pStyle w:val="TOC2"/>
            <w:tabs>
              <w:tab w:val="right" w:leader="dot" w:pos="9112"/>
            </w:tabs>
            <w:rPr>
              <w:noProof/>
              <w:kern w:val="2"/>
              <w:sz w:val="24"/>
              <w:szCs w:val="24"/>
              <w:lang w:val="ro-RO" w:eastAsia="ro-RO"/>
              <w14:ligatures w14:val="standardContextual"/>
            </w:rPr>
          </w:pPr>
          <w:hyperlink w:anchor="_Toc234790811" w:history="1">
            <w:r w:rsidRPr="00466544">
              <w:rPr>
                <w:rStyle w:val="Hyperlink"/>
                <w:rFonts w:ascii="Arial" w:hAnsi="Arial" w:cs="Arial"/>
                <w:noProof/>
              </w:rPr>
              <w:t>1.2 Porter's Five Forces Analysis</w:t>
            </w:r>
            <w:r>
              <w:rPr>
                <w:noProof/>
                <w:webHidden/>
              </w:rPr>
              <w:tab/>
            </w:r>
            <w:r>
              <w:rPr>
                <w:noProof/>
                <w:webHidden/>
              </w:rPr>
              <w:fldChar w:fldCharType="begin"/>
            </w:r>
            <w:r>
              <w:rPr>
                <w:noProof/>
                <w:webHidden/>
              </w:rPr>
              <w:instrText xml:space="preserve"> PAGEREF _Toc234790811 \h </w:instrText>
            </w:r>
            <w:r>
              <w:rPr>
                <w:noProof/>
                <w:webHidden/>
              </w:rPr>
            </w:r>
            <w:r>
              <w:rPr>
                <w:noProof/>
                <w:webHidden/>
              </w:rPr>
              <w:fldChar w:fldCharType="separate"/>
            </w:r>
            <w:r>
              <w:rPr>
                <w:noProof/>
                <w:webHidden/>
              </w:rPr>
              <w:t>6</w:t>
            </w:r>
            <w:r>
              <w:rPr>
                <w:noProof/>
                <w:webHidden/>
              </w:rPr>
              <w:fldChar w:fldCharType="end"/>
            </w:r>
          </w:hyperlink>
        </w:p>
        <w:p w14:paraId="2B36BEB4" w14:textId="13D69743" w:rsidR="00133E4D" w:rsidRDefault="00133E4D">
          <w:pPr>
            <w:pStyle w:val="TOC2"/>
            <w:tabs>
              <w:tab w:val="right" w:leader="dot" w:pos="9112"/>
            </w:tabs>
            <w:rPr>
              <w:noProof/>
              <w:kern w:val="2"/>
              <w:sz w:val="24"/>
              <w:szCs w:val="24"/>
              <w:lang w:val="ro-RO" w:eastAsia="ro-RO"/>
              <w14:ligatures w14:val="standardContextual"/>
            </w:rPr>
          </w:pPr>
          <w:hyperlink w:anchor="_Toc234790812" w:history="1">
            <w:r w:rsidRPr="00466544">
              <w:rPr>
                <w:rStyle w:val="Hyperlink"/>
                <w:rFonts w:ascii="Arial" w:hAnsi="Arial" w:cs="Arial"/>
                <w:noProof/>
              </w:rPr>
              <w:t>1.3 Internal Analysis (VRIO and SWOT)</w:t>
            </w:r>
            <w:r>
              <w:rPr>
                <w:noProof/>
                <w:webHidden/>
              </w:rPr>
              <w:tab/>
            </w:r>
            <w:r>
              <w:rPr>
                <w:noProof/>
                <w:webHidden/>
              </w:rPr>
              <w:fldChar w:fldCharType="begin"/>
            </w:r>
            <w:r>
              <w:rPr>
                <w:noProof/>
                <w:webHidden/>
              </w:rPr>
              <w:instrText xml:space="preserve"> PAGEREF _Toc234790812 \h </w:instrText>
            </w:r>
            <w:r>
              <w:rPr>
                <w:noProof/>
                <w:webHidden/>
              </w:rPr>
            </w:r>
            <w:r>
              <w:rPr>
                <w:noProof/>
                <w:webHidden/>
              </w:rPr>
              <w:fldChar w:fldCharType="separate"/>
            </w:r>
            <w:r>
              <w:rPr>
                <w:noProof/>
                <w:webHidden/>
              </w:rPr>
              <w:t>6</w:t>
            </w:r>
            <w:r>
              <w:rPr>
                <w:noProof/>
                <w:webHidden/>
              </w:rPr>
              <w:fldChar w:fldCharType="end"/>
            </w:r>
          </w:hyperlink>
        </w:p>
        <w:p w14:paraId="6E3ECD9D" w14:textId="7D1B1418" w:rsidR="00133E4D" w:rsidRDefault="00133E4D">
          <w:pPr>
            <w:pStyle w:val="TOC2"/>
            <w:tabs>
              <w:tab w:val="right" w:leader="dot" w:pos="9112"/>
            </w:tabs>
            <w:rPr>
              <w:noProof/>
              <w:kern w:val="2"/>
              <w:sz w:val="24"/>
              <w:szCs w:val="24"/>
              <w:lang w:val="ro-RO" w:eastAsia="ro-RO"/>
              <w14:ligatures w14:val="standardContextual"/>
            </w:rPr>
          </w:pPr>
          <w:hyperlink w:anchor="_Toc234790813" w:history="1">
            <w:r w:rsidRPr="00466544">
              <w:rPr>
                <w:rStyle w:val="Hyperlink"/>
                <w:rFonts w:ascii="Arial" w:hAnsi="Arial" w:cs="Arial"/>
                <w:noProof/>
              </w:rPr>
              <w:t>1.4 TOWS Strategic Implications</w:t>
            </w:r>
            <w:r>
              <w:rPr>
                <w:noProof/>
                <w:webHidden/>
              </w:rPr>
              <w:tab/>
            </w:r>
            <w:r>
              <w:rPr>
                <w:noProof/>
                <w:webHidden/>
              </w:rPr>
              <w:fldChar w:fldCharType="begin"/>
            </w:r>
            <w:r>
              <w:rPr>
                <w:noProof/>
                <w:webHidden/>
              </w:rPr>
              <w:instrText xml:space="preserve"> PAGEREF _Toc234790813 \h </w:instrText>
            </w:r>
            <w:r>
              <w:rPr>
                <w:noProof/>
                <w:webHidden/>
              </w:rPr>
            </w:r>
            <w:r>
              <w:rPr>
                <w:noProof/>
                <w:webHidden/>
              </w:rPr>
              <w:fldChar w:fldCharType="separate"/>
            </w:r>
            <w:r>
              <w:rPr>
                <w:noProof/>
                <w:webHidden/>
              </w:rPr>
              <w:t>7</w:t>
            </w:r>
            <w:r>
              <w:rPr>
                <w:noProof/>
                <w:webHidden/>
              </w:rPr>
              <w:fldChar w:fldCharType="end"/>
            </w:r>
          </w:hyperlink>
        </w:p>
        <w:p w14:paraId="7A62F226" w14:textId="0969AB85" w:rsidR="00133E4D" w:rsidRDefault="00133E4D">
          <w:pPr>
            <w:pStyle w:val="TOC2"/>
            <w:tabs>
              <w:tab w:val="right" w:leader="dot" w:pos="9112"/>
            </w:tabs>
            <w:rPr>
              <w:noProof/>
              <w:kern w:val="2"/>
              <w:sz w:val="24"/>
              <w:szCs w:val="24"/>
              <w:lang w:val="ro-RO" w:eastAsia="ro-RO"/>
              <w14:ligatures w14:val="standardContextual"/>
            </w:rPr>
          </w:pPr>
          <w:hyperlink w:anchor="_Toc234790814" w:history="1">
            <w:r w:rsidRPr="00466544">
              <w:rPr>
                <w:rStyle w:val="Hyperlink"/>
                <w:rFonts w:ascii="Arial" w:hAnsi="Arial" w:cs="Arial"/>
                <w:noProof/>
              </w:rPr>
              <w:t>2. Strategic Growth Options and Proposed Strategy</w:t>
            </w:r>
            <w:r>
              <w:rPr>
                <w:noProof/>
                <w:webHidden/>
              </w:rPr>
              <w:tab/>
            </w:r>
            <w:r>
              <w:rPr>
                <w:noProof/>
                <w:webHidden/>
              </w:rPr>
              <w:fldChar w:fldCharType="begin"/>
            </w:r>
            <w:r>
              <w:rPr>
                <w:noProof/>
                <w:webHidden/>
              </w:rPr>
              <w:instrText xml:space="preserve"> PAGEREF _Toc234790814 \h </w:instrText>
            </w:r>
            <w:r>
              <w:rPr>
                <w:noProof/>
                <w:webHidden/>
              </w:rPr>
            </w:r>
            <w:r>
              <w:rPr>
                <w:noProof/>
                <w:webHidden/>
              </w:rPr>
              <w:fldChar w:fldCharType="separate"/>
            </w:r>
            <w:r>
              <w:rPr>
                <w:noProof/>
                <w:webHidden/>
              </w:rPr>
              <w:t>7</w:t>
            </w:r>
            <w:r>
              <w:rPr>
                <w:noProof/>
                <w:webHidden/>
              </w:rPr>
              <w:fldChar w:fldCharType="end"/>
            </w:r>
          </w:hyperlink>
        </w:p>
        <w:p w14:paraId="40F08E38" w14:textId="4CF37CF5" w:rsidR="00133E4D" w:rsidRDefault="00133E4D">
          <w:pPr>
            <w:pStyle w:val="TOC2"/>
            <w:tabs>
              <w:tab w:val="right" w:leader="dot" w:pos="9112"/>
            </w:tabs>
            <w:rPr>
              <w:noProof/>
              <w:kern w:val="2"/>
              <w:sz w:val="24"/>
              <w:szCs w:val="24"/>
              <w:lang w:val="ro-RO" w:eastAsia="ro-RO"/>
              <w14:ligatures w14:val="standardContextual"/>
            </w:rPr>
          </w:pPr>
          <w:hyperlink w:anchor="_Toc234790815" w:history="1">
            <w:r w:rsidRPr="00466544">
              <w:rPr>
                <w:rStyle w:val="Hyperlink"/>
                <w:rFonts w:ascii="Arial" w:hAnsi="Arial" w:cs="Arial"/>
                <w:noProof/>
              </w:rPr>
              <w:t>2.1 Strategic Option 1: Technology-led Service Differentiation (Recommended)</w:t>
            </w:r>
            <w:r>
              <w:rPr>
                <w:noProof/>
                <w:webHidden/>
              </w:rPr>
              <w:tab/>
            </w:r>
            <w:r>
              <w:rPr>
                <w:noProof/>
                <w:webHidden/>
              </w:rPr>
              <w:fldChar w:fldCharType="begin"/>
            </w:r>
            <w:r>
              <w:rPr>
                <w:noProof/>
                <w:webHidden/>
              </w:rPr>
              <w:instrText xml:space="preserve"> PAGEREF _Toc234790815 \h </w:instrText>
            </w:r>
            <w:r>
              <w:rPr>
                <w:noProof/>
                <w:webHidden/>
              </w:rPr>
            </w:r>
            <w:r>
              <w:rPr>
                <w:noProof/>
                <w:webHidden/>
              </w:rPr>
              <w:fldChar w:fldCharType="separate"/>
            </w:r>
            <w:r>
              <w:rPr>
                <w:noProof/>
                <w:webHidden/>
              </w:rPr>
              <w:t>7</w:t>
            </w:r>
            <w:r>
              <w:rPr>
                <w:noProof/>
                <w:webHidden/>
              </w:rPr>
              <w:fldChar w:fldCharType="end"/>
            </w:r>
          </w:hyperlink>
        </w:p>
        <w:p w14:paraId="678CE244" w14:textId="096C3A77" w:rsidR="00133E4D" w:rsidRDefault="00133E4D">
          <w:pPr>
            <w:pStyle w:val="TOC2"/>
            <w:tabs>
              <w:tab w:val="right" w:leader="dot" w:pos="9112"/>
            </w:tabs>
            <w:rPr>
              <w:noProof/>
              <w:kern w:val="2"/>
              <w:sz w:val="24"/>
              <w:szCs w:val="24"/>
              <w:lang w:val="ro-RO" w:eastAsia="ro-RO"/>
              <w14:ligatures w14:val="standardContextual"/>
            </w:rPr>
          </w:pPr>
          <w:hyperlink w:anchor="_Toc234790816" w:history="1">
            <w:r w:rsidRPr="00466544">
              <w:rPr>
                <w:rStyle w:val="Hyperlink"/>
                <w:rFonts w:ascii="Arial" w:hAnsi="Arial" w:cs="Arial"/>
                <w:noProof/>
              </w:rPr>
              <w:t>2.2 Strategic Option 2: Market Development</w:t>
            </w:r>
            <w:r>
              <w:rPr>
                <w:noProof/>
                <w:webHidden/>
              </w:rPr>
              <w:tab/>
            </w:r>
            <w:r>
              <w:rPr>
                <w:noProof/>
                <w:webHidden/>
              </w:rPr>
              <w:fldChar w:fldCharType="begin"/>
            </w:r>
            <w:r>
              <w:rPr>
                <w:noProof/>
                <w:webHidden/>
              </w:rPr>
              <w:instrText xml:space="preserve"> PAGEREF _Toc234790816 \h </w:instrText>
            </w:r>
            <w:r>
              <w:rPr>
                <w:noProof/>
                <w:webHidden/>
              </w:rPr>
            </w:r>
            <w:r>
              <w:rPr>
                <w:noProof/>
                <w:webHidden/>
              </w:rPr>
              <w:fldChar w:fldCharType="separate"/>
            </w:r>
            <w:r>
              <w:rPr>
                <w:noProof/>
                <w:webHidden/>
              </w:rPr>
              <w:t>7</w:t>
            </w:r>
            <w:r>
              <w:rPr>
                <w:noProof/>
                <w:webHidden/>
              </w:rPr>
              <w:fldChar w:fldCharType="end"/>
            </w:r>
          </w:hyperlink>
        </w:p>
        <w:p w14:paraId="22D1486F" w14:textId="0DE21E75" w:rsidR="00133E4D" w:rsidRDefault="00133E4D">
          <w:pPr>
            <w:pStyle w:val="TOC2"/>
            <w:tabs>
              <w:tab w:val="right" w:leader="dot" w:pos="9112"/>
            </w:tabs>
            <w:rPr>
              <w:noProof/>
              <w:kern w:val="2"/>
              <w:sz w:val="24"/>
              <w:szCs w:val="24"/>
              <w:lang w:val="ro-RO" w:eastAsia="ro-RO"/>
              <w14:ligatures w14:val="standardContextual"/>
            </w:rPr>
          </w:pPr>
          <w:hyperlink w:anchor="_Toc234790817" w:history="1">
            <w:r w:rsidRPr="00466544">
              <w:rPr>
                <w:rStyle w:val="Hyperlink"/>
                <w:rFonts w:ascii="Arial" w:hAnsi="Arial" w:cs="Arial"/>
                <w:noProof/>
              </w:rPr>
              <w:t>2.3 Strategic Option 3: Cost Leadership</w:t>
            </w:r>
            <w:r>
              <w:rPr>
                <w:noProof/>
                <w:webHidden/>
              </w:rPr>
              <w:tab/>
            </w:r>
            <w:r>
              <w:rPr>
                <w:noProof/>
                <w:webHidden/>
              </w:rPr>
              <w:fldChar w:fldCharType="begin"/>
            </w:r>
            <w:r>
              <w:rPr>
                <w:noProof/>
                <w:webHidden/>
              </w:rPr>
              <w:instrText xml:space="preserve"> PAGEREF _Toc234790817 \h </w:instrText>
            </w:r>
            <w:r>
              <w:rPr>
                <w:noProof/>
                <w:webHidden/>
              </w:rPr>
            </w:r>
            <w:r>
              <w:rPr>
                <w:noProof/>
                <w:webHidden/>
              </w:rPr>
              <w:fldChar w:fldCharType="separate"/>
            </w:r>
            <w:r>
              <w:rPr>
                <w:noProof/>
                <w:webHidden/>
              </w:rPr>
              <w:t>8</w:t>
            </w:r>
            <w:r>
              <w:rPr>
                <w:noProof/>
                <w:webHidden/>
              </w:rPr>
              <w:fldChar w:fldCharType="end"/>
            </w:r>
          </w:hyperlink>
        </w:p>
        <w:p w14:paraId="51D49C38" w14:textId="2D262EC2" w:rsidR="00133E4D" w:rsidRDefault="00133E4D">
          <w:pPr>
            <w:pStyle w:val="TOC2"/>
            <w:tabs>
              <w:tab w:val="right" w:leader="dot" w:pos="9112"/>
            </w:tabs>
            <w:rPr>
              <w:noProof/>
              <w:kern w:val="2"/>
              <w:sz w:val="24"/>
              <w:szCs w:val="24"/>
              <w:lang w:val="ro-RO" w:eastAsia="ro-RO"/>
              <w14:ligatures w14:val="standardContextual"/>
            </w:rPr>
          </w:pPr>
          <w:hyperlink w:anchor="_Toc234790818" w:history="1">
            <w:r w:rsidRPr="00466544">
              <w:rPr>
                <w:rStyle w:val="Hyperlink"/>
                <w:rFonts w:ascii="Arial" w:hAnsi="Arial" w:cs="Arial"/>
                <w:noProof/>
              </w:rPr>
              <w:t>2.4 Strategic Analysis and Evaluation</w:t>
            </w:r>
            <w:r>
              <w:rPr>
                <w:noProof/>
                <w:webHidden/>
              </w:rPr>
              <w:tab/>
            </w:r>
            <w:r>
              <w:rPr>
                <w:noProof/>
                <w:webHidden/>
              </w:rPr>
              <w:fldChar w:fldCharType="begin"/>
            </w:r>
            <w:r>
              <w:rPr>
                <w:noProof/>
                <w:webHidden/>
              </w:rPr>
              <w:instrText xml:space="preserve"> PAGEREF _Toc234790818 \h </w:instrText>
            </w:r>
            <w:r>
              <w:rPr>
                <w:noProof/>
                <w:webHidden/>
              </w:rPr>
            </w:r>
            <w:r>
              <w:rPr>
                <w:noProof/>
                <w:webHidden/>
              </w:rPr>
              <w:fldChar w:fldCharType="separate"/>
            </w:r>
            <w:r>
              <w:rPr>
                <w:noProof/>
                <w:webHidden/>
              </w:rPr>
              <w:t>8</w:t>
            </w:r>
            <w:r>
              <w:rPr>
                <w:noProof/>
                <w:webHidden/>
              </w:rPr>
              <w:fldChar w:fldCharType="end"/>
            </w:r>
          </w:hyperlink>
        </w:p>
        <w:p w14:paraId="6479FEA3" w14:textId="26407B20" w:rsidR="00133E4D" w:rsidRDefault="00133E4D">
          <w:pPr>
            <w:pStyle w:val="TOC2"/>
            <w:tabs>
              <w:tab w:val="right" w:leader="dot" w:pos="9112"/>
            </w:tabs>
            <w:rPr>
              <w:noProof/>
              <w:kern w:val="2"/>
              <w:sz w:val="24"/>
              <w:szCs w:val="24"/>
              <w:lang w:val="ro-RO" w:eastAsia="ro-RO"/>
              <w14:ligatures w14:val="standardContextual"/>
            </w:rPr>
          </w:pPr>
          <w:hyperlink w:anchor="_Toc234790819" w:history="1">
            <w:r w:rsidRPr="00466544">
              <w:rPr>
                <w:rStyle w:val="Hyperlink"/>
                <w:rFonts w:ascii="Arial" w:hAnsi="Arial" w:cs="Arial"/>
                <w:noProof/>
              </w:rPr>
              <w:t>3. Recommended Strategy</w:t>
            </w:r>
            <w:r>
              <w:rPr>
                <w:noProof/>
                <w:webHidden/>
              </w:rPr>
              <w:tab/>
            </w:r>
            <w:r>
              <w:rPr>
                <w:noProof/>
                <w:webHidden/>
              </w:rPr>
              <w:fldChar w:fldCharType="begin"/>
            </w:r>
            <w:r>
              <w:rPr>
                <w:noProof/>
                <w:webHidden/>
              </w:rPr>
              <w:instrText xml:space="preserve"> PAGEREF _Toc234790819 \h </w:instrText>
            </w:r>
            <w:r>
              <w:rPr>
                <w:noProof/>
                <w:webHidden/>
              </w:rPr>
            </w:r>
            <w:r>
              <w:rPr>
                <w:noProof/>
                <w:webHidden/>
              </w:rPr>
              <w:fldChar w:fldCharType="separate"/>
            </w:r>
            <w:r>
              <w:rPr>
                <w:noProof/>
                <w:webHidden/>
              </w:rPr>
              <w:t>8</w:t>
            </w:r>
            <w:r>
              <w:rPr>
                <w:noProof/>
                <w:webHidden/>
              </w:rPr>
              <w:fldChar w:fldCharType="end"/>
            </w:r>
          </w:hyperlink>
        </w:p>
        <w:p w14:paraId="372A9B71" w14:textId="77558C52" w:rsidR="00133E4D" w:rsidRDefault="00133E4D">
          <w:pPr>
            <w:pStyle w:val="TOC2"/>
            <w:tabs>
              <w:tab w:val="right" w:leader="dot" w:pos="9112"/>
            </w:tabs>
            <w:rPr>
              <w:noProof/>
              <w:kern w:val="2"/>
              <w:sz w:val="24"/>
              <w:szCs w:val="24"/>
              <w:lang w:val="ro-RO" w:eastAsia="ro-RO"/>
              <w14:ligatures w14:val="standardContextual"/>
            </w:rPr>
          </w:pPr>
          <w:hyperlink w:anchor="_Toc234790820" w:history="1">
            <w:r w:rsidRPr="00466544">
              <w:rPr>
                <w:rStyle w:val="Hyperlink"/>
                <w:rFonts w:ascii="Arial" w:hAnsi="Arial" w:cs="Arial"/>
                <w:noProof/>
              </w:rPr>
              <w:t>3.1 Suitability</w:t>
            </w:r>
            <w:r>
              <w:rPr>
                <w:noProof/>
                <w:webHidden/>
              </w:rPr>
              <w:tab/>
            </w:r>
            <w:r>
              <w:rPr>
                <w:noProof/>
                <w:webHidden/>
              </w:rPr>
              <w:fldChar w:fldCharType="begin"/>
            </w:r>
            <w:r>
              <w:rPr>
                <w:noProof/>
                <w:webHidden/>
              </w:rPr>
              <w:instrText xml:space="preserve"> PAGEREF _Toc234790820 \h </w:instrText>
            </w:r>
            <w:r>
              <w:rPr>
                <w:noProof/>
                <w:webHidden/>
              </w:rPr>
            </w:r>
            <w:r>
              <w:rPr>
                <w:noProof/>
                <w:webHidden/>
              </w:rPr>
              <w:fldChar w:fldCharType="separate"/>
            </w:r>
            <w:r>
              <w:rPr>
                <w:noProof/>
                <w:webHidden/>
              </w:rPr>
              <w:t>8</w:t>
            </w:r>
            <w:r>
              <w:rPr>
                <w:noProof/>
                <w:webHidden/>
              </w:rPr>
              <w:fldChar w:fldCharType="end"/>
            </w:r>
          </w:hyperlink>
        </w:p>
        <w:p w14:paraId="789A0AED" w14:textId="03B967D9" w:rsidR="00133E4D" w:rsidRDefault="00133E4D">
          <w:pPr>
            <w:pStyle w:val="TOC2"/>
            <w:tabs>
              <w:tab w:val="right" w:leader="dot" w:pos="9112"/>
            </w:tabs>
            <w:rPr>
              <w:noProof/>
              <w:kern w:val="2"/>
              <w:sz w:val="24"/>
              <w:szCs w:val="24"/>
              <w:lang w:val="ro-RO" w:eastAsia="ro-RO"/>
              <w14:ligatures w14:val="standardContextual"/>
            </w:rPr>
          </w:pPr>
          <w:hyperlink w:anchor="_Toc234790821" w:history="1">
            <w:r w:rsidRPr="00466544">
              <w:rPr>
                <w:rStyle w:val="Hyperlink"/>
                <w:rFonts w:ascii="Arial" w:hAnsi="Arial" w:cs="Arial"/>
                <w:noProof/>
              </w:rPr>
              <w:t>3.2 Feasibility</w:t>
            </w:r>
            <w:r>
              <w:rPr>
                <w:noProof/>
                <w:webHidden/>
              </w:rPr>
              <w:tab/>
            </w:r>
            <w:r>
              <w:rPr>
                <w:noProof/>
                <w:webHidden/>
              </w:rPr>
              <w:fldChar w:fldCharType="begin"/>
            </w:r>
            <w:r>
              <w:rPr>
                <w:noProof/>
                <w:webHidden/>
              </w:rPr>
              <w:instrText xml:space="preserve"> PAGEREF _Toc234790821 \h </w:instrText>
            </w:r>
            <w:r>
              <w:rPr>
                <w:noProof/>
                <w:webHidden/>
              </w:rPr>
            </w:r>
            <w:r>
              <w:rPr>
                <w:noProof/>
                <w:webHidden/>
              </w:rPr>
              <w:fldChar w:fldCharType="separate"/>
            </w:r>
            <w:r>
              <w:rPr>
                <w:noProof/>
                <w:webHidden/>
              </w:rPr>
              <w:t>8</w:t>
            </w:r>
            <w:r>
              <w:rPr>
                <w:noProof/>
                <w:webHidden/>
              </w:rPr>
              <w:fldChar w:fldCharType="end"/>
            </w:r>
          </w:hyperlink>
        </w:p>
        <w:p w14:paraId="48A20DE0" w14:textId="577B7EFB" w:rsidR="00133E4D" w:rsidRDefault="00133E4D">
          <w:pPr>
            <w:pStyle w:val="TOC2"/>
            <w:tabs>
              <w:tab w:val="right" w:leader="dot" w:pos="9112"/>
            </w:tabs>
            <w:rPr>
              <w:noProof/>
              <w:kern w:val="2"/>
              <w:sz w:val="24"/>
              <w:szCs w:val="24"/>
              <w:lang w:val="ro-RO" w:eastAsia="ro-RO"/>
              <w14:ligatures w14:val="standardContextual"/>
            </w:rPr>
          </w:pPr>
          <w:hyperlink w:anchor="_Toc234790822" w:history="1">
            <w:r w:rsidRPr="00466544">
              <w:rPr>
                <w:rStyle w:val="Hyperlink"/>
                <w:rFonts w:ascii="Arial" w:hAnsi="Arial" w:cs="Arial"/>
                <w:noProof/>
              </w:rPr>
              <w:t>3.3 Acceptability</w:t>
            </w:r>
            <w:r>
              <w:rPr>
                <w:noProof/>
                <w:webHidden/>
              </w:rPr>
              <w:tab/>
            </w:r>
            <w:r>
              <w:rPr>
                <w:noProof/>
                <w:webHidden/>
              </w:rPr>
              <w:fldChar w:fldCharType="begin"/>
            </w:r>
            <w:r>
              <w:rPr>
                <w:noProof/>
                <w:webHidden/>
              </w:rPr>
              <w:instrText xml:space="preserve"> PAGEREF _Toc234790822 \h </w:instrText>
            </w:r>
            <w:r>
              <w:rPr>
                <w:noProof/>
                <w:webHidden/>
              </w:rPr>
            </w:r>
            <w:r>
              <w:rPr>
                <w:noProof/>
                <w:webHidden/>
              </w:rPr>
              <w:fldChar w:fldCharType="separate"/>
            </w:r>
            <w:r>
              <w:rPr>
                <w:noProof/>
                <w:webHidden/>
              </w:rPr>
              <w:t>9</w:t>
            </w:r>
            <w:r>
              <w:rPr>
                <w:noProof/>
                <w:webHidden/>
              </w:rPr>
              <w:fldChar w:fldCharType="end"/>
            </w:r>
          </w:hyperlink>
        </w:p>
        <w:p w14:paraId="0BFB13E2" w14:textId="5BDFF49F" w:rsidR="00133E4D" w:rsidRDefault="00133E4D">
          <w:pPr>
            <w:pStyle w:val="TOC2"/>
            <w:tabs>
              <w:tab w:val="right" w:leader="dot" w:pos="9112"/>
            </w:tabs>
            <w:rPr>
              <w:noProof/>
              <w:kern w:val="2"/>
              <w:sz w:val="24"/>
              <w:szCs w:val="24"/>
              <w:lang w:val="ro-RO" w:eastAsia="ro-RO"/>
              <w14:ligatures w14:val="standardContextual"/>
            </w:rPr>
          </w:pPr>
          <w:hyperlink w:anchor="_Toc234790823" w:history="1">
            <w:r w:rsidRPr="00466544">
              <w:rPr>
                <w:rStyle w:val="Hyperlink"/>
                <w:rFonts w:ascii="Arial" w:hAnsi="Arial" w:cs="Arial"/>
                <w:noProof/>
              </w:rPr>
              <w:t>3.4 Assumptions</w:t>
            </w:r>
            <w:r>
              <w:rPr>
                <w:noProof/>
                <w:webHidden/>
              </w:rPr>
              <w:tab/>
            </w:r>
            <w:r>
              <w:rPr>
                <w:noProof/>
                <w:webHidden/>
              </w:rPr>
              <w:fldChar w:fldCharType="begin"/>
            </w:r>
            <w:r>
              <w:rPr>
                <w:noProof/>
                <w:webHidden/>
              </w:rPr>
              <w:instrText xml:space="preserve"> PAGEREF _Toc234790823 \h </w:instrText>
            </w:r>
            <w:r>
              <w:rPr>
                <w:noProof/>
                <w:webHidden/>
              </w:rPr>
            </w:r>
            <w:r>
              <w:rPr>
                <w:noProof/>
                <w:webHidden/>
              </w:rPr>
              <w:fldChar w:fldCharType="separate"/>
            </w:r>
            <w:r>
              <w:rPr>
                <w:noProof/>
                <w:webHidden/>
              </w:rPr>
              <w:t>9</w:t>
            </w:r>
            <w:r>
              <w:rPr>
                <w:noProof/>
                <w:webHidden/>
              </w:rPr>
              <w:fldChar w:fldCharType="end"/>
            </w:r>
          </w:hyperlink>
        </w:p>
        <w:p w14:paraId="3A367FD9" w14:textId="708F4210" w:rsidR="00133E4D" w:rsidRDefault="00133E4D">
          <w:pPr>
            <w:pStyle w:val="TOC2"/>
            <w:tabs>
              <w:tab w:val="right" w:leader="dot" w:pos="9112"/>
            </w:tabs>
            <w:rPr>
              <w:noProof/>
              <w:kern w:val="2"/>
              <w:sz w:val="24"/>
              <w:szCs w:val="24"/>
              <w:lang w:val="ro-RO" w:eastAsia="ro-RO"/>
              <w14:ligatures w14:val="standardContextual"/>
            </w:rPr>
          </w:pPr>
          <w:hyperlink w:anchor="_Toc234790824" w:history="1">
            <w:r w:rsidRPr="00466544">
              <w:rPr>
                <w:rStyle w:val="Hyperlink"/>
                <w:rFonts w:ascii="Arial" w:hAnsi="Arial" w:cs="Arial"/>
                <w:noProof/>
              </w:rPr>
              <w:t>4. Stakeholder Analysis</w:t>
            </w:r>
            <w:r>
              <w:rPr>
                <w:noProof/>
                <w:webHidden/>
              </w:rPr>
              <w:tab/>
            </w:r>
            <w:r>
              <w:rPr>
                <w:noProof/>
                <w:webHidden/>
              </w:rPr>
              <w:fldChar w:fldCharType="begin"/>
            </w:r>
            <w:r>
              <w:rPr>
                <w:noProof/>
                <w:webHidden/>
              </w:rPr>
              <w:instrText xml:space="preserve"> PAGEREF _Toc234790824 \h </w:instrText>
            </w:r>
            <w:r>
              <w:rPr>
                <w:noProof/>
                <w:webHidden/>
              </w:rPr>
            </w:r>
            <w:r>
              <w:rPr>
                <w:noProof/>
                <w:webHidden/>
              </w:rPr>
              <w:fldChar w:fldCharType="separate"/>
            </w:r>
            <w:r>
              <w:rPr>
                <w:noProof/>
                <w:webHidden/>
              </w:rPr>
              <w:t>9</w:t>
            </w:r>
            <w:r>
              <w:rPr>
                <w:noProof/>
                <w:webHidden/>
              </w:rPr>
              <w:fldChar w:fldCharType="end"/>
            </w:r>
          </w:hyperlink>
        </w:p>
        <w:p w14:paraId="57D36AE4" w14:textId="169D3DA4" w:rsidR="00133E4D" w:rsidRDefault="00133E4D">
          <w:pPr>
            <w:pStyle w:val="TOC2"/>
            <w:tabs>
              <w:tab w:val="right" w:leader="dot" w:pos="9112"/>
            </w:tabs>
            <w:rPr>
              <w:noProof/>
              <w:kern w:val="2"/>
              <w:sz w:val="24"/>
              <w:szCs w:val="24"/>
              <w:lang w:val="ro-RO" w:eastAsia="ro-RO"/>
              <w14:ligatures w14:val="standardContextual"/>
            </w:rPr>
          </w:pPr>
          <w:hyperlink w:anchor="_Toc234790825" w:history="1">
            <w:r w:rsidRPr="00466544">
              <w:rPr>
                <w:rStyle w:val="Hyperlink"/>
                <w:rFonts w:ascii="Arial" w:hAnsi="Arial" w:cs="Arial"/>
                <w:noProof/>
              </w:rPr>
              <w:t>5. Implementation and Monitoring</w:t>
            </w:r>
            <w:r>
              <w:rPr>
                <w:noProof/>
                <w:webHidden/>
              </w:rPr>
              <w:tab/>
            </w:r>
            <w:r>
              <w:rPr>
                <w:noProof/>
                <w:webHidden/>
              </w:rPr>
              <w:fldChar w:fldCharType="begin"/>
            </w:r>
            <w:r>
              <w:rPr>
                <w:noProof/>
                <w:webHidden/>
              </w:rPr>
              <w:instrText xml:space="preserve"> PAGEREF _Toc234790825 \h </w:instrText>
            </w:r>
            <w:r>
              <w:rPr>
                <w:noProof/>
                <w:webHidden/>
              </w:rPr>
            </w:r>
            <w:r>
              <w:rPr>
                <w:noProof/>
                <w:webHidden/>
              </w:rPr>
              <w:fldChar w:fldCharType="separate"/>
            </w:r>
            <w:r>
              <w:rPr>
                <w:noProof/>
                <w:webHidden/>
              </w:rPr>
              <w:t>10</w:t>
            </w:r>
            <w:r>
              <w:rPr>
                <w:noProof/>
                <w:webHidden/>
              </w:rPr>
              <w:fldChar w:fldCharType="end"/>
            </w:r>
          </w:hyperlink>
        </w:p>
        <w:p w14:paraId="64B89C78" w14:textId="5B00767D" w:rsidR="00133E4D" w:rsidRDefault="00133E4D">
          <w:pPr>
            <w:pStyle w:val="TOC2"/>
            <w:tabs>
              <w:tab w:val="right" w:leader="dot" w:pos="9112"/>
            </w:tabs>
            <w:rPr>
              <w:noProof/>
              <w:kern w:val="2"/>
              <w:sz w:val="24"/>
              <w:szCs w:val="24"/>
              <w:lang w:val="ro-RO" w:eastAsia="ro-RO"/>
              <w14:ligatures w14:val="standardContextual"/>
            </w:rPr>
          </w:pPr>
          <w:hyperlink w:anchor="_Toc234790826" w:history="1">
            <w:r w:rsidRPr="00466544">
              <w:rPr>
                <w:rStyle w:val="Hyperlink"/>
                <w:rFonts w:ascii="Arial" w:hAnsi="Arial" w:cs="Arial"/>
                <w:noProof/>
              </w:rPr>
              <w:t>6. Vodafone Facing the Future: A Critical Analysis of the Business Environment</w:t>
            </w:r>
            <w:r>
              <w:rPr>
                <w:noProof/>
                <w:webHidden/>
              </w:rPr>
              <w:tab/>
            </w:r>
            <w:r>
              <w:rPr>
                <w:noProof/>
                <w:webHidden/>
              </w:rPr>
              <w:fldChar w:fldCharType="begin"/>
            </w:r>
            <w:r>
              <w:rPr>
                <w:noProof/>
                <w:webHidden/>
              </w:rPr>
              <w:instrText xml:space="preserve"> PAGEREF _Toc234790826 \h </w:instrText>
            </w:r>
            <w:r>
              <w:rPr>
                <w:noProof/>
                <w:webHidden/>
              </w:rPr>
            </w:r>
            <w:r>
              <w:rPr>
                <w:noProof/>
                <w:webHidden/>
              </w:rPr>
              <w:fldChar w:fldCharType="separate"/>
            </w:r>
            <w:r>
              <w:rPr>
                <w:noProof/>
                <w:webHidden/>
              </w:rPr>
              <w:t>10</w:t>
            </w:r>
            <w:r>
              <w:rPr>
                <w:noProof/>
                <w:webHidden/>
              </w:rPr>
              <w:fldChar w:fldCharType="end"/>
            </w:r>
          </w:hyperlink>
        </w:p>
        <w:p w14:paraId="19579A29" w14:textId="7CB4B290" w:rsidR="00133E4D" w:rsidRDefault="00133E4D">
          <w:pPr>
            <w:pStyle w:val="TOC2"/>
            <w:tabs>
              <w:tab w:val="right" w:leader="dot" w:pos="9112"/>
            </w:tabs>
            <w:rPr>
              <w:noProof/>
              <w:kern w:val="2"/>
              <w:sz w:val="24"/>
              <w:szCs w:val="24"/>
              <w:lang w:val="ro-RO" w:eastAsia="ro-RO"/>
              <w14:ligatures w14:val="standardContextual"/>
            </w:rPr>
          </w:pPr>
          <w:hyperlink w:anchor="_Toc234790827" w:history="1">
            <w:r w:rsidRPr="00466544">
              <w:rPr>
                <w:rStyle w:val="Hyperlink"/>
                <w:rFonts w:ascii="Arial" w:hAnsi="Arial" w:cs="Arial"/>
                <w:noProof/>
              </w:rPr>
              <w:t>6.1 Geopolitical Tensions and the CK Hutchison Dimension</w:t>
            </w:r>
            <w:r>
              <w:rPr>
                <w:noProof/>
                <w:webHidden/>
              </w:rPr>
              <w:tab/>
            </w:r>
            <w:r>
              <w:rPr>
                <w:noProof/>
                <w:webHidden/>
              </w:rPr>
              <w:fldChar w:fldCharType="begin"/>
            </w:r>
            <w:r>
              <w:rPr>
                <w:noProof/>
                <w:webHidden/>
              </w:rPr>
              <w:instrText xml:space="preserve"> PAGEREF _Toc234790827 \h </w:instrText>
            </w:r>
            <w:r>
              <w:rPr>
                <w:noProof/>
                <w:webHidden/>
              </w:rPr>
            </w:r>
            <w:r>
              <w:rPr>
                <w:noProof/>
                <w:webHidden/>
              </w:rPr>
              <w:fldChar w:fldCharType="separate"/>
            </w:r>
            <w:r>
              <w:rPr>
                <w:noProof/>
                <w:webHidden/>
              </w:rPr>
              <w:t>11</w:t>
            </w:r>
            <w:r>
              <w:rPr>
                <w:noProof/>
                <w:webHidden/>
              </w:rPr>
              <w:fldChar w:fldCharType="end"/>
            </w:r>
          </w:hyperlink>
        </w:p>
        <w:p w14:paraId="50C1E651" w14:textId="35AA99E1" w:rsidR="00133E4D" w:rsidRDefault="00133E4D">
          <w:pPr>
            <w:pStyle w:val="TOC2"/>
            <w:tabs>
              <w:tab w:val="right" w:leader="dot" w:pos="9112"/>
            </w:tabs>
            <w:rPr>
              <w:noProof/>
              <w:kern w:val="2"/>
              <w:sz w:val="24"/>
              <w:szCs w:val="24"/>
              <w:lang w:val="ro-RO" w:eastAsia="ro-RO"/>
              <w14:ligatures w14:val="standardContextual"/>
            </w:rPr>
          </w:pPr>
          <w:hyperlink w:anchor="_Toc234790828" w:history="1">
            <w:r w:rsidRPr="00466544">
              <w:rPr>
                <w:rStyle w:val="Hyperlink"/>
                <w:rFonts w:ascii="Arial" w:hAnsi="Arial" w:cs="Arial"/>
                <w:noProof/>
              </w:rPr>
              <w:t>6.2 Artificial Intelligence: Enabler and Disruptor</w:t>
            </w:r>
            <w:r>
              <w:rPr>
                <w:noProof/>
                <w:webHidden/>
              </w:rPr>
              <w:tab/>
            </w:r>
            <w:r>
              <w:rPr>
                <w:noProof/>
                <w:webHidden/>
              </w:rPr>
              <w:fldChar w:fldCharType="begin"/>
            </w:r>
            <w:r>
              <w:rPr>
                <w:noProof/>
                <w:webHidden/>
              </w:rPr>
              <w:instrText xml:space="preserve"> PAGEREF _Toc234790828 \h </w:instrText>
            </w:r>
            <w:r>
              <w:rPr>
                <w:noProof/>
                <w:webHidden/>
              </w:rPr>
            </w:r>
            <w:r>
              <w:rPr>
                <w:noProof/>
                <w:webHidden/>
              </w:rPr>
              <w:fldChar w:fldCharType="separate"/>
            </w:r>
            <w:r>
              <w:rPr>
                <w:noProof/>
                <w:webHidden/>
              </w:rPr>
              <w:t>11</w:t>
            </w:r>
            <w:r>
              <w:rPr>
                <w:noProof/>
                <w:webHidden/>
              </w:rPr>
              <w:fldChar w:fldCharType="end"/>
            </w:r>
          </w:hyperlink>
        </w:p>
        <w:p w14:paraId="39AD9FF2" w14:textId="204CFB05" w:rsidR="00133E4D" w:rsidRDefault="00133E4D">
          <w:pPr>
            <w:pStyle w:val="TOC2"/>
            <w:tabs>
              <w:tab w:val="right" w:leader="dot" w:pos="9112"/>
            </w:tabs>
            <w:rPr>
              <w:noProof/>
              <w:kern w:val="2"/>
              <w:sz w:val="24"/>
              <w:szCs w:val="24"/>
              <w:lang w:val="ro-RO" w:eastAsia="ro-RO"/>
              <w14:ligatures w14:val="standardContextual"/>
            </w:rPr>
          </w:pPr>
          <w:hyperlink w:anchor="_Toc234790829" w:history="1">
            <w:r w:rsidRPr="00466544">
              <w:rPr>
                <w:rStyle w:val="Hyperlink"/>
                <w:rFonts w:ascii="Arial" w:hAnsi="Arial" w:cs="Arial"/>
                <w:noProof/>
              </w:rPr>
              <w:t>6.3 Ageing Population and Digital Inclusion</w:t>
            </w:r>
            <w:r>
              <w:rPr>
                <w:noProof/>
                <w:webHidden/>
              </w:rPr>
              <w:tab/>
            </w:r>
            <w:r>
              <w:rPr>
                <w:noProof/>
                <w:webHidden/>
              </w:rPr>
              <w:fldChar w:fldCharType="begin"/>
            </w:r>
            <w:r>
              <w:rPr>
                <w:noProof/>
                <w:webHidden/>
              </w:rPr>
              <w:instrText xml:space="preserve"> PAGEREF _Toc234790829 \h </w:instrText>
            </w:r>
            <w:r>
              <w:rPr>
                <w:noProof/>
                <w:webHidden/>
              </w:rPr>
            </w:r>
            <w:r>
              <w:rPr>
                <w:noProof/>
                <w:webHidden/>
              </w:rPr>
              <w:fldChar w:fldCharType="separate"/>
            </w:r>
            <w:r>
              <w:rPr>
                <w:noProof/>
                <w:webHidden/>
              </w:rPr>
              <w:t>12</w:t>
            </w:r>
            <w:r>
              <w:rPr>
                <w:noProof/>
                <w:webHidden/>
              </w:rPr>
              <w:fldChar w:fldCharType="end"/>
            </w:r>
          </w:hyperlink>
        </w:p>
        <w:p w14:paraId="54DDDDAE" w14:textId="66599712" w:rsidR="00133E4D" w:rsidRDefault="00133E4D">
          <w:pPr>
            <w:pStyle w:val="TOC2"/>
            <w:tabs>
              <w:tab w:val="right" w:leader="dot" w:pos="9112"/>
            </w:tabs>
            <w:rPr>
              <w:noProof/>
              <w:kern w:val="2"/>
              <w:sz w:val="24"/>
              <w:szCs w:val="24"/>
              <w:lang w:val="ro-RO" w:eastAsia="ro-RO"/>
              <w14:ligatures w14:val="standardContextual"/>
            </w:rPr>
          </w:pPr>
          <w:hyperlink w:anchor="_Toc234790830" w:history="1">
            <w:r w:rsidRPr="00466544">
              <w:rPr>
                <w:rStyle w:val="Hyperlink"/>
                <w:rFonts w:ascii="Arial" w:hAnsi="Arial" w:cs="Arial"/>
                <w:noProof/>
              </w:rPr>
              <w:t>6.4 Automation, Efficiency and Human Workforce Pressure</w:t>
            </w:r>
            <w:r>
              <w:rPr>
                <w:noProof/>
                <w:webHidden/>
              </w:rPr>
              <w:tab/>
            </w:r>
            <w:r>
              <w:rPr>
                <w:noProof/>
                <w:webHidden/>
              </w:rPr>
              <w:fldChar w:fldCharType="begin"/>
            </w:r>
            <w:r>
              <w:rPr>
                <w:noProof/>
                <w:webHidden/>
              </w:rPr>
              <w:instrText xml:space="preserve"> PAGEREF _Toc234790830 \h </w:instrText>
            </w:r>
            <w:r>
              <w:rPr>
                <w:noProof/>
                <w:webHidden/>
              </w:rPr>
            </w:r>
            <w:r>
              <w:rPr>
                <w:noProof/>
                <w:webHidden/>
              </w:rPr>
              <w:fldChar w:fldCharType="separate"/>
            </w:r>
            <w:r>
              <w:rPr>
                <w:noProof/>
                <w:webHidden/>
              </w:rPr>
              <w:t>12</w:t>
            </w:r>
            <w:r>
              <w:rPr>
                <w:noProof/>
                <w:webHidden/>
              </w:rPr>
              <w:fldChar w:fldCharType="end"/>
            </w:r>
          </w:hyperlink>
        </w:p>
        <w:p w14:paraId="5E8E4316" w14:textId="694D3B0B" w:rsidR="00133E4D" w:rsidRDefault="00133E4D">
          <w:pPr>
            <w:pStyle w:val="TOC2"/>
            <w:tabs>
              <w:tab w:val="right" w:leader="dot" w:pos="9112"/>
            </w:tabs>
            <w:rPr>
              <w:noProof/>
              <w:kern w:val="2"/>
              <w:sz w:val="24"/>
              <w:szCs w:val="24"/>
              <w:lang w:val="ro-RO" w:eastAsia="ro-RO"/>
              <w14:ligatures w14:val="standardContextual"/>
            </w:rPr>
          </w:pPr>
          <w:hyperlink w:anchor="_Toc234790831" w:history="1">
            <w:r w:rsidRPr="00466544">
              <w:rPr>
                <w:rStyle w:val="Hyperlink"/>
                <w:rFonts w:ascii="Arial" w:hAnsi="Arial" w:cs="Arial"/>
                <w:noProof/>
              </w:rPr>
              <w:t>6.5 Global Market Access and the Digital Divide</w:t>
            </w:r>
            <w:r>
              <w:rPr>
                <w:noProof/>
                <w:webHidden/>
              </w:rPr>
              <w:tab/>
            </w:r>
            <w:r>
              <w:rPr>
                <w:noProof/>
                <w:webHidden/>
              </w:rPr>
              <w:fldChar w:fldCharType="begin"/>
            </w:r>
            <w:r>
              <w:rPr>
                <w:noProof/>
                <w:webHidden/>
              </w:rPr>
              <w:instrText xml:space="preserve"> PAGEREF _Toc234790831 \h </w:instrText>
            </w:r>
            <w:r>
              <w:rPr>
                <w:noProof/>
                <w:webHidden/>
              </w:rPr>
            </w:r>
            <w:r>
              <w:rPr>
                <w:noProof/>
                <w:webHidden/>
              </w:rPr>
              <w:fldChar w:fldCharType="separate"/>
            </w:r>
            <w:r>
              <w:rPr>
                <w:noProof/>
                <w:webHidden/>
              </w:rPr>
              <w:t>12</w:t>
            </w:r>
            <w:r>
              <w:rPr>
                <w:noProof/>
                <w:webHidden/>
              </w:rPr>
              <w:fldChar w:fldCharType="end"/>
            </w:r>
          </w:hyperlink>
        </w:p>
        <w:p w14:paraId="12B08BE5" w14:textId="53095987" w:rsidR="00133E4D" w:rsidRDefault="00133E4D">
          <w:pPr>
            <w:pStyle w:val="TOC2"/>
            <w:tabs>
              <w:tab w:val="right" w:leader="dot" w:pos="9112"/>
            </w:tabs>
            <w:rPr>
              <w:noProof/>
              <w:kern w:val="2"/>
              <w:sz w:val="24"/>
              <w:szCs w:val="24"/>
              <w:lang w:val="ro-RO" w:eastAsia="ro-RO"/>
              <w14:ligatures w14:val="standardContextual"/>
            </w:rPr>
          </w:pPr>
          <w:hyperlink w:anchor="_Toc234790832" w:history="1">
            <w:r w:rsidRPr="00466544">
              <w:rPr>
                <w:rStyle w:val="Hyperlink"/>
                <w:rFonts w:ascii="Arial" w:hAnsi="Arial" w:cs="Arial"/>
                <w:noProof/>
              </w:rPr>
              <w:t>6.6 Cybersecurity as Strategic Capability</w:t>
            </w:r>
            <w:r>
              <w:rPr>
                <w:noProof/>
                <w:webHidden/>
              </w:rPr>
              <w:tab/>
            </w:r>
            <w:r>
              <w:rPr>
                <w:noProof/>
                <w:webHidden/>
              </w:rPr>
              <w:fldChar w:fldCharType="begin"/>
            </w:r>
            <w:r>
              <w:rPr>
                <w:noProof/>
                <w:webHidden/>
              </w:rPr>
              <w:instrText xml:space="preserve"> PAGEREF _Toc234790832 \h </w:instrText>
            </w:r>
            <w:r>
              <w:rPr>
                <w:noProof/>
                <w:webHidden/>
              </w:rPr>
            </w:r>
            <w:r>
              <w:rPr>
                <w:noProof/>
                <w:webHidden/>
              </w:rPr>
              <w:fldChar w:fldCharType="separate"/>
            </w:r>
            <w:r>
              <w:rPr>
                <w:noProof/>
                <w:webHidden/>
              </w:rPr>
              <w:t>13</w:t>
            </w:r>
            <w:r>
              <w:rPr>
                <w:noProof/>
                <w:webHidden/>
              </w:rPr>
              <w:fldChar w:fldCharType="end"/>
            </w:r>
          </w:hyperlink>
        </w:p>
        <w:p w14:paraId="19F38F0F" w14:textId="5EC3D9F2" w:rsidR="00133E4D" w:rsidRDefault="00133E4D">
          <w:pPr>
            <w:pStyle w:val="TOC2"/>
            <w:tabs>
              <w:tab w:val="right" w:leader="dot" w:pos="9112"/>
            </w:tabs>
            <w:rPr>
              <w:noProof/>
              <w:kern w:val="2"/>
              <w:sz w:val="24"/>
              <w:szCs w:val="24"/>
              <w:lang w:val="ro-RO" w:eastAsia="ro-RO"/>
              <w14:ligatures w14:val="standardContextual"/>
            </w:rPr>
          </w:pPr>
          <w:hyperlink w:anchor="_Toc234790833" w:history="1">
            <w:r w:rsidRPr="00466544">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_Toc234790833 \h </w:instrText>
            </w:r>
            <w:r>
              <w:rPr>
                <w:noProof/>
                <w:webHidden/>
              </w:rPr>
            </w:r>
            <w:r>
              <w:rPr>
                <w:noProof/>
                <w:webHidden/>
              </w:rPr>
              <w:fldChar w:fldCharType="separate"/>
            </w:r>
            <w:r>
              <w:rPr>
                <w:noProof/>
                <w:webHidden/>
              </w:rPr>
              <w:t>13</w:t>
            </w:r>
            <w:r>
              <w:rPr>
                <w:noProof/>
                <w:webHidden/>
              </w:rPr>
              <w:fldChar w:fldCharType="end"/>
            </w:r>
          </w:hyperlink>
        </w:p>
        <w:p w14:paraId="2FC3F523" w14:textId="2DED54E8" w:rsidR="00133E4D" w:rsidRDefault="00133E4D">
          <w:pPr>
            <w:pStyle w:val="TOC2"/>
            <w:tabs>
              <w:tab w:val="right" w:leader="dot" w:pos="9112"/>
            </w:tabs>
            <w:rPr>
              <w:noProof/>
              <w:kern w:val="2"/>
              <w:sz w:val="24"/>
              <w:szCs w:val="24"/>
              <w:lang w:val="ro-RO" w:eastAsia="ro-RO"/>
              <w14:ligatures w14:val="standardContextual"/>
            </w:rPr>
          </w:pPr>
          <w:hyperlink w:anchor="_Toc234790834" w:history="1">
            <w:r w:rsidRPr="0046654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_Toc234790834 \h </w:instrText>
            </w:r>
            <w:r>
              <w:rPr>
                <w:noProof/>
                <w:webHidden/>
              </w:rPr>
            </w:r>
            <w:r>
              <w:rPr>
                <w:noProof/>
                <w:webHidden/>
              </w:rPr>
              <w:fldChar w:fldCharType="separate"/>
            </w:r>
            <w:r>
              <w:rPr>
                <w:noProof/>
                <w:webHidden/>
              </w:rPr>
              <w:t>14</w:t>
            </w:r>
            <w:r>
              <w:rPr>
                <w:noProof/>
                <w:webHidden/>
              </w:rPr>
              <w:fldChar w:fldCharType="end"/>
            </w:r>
          </w:hyperlink>
        </w:p>
        <w:p w14:paraId="0BA00C85" w14:textId="7B2D7EF8" w:rsidR="00133E4D" w:rsidRDefault="00133E4D">
          <w:pPr>
            <w:pStyle w:val="TOC2"/>
            <w:tabs>
              <w:tab w:val="right" w:leader="dot" w:pos="9112"/>
            </w:tabs>
            <w:rPr>
              <w:noProof/>
              <w:kern w:val="2"/>
              <w:sz w:val="24"/>
              <w:szCs w:val="24"/>
              <w:lang w:val="ro-RO" w:eastAsia="ro-RO"/>
              <w14:ligatures w14:val="standardContextual"/>
            </w:rPr>
          </w:pPr>
          <w:hyperlink w:anchor="_Toc234790835" w:history="1">
            <w:r w:rsidRPr="00466544">
              <w:rPr>
                <w:rStyle w:val="Hyperlink"/>
                <w:rFonts w:ascii="Arial" w:hAnsi="Arial" w:cs="Arial"/>
                <w:noProof/>
              </w:rPr>
              <w:t>Appendix</w:t>
            </w:r>
            <w:r>
              <w:rPr>
                <w:noProof/>
                <w:webHidden/>
              </w:rPr>
              <w:tab/>
            </w:r>
            <w:r>
              <w:rPr>
                <w:noProof/>
                <w:webHidden/>
              </w:rPr>
              <w:fldChar w:fldCharType="begin"/>
            </w:r>
            <w:r>
              <w:rPr>
                <w:noProof/>
                <w:webHidden/>
              </w:rPr>
              <w:instrText xml:space="preserve"> PAGEREF _Toc234790835 \h </w:instrText>
            </w:r>
            <w:r>
              <w:rPr>
                <w:noProof/>
                <w:webHidden/>
              </w:rPr>
            </w:r>
            <w:r>
              <w:rPr>
                <w:noProof/>
                <w:webHidden/>
              </w:rPr>
              <w:fldChar w:fldCharType="separate"/>
            </w:r>
            <w:r>
              <w:rPr>
                <w:noProof/>
                <w:webHidden/>
              </w:rPr>
              <w:t>18</w:t>
            </w:r>
            <w:r>
              <w:rPr>
                <w:noProof/>
                <w:webHidden/>
              </w:rPr>
              <w:fldChar w:fldCharType="end"/>
            </w:r>
          </w:hyperlink>
        </w:p>
        <w:p w14:paraId="160D04C3" w14:textId="3E9E9619" w:rsidR="00133E4D" w:rsidRDefault="00133E4D">
          <w:pPr>
            <w:pStyle w:val="TOC2"/>
            <w:tabs>
              <w:tab w:val="right" w:leader="dot" w:pos="9112"/>
            </w:tabs>
            <w:rPr>
              <w:noProof/>
              <w:kern w:val="2"/>
              <w:sz w:val="24"/>
              <w:szCs w:val="24"/>
              <w:lang w:val="ro-RO" w:eastAsia="ro-RO"/>
              <w14:ligatures w14:val="standardContextual"/>
            </w:rPr>
          </w:pPr>
          <w:hyperlink w:anchor="_Toc234790836" w:history="1">
            <w:r w:rsidRPr="00466544">
              <w:rPr>
                <w:rStyle w:val="Hyperlink"/>
                <w:rFonts w:ascii="Arial" w:hAnsi="Arial" w:cs="Arial"/>
                <w:noProof/>
              </w:rPr>
              <w:t>Appendix A: Analytical Frameworks and Tools</w:t>
            </w:r>
            <w:r>
              <w:rPr>
                <w:noProof/>
                <w:webHidden/>
              </w:rPr>
              <w:tab/>
            </w:r>
            <w:r>
              <w:rPr>
                <w:noProof/>
                <w:webHidden/>
              </w:rPr>
              <w:fldChar w:fldCharType="begin"/>
            </w:r>
            <w:r>
              <w:rPr>
                <w:noProof/>
                <w:webHidden/>
              </w:rPr>
              <w:instrText xml:space="preserve"> PAGEREF _Toc234790836 \h </w:instrText>
            </w:r>
            <w:r>
              <w:rPr>
                <w:noProof/>
                <w:webHidden/>
              </w:rPr>
            </w:r>
            <w:r>
              <w:rPr>
                <w:noProof/>
                <w:webHidden/>
              </w:rPr>
              <w:fldChar w:fldCharType="separate"/>
            </w:r>
            <w:r>
              <w:rPr>
                <w:noProof/>
                <w:webHidden/>
              </w:rPr>
              <w:t>18</w:t>
            </w:r>
            <w:r>
              <w:rPr>
                <w:noProof/>
                <w:webHidden/>
              </w:rPr>
              <w:fldChar w:fldCharType="end"/>
            </w:r>
          </w:hyperlink>
        </w:p>
        <w:p w14:paraId="0C7C7A65" w14:textId="0D20AEE8" w:rsidR="00133E4D" w:rsidRDefault="00133E4D">
          <w:pPr>
            <w:pStyle w:val="TOC2"/>
            <w:tabs>
              <w:tab w:val="right" w:leader="dot" w:pos="9112"/>
            </w:tabs>
            <w:rPr>
              <w:noProof/>
              <w:kern w:val="2"/>
              <w:sz w:val="24"/>
              <w:szCs w:val="24"/>
              <w:lang w:val="ro-RO" w:eastAsia="ro-RO"/>
              <w14:ligatures w14:val="standardContextual"/>
            </w:rPr>
          </w:pPr>
          <w:hyperlink w:anchor="_Toc234790837" w:history="1">
            <w:r w:rsidRPr="00466544">
              <w:rPr>
                <w:rStyle w:val="Hyperlink"/>
                <w:rFonts w:ascii="Arial" w:hAnsi="Arial" w:cs="Arial"/>
                <w:noProof/>
              </w:rPr>
              <w:t>Figure A1. PESTEL Analysis of VodafoneThree</w:t>
            </w:r>
            <w:r>
              <w:rPr>
                <w:noProof/>
                <w:webHidden/>
              </w:rPr>
              <w:tab/>
            </w:r>
            <w:r>
              <w:rPr>
                <w:noProof/>
                <w:webHidden/>
              </w:rPr>
              <w:fldChar w:fldCharType="begin"/>
            </w:r>
            <w:r>
              <w:rPr>
                <w:noProof/>
                <w:webHidden/>
              </w:rPr>
              <w:instrText xml:space="preserve"> PAGEREF _Toc234790837 \h </w:instrText>
            </w:r>
            <w:r>
              <w:rPr>
                <w:noProof/>
                <w:webHidden/>
              </w:rPr>
            </w:r>
            <w:r>
              <w:rPr>
                <w:noProof/>
                <w:webHidden/>
              </w:rPr>
              <w:fldChar w:fldCharType="separate"/>
            </w:r>
            <w:r>
              <w:rPr>
                <w:noProof/>
                <w:webHidden/>
              </w:rPr>
              <w:t>18</w:t>
            </w:r>
            <w:r>
              <w:rPr>
                <w:noProof/>
                <w:webHidden/>
              </w:rPr>
              <w:fldChar w:fldCharType="end"/>
            </w:r>
          </w:hyperlink>
        </w:p>
        <w:p w14:paraId="1E702818" w14:textId="4719E9B1" w:rsidR="00133E4D" w:rsidRDefault="00133E4D">
          <w:pPr>
            <w:pStyle w:val="TOC2"/>
            <w:tabs>
              <w:tab w:val="right" w:leader="dot" w:pos="9112"/>
            </w:tabs>
            <w:rPr>
              <w:noProof/>
              <w:kern w:val="2"/>
              <w:sz w:val="24"/>
              <w:szCs w:val="24"/>
              <w:lang w:val="ro-RO" w:eastAsia="ro-RO"/>
              <w14:ligatures w14:val="standardContextual"/>
            </w:rPr>
          </w:pPr>
          <w:hyperlink w:anchor="_Toc234790838" w:history="1">
            <w:r w:rsidRPr="00466544">
              <w:rPr>
                <w:rStyle w:val="Hyperlink"/>
                <w:rFonts w:ascii="Arial" w:hAnsi="Arial" w:cs="Arial"/>
                <w:noProof/>
              </w:rPr>
              <w:t>Figure A2. Porter's Five Forces Analysis of VodafoneThree</w:t>
            </w:r>
            <w:r>
              <w:rPr>
                <w:noProof/>
                <w:webHidden/>
              </w:rPr>
              <w:tab/>
            </w:r>
            <w:r>
              <w:rPr>
                <w:noProof/>
                <w:webHidden/>
              </w:rPr>
              <w:fldChar w:fldCharType="begin"/>
            </w:r>
            <w:r>
              <w:rPr>
                <w:noProof/>
                <w:webHidden/>
              </w:rPr>
              <w:instrText xml:space="preserve"> PAGEREF _Toc234790838 \h </w:instrText>
            </w:r>
            <w:r>
              <w:rPr>
                <w:noProof/>
                <w:webHidden/>
              </w:rPr>
            </w:r>
            <w:r>
              <w:rPr>
                <w:noProof/>
                <w:webHidden/>
              </w:rPr>
              <w:fldChar w:fldCharType="separate"/>
            </w:r>
            <w:r>
              <w:rPr>
                <w:noProof/>
                <w:webHidden/>
              </w:rPr>
              <w:t>19</w:t>
            </w:r>
            <w:r>
              <w:rPr>
                <w:noProof/>
                <w:webHidden/>
              </w:rPr>
              <w:fldChar w:fldCharType="end"/>
            </w:r>
          </w:hyperlink>
        </w:p>
        <w:p w14:paraId="4FBEEB6C" w14:textId="1E55CCB9" w:rsidR="00133E4D" w:rsidRDefault="00133E4D">
          <w:pPr>
            <w:pStyle w:val="TOC2"/>
            <w:tabs>
              <w:tab w:val="right" w:leader="dot" w:pos="9112"/>
            </w:tabs>
            <w:rPr>
              <w:noProof/>
              <w:kern w:val="2"/>
              <w:sz w:val="24"/>
              <w:szCs w:val="24"/>
              <w:lang w:val="ro-RO" w:eastAsia="ro-RO"/>
              <w14:ligatures w14:val="standardContextual"/>
            </w:rPr>
          </w:pPr>
          <w:hyperlink w:anchor="_Toc234790839" w:history="1">
            <w:r w:rsidRPr="00466544">
              <w:rPr>
                <w:rStyle w:val="Hyperlink"/>
                <w:rFonts w:ascii="Arial" w:hAnsi="Arial" w:cs="Arial"/>
                <w:noProof/>
              </w:rPr>
              <w:t>Table A1a. VRIO Analysis of VodafoneThree</w:t>
            </w:r>
            <w:r>
              <w:rPr>
                <w:noProof/>
                <w:webHidden/>
              </w:rPr>
              <w:tab/>
            </w:r>
            <w:r>
              <w:rPr>
                <w:noProof/>
                <w:webHidden/>
              </w:rPr>
              <w:fldChar w:fldCharType="begin"/>
            </w:r>
            <w:r>
              <w:rPr>
                <w:noProof/>
                <w:webHidden/>
              </w:rPr>
              <w:instrText xml:space="preserve"> PAGEREF _Toc234790839 \h </w:instrText>
            </w:r>
            <w:r>
              <w:rPr>
                <w:noProof/>
                <w:webHidden/>
              </w:rPr>
            </w:r>
            <w:r>
              <w:rPr>
                <w:noProof/>
                <w:webHidden/>
              </w:rPr>
              <w:fldChar w:fldCharType="separate"/>
            </w:r>
            <w:r>
              <w:rPr>
                <w:noProof/>
                <w:webHidden/>
              </w:rPr>
              <w:t>20</w:t>
            </w:r>
            <w:r>
              <w:rPr>
                <w:noProof/>
                <w:webHidden/>
              </w:rPr>
              <w:fldChar w:fldCharType="end"/>
            </w:r>
          </w:hyperlink>
        </w:p>
        <w:p w14:paraId="6A5A6BBE" w14:textId="58EDEFAE" w:rsidR="00133E4D" w:rsidRDefault="00133E4D">
          <w:pPr>
            <w:pStyle w:val="TOC2"/>
            <w:tabs>
              <w:tab w:val="right" w:leader="dot" w:pos="9112"/>
            </w:tabs>
            <w:rPr>
              <w:noProof/>
              <w:kern w:val="2"/>
              <w:sz w:val="24"/>
              <w:szCs w:val="24"/>
              <w:lang w:val="ro-RO" w:eastAsia="ro-RO"/>
              <w14:ligatures w14:val="standardContextual"/>
            </w:rPr>
          </w:pPr>
          <w:hyperlink w:anchor="_Toc234790840" w:history="1">
            <w:r w:rsidRPr="00466544">
              <w:rPr>
                <w:rStyle w:val="Hyperlink"/>
                <w:rFonts w:ascii="Arial" w:hAnsi="Arial" w:cs="Arial"/>
                <w:noProof/>
              </w:rPr>
              <w:t>Table A1b. SWOT Analysis of VodafoneThree</w:t>
            </w:r>
            <w:r>
              <w:rPr>
                <w:noProof/>
                <w:webHidden/>
              </w:rPr>
              <w:tab/>
            </w:r>
            <w:r>
              <w:rPr>
                <w:noProof/>
                <w:webHidden/>
              </w:rPr>
              <w:fldChar w:fldCharType="begin"/>
            </w:r>
            <w:r>
              <w:rPr>
                <w:noProof/>
                <w:webHidden/>
              </w:rPr>
              <w:instrText xml:space="preserve"> PAGEREF _Toc234790840 \h </w:instrText>
            </w:r>
            <w:r>
              <w:rPr>
                <w:noProof/>
                <w:webHidden/>
              </w:rPr>
            </w:r>
            <w:r>
              <w:rPr>
                <w:noProof/>
                <w:webHidden/>
              </w:rPr>
              <w:fldChar w:fldCharType="separate"/>
            </w:r>
            <w:r>
              <w:rPr>
                <w:noProof/>
                <w:webHidden/>
              </w:rPr>
              <w:t>21</w:t>
            </w:r>
            <w:r>
              <w:rPr>
                <w:noProof/>
                <w:webHidden/>
              </w:rPr>
              <w:fldChar w:fldCharType="end"/>
            </w:r>
          </w:hyperlink>
        </w:p>
        <w:p w14:paraId="29E44C3D" w14:textId="0F36C6C8" w:rsidR="00133E4D" w:rsidRDefault="00133E4D">
          <w:pPr>
            <w:pStyle w:val="TOC2"/>
            <w:tabs>
              <w:tab w:val="right" w:leader="dot" w:pos="9112"/>
            </w:tabs>
            <w:rPr>
              <w:noProof/>
              <w:kern w:val="2"/>
              <w:sz w:val="24"/>
              <w:szCs w:val="24"/>
              <w:lang w:val="ro-RO" w:eastAsia="ro-RO"/>
              <w14:ligatures w14:val="standardContextual"/>
            </w:rPr>
          </w:pPr>
          <w:hyperlink w:anchor="_Toc234790841" w:history="1">
            <w:r w:rsidRPr="00466544">
              <w:rPr>
                <w:rStyle w:val="Hyperlink"/>
                <w:rFonts w:ascii="Arial" w:hAnsi="Arial" w:cs="Arial"/>
                <w:noProof/>
              </w:rPr>
              <w:t>Table A2. TOWS Matrix</w:t>
            </w:r>
            <w:r>
              <w:rPr>
                <w:noProof/>
                <w:webHidden/>
              </w:rPr>
              <w:tab/>
            </w:r>
            <w:r>
              <w:rPr>
                <w:noProof/>
                <w:webHidden/>
              </w:rPr>
              <w:fldChar w:fldCharType="begin"/>
            </w:r>
            <w:r>
              <w:rPr>
                <w:noProof/>
                <w:webHidden/>
              </w:rPr>
              <w:instrText xml:space="preserve"> PAGEREF _Toc234790841 \h </w:instrText>
            </w:r>
            <w:r>
              <w:rPr>
                <w:noProof/>
                <w:webHidden/>
              </w:rPr>
            </w:r>
            <w:r>
              <w:rPr>
                <w:noProof/>
                <w:webHidden/>
              </w:rPr>
              <w:fldChar w:fldCharType="separate"/>
            </w:r>
            <w:r>
              <w:rPr>
                <w:noProof/>
                <w:webHidden/>
              </w:rPr>
              <w:t>21</w:t>
            </w:r>
            <w:r>
              <w:rPr>
                <w:noProof/>
                <w:webHidden/>
              </w:rPr>
              <w:fldChar w:fldCharType="end"/>
            </w:r>
          </w:hyperlink>
        </w:p>
        <w:p w14:paraId="364D8F6F" w14:textId="6D85E249" w:rsidR="00133E4D" w:rsidRDefault="00133E4D">
          <w:pPr>
            <w:pStyle w:val="TOC2"/>
            <w:tabs>
              <w:tab w:val="right" w:leader="dot" w:pos="9112"/>
            </w:tabs>
            <w:rPr>
              <w:noProof/>
              <w:kern w:val="2"/>
              <w:sz w:val="24"/>
              <w:szCs w:val="24"/>
              <w:lang w:val="ro-RO" w:eastAsia="ro-RO"/>
              <w14:ligatures w14:val="standardContextual"/>
            </w:rPr>
          </w:pPr>
          <w:hyperlink w:anchor="_Toc234790842" w:history="1">
            <w:r w:rsidRPr="00466544">
              <w:rPr>
                <w:rStyle w:val="Hyperlink"/>
                <w:rFonts w:ascii="Arial" w:hAnsi="Arial" w:cs="Arial"/>
                <w:noProof/>
              </w:rPr>
              <w:t>Table A3. Comparison of Strategic Growth Options</w:t>
            </w:r>
            <w:r>
              <w:rPr>
                <w:noProof/>
                <w:webHidden/>
              </w:rPr>
              <w:tab/>
            </w:r>
            <w:r>
              <w:rPr>
                <w:noProof/>
                <w:webHidden/>
              </w:rPr>
              <w:fldChar w:fldCharType="begin"/>
            </w:r>
            <w:r>
              <w:rPr>
                <w:noProof/>
                <w:webHidden/>
              </w:rPr>
              <w:instrText xml:space="preserve"> PAGEREF _Toc234790842 \h </w:instrText>
            </w:r>
            <w:r>
              <w:rPr>
                <w:noProof/>
                <w:webHidden/>
              </w:rPr>
            </w:r>
            <w:r>
              <w:rPr>
                <w:noProof/>
                <w:webHidden/>
              </w:rPr>
              <w:fldChar w:fldCharType="separate"/>
            </w:r>
            <w:r>
              <w:rPr>
                <w:noProof/>
                <w:webHidden/>
              </w:rPr>
              <w:t>22</w:t>
            </w:r>
            <w:r>
              <w:rPr>
                <w:noProof/>
                <w:webHidden/>
              </w:rPr>
              <w:fldChar w:fldCharType="end"/>
            </w:r>
          </w:hyperlink>
        </w:p>
        <w:p w14:paraId="588475E8" w14:textId="7237269D" w:rsidR="00133E4D" w:rsidRDefault="00133E4D">
          <w:pPr>
            <w:pStyle w:val="TOC2"/>
            <w:tabs>
              <w:tab w:val="right" w:leader="dot" w:pos="9112"/>
            </w:tabs>
            <w:rPr>
              <w:noProof/>
              <w:kern w:val="2"/>
              <w:sz w:val="24"/>
              <w:szCs w:val="24"/>
              <w:lang w:val="ro-RO" w:eastAsia="ro-RO"/>
              <w14:ligatures w14:val="standardContextual"/>
            </w:rPr>
          </w:pPr>
          <w:hyperlink w:anchor="_Toc234790843" w:history="1">
            <w:r w:rsidRPr="00466544">
              <w:rPr>
                <w:rStyle w:val="Hyperlink"/>
                <w:rFonts w:ascii="Arial" w:hAnsi="Arial" w:cs="Arial"/>
                <w:noProof/>
              </w:rPr>
              <w:t>Table A4. SFA Evaluation</w:t>
            </w:r>
            <w:r>
              <w:rPr>
                <w:noProof/>
                <w:webHidden/>
              </w:rPr>
              <w:tab/>
            </w:r>
            <w:r>
              <w:rPr>
                <w:noProof/>
                <w:webHidden/>
              </w:rPr>
              <w:fldChar w:fldCharType="begin"/>
            </w:r>
            <w:r>
              <w:rPr>
                <w:noProof/>
                <w:webHidden/>
              </w:rPr>
              <w:instrText xml:space="preserve"> PAGEREF _Toc234790843 \h </w:instrText>
            </w:r>
            <w:r>
              <w:rPr>
                <w:noProof/>
                <w:webHidden/>
              </w:rPr>
            </w:r>
            <w:r>
              <w:rPr>
                <w:noProof/>
                <w:webHidden/>
              </w:rPr>
              <w:fldChar w:fldCharType="separate"/>
            </w:r>
            <w:r>
              <w:rPr>
                <w:noProof/>
                <w:webHidden/>
              </w:rPr>
              <w:t>23</w:t>
            </w:r>
            <w:r>
              <w:rPr>
                <w:noProof/>
                <w:webHidden/>
              </w:rPr>
              <w:fldChar w:fldCharType="end"/>
            </w:r>
          </w:hyperlink>
        </w:p>
        <w:p w14:paraId="6CAC244A" w14:textId="1E19A104" w:rsidR="00133E4D" w:rsidRDefault="00133E4D">
          <w:pPr>
            <w:pStyle w:val="TOC2"/>
            <w:tabs>
              <w:tab w:val="right" w:leader="dot" w:pos="9112"/>
            </w:tabs>
            <w:rPr>
              <w:noProof/>
              <w:kern w:val="2"/>
              <w:sz w:val="24"/>
              <w:szCs w:val="24"/>
              <w:lang w:val="ro-RO" w:eastAsia="ro-RO"/>
              <w14:ligatures w14:val="standardContextual"/>
            </w:rPr>
          </w:pPr>
          <w:hyperlink w:anchor="_Toc234790844" w:history="1">
            <w:r w:rsidRPr="00466544">
              <w:rPr>
                <w:rStyle w:val="Hyperlink"/>
                <w:rFonts w:ascii="Arial" w:hAnsi="Arial" w:cs="Arial"/>
                <w:noProof/>
              </w:rPr>
              <w:t>Figure A3. Mendelow's Power–Interest Matrix</w:t>
            </w:r>
            <w:r>
              <w:rPr>
                <w:noProof/>
                <w:webHidden/>
              </w:rPr>
              <w:tab/>
            </w:r>
            <w:r>
              <w:rPr>
                <w:noProof/>
                <w:webHidden/>
              </w:rPr>
              <w:fldChar w:fldCharType="begin"/>
            </w:r>
            <w:r>
              <w:rPr>
                <w:noProof/>
                <w:webHidden/>
              </w:rPr>
              <w:instrText xml:space="preserve"> PAGEREF _Toc234790844 \h </w:instrText>
            </w:r>
            <w:r>
              <w:rPr>
                <w:noProof/>
                <w:webHidden/>
              </w:rPr>
            </w:r>
            <w:r>
              <w:rPr>
                <w:noProof/>
                <w:webHidden/>
              </w:rPr>
              <w:fldChar w:fldCharType="separate"/>
            </w:r>
            <w:r>
              <w:rPr>
                <w:noProof/>
                <w:webHidden/>
              </w:rPr>
              <w:t>23</w:t>
            </w:r>
            <w:r>
              <w:rPr>
                <w:noProof/>
                <w:webHidden/>
              </w:rPr>
              <w:fldChar w:fldCharType="end"/>
            </w:r>
          </w:hyperlink>
        </w:p>
        <w:p w14:paraId="22F91103" w14:textId="16CD8FAD" w:rsidR="00133E4D" w:rsidRDefault="00133E4D">
          <w:pPr>
            <w:pStyle w:val="TOC2"/>
            <w:tabs>
              <w:tab w:val="right" w:leader="dot" w:pos="9112"/>
            </w:tabs>
            <w:rPr>
              <w:noProof/>
              <w:kern w:val="2"/>
              <w:sz w:val="24"/>
              <w:szCs w:val="24"/>
              <w:lang w:val="ro-RO" w:eastAsia="ro-RO"/>
              <w14:ligatures w14:val="standardContextual"/>
            </w:rPr>
          </w:pPr>
          <w:hyperlink w:anchor="_Toc234790845" w:history="1">
            <w:r w:rsidRPr="00466544">
              <w:rPr>
                <w:rStyle w:val="Hyperlink"/>
                <w:rFonts w:ascii="Arial" w:hAnsi="Arial" w:cs="Arial"/>
                <w:noProof/>
              </w:rPr>
              <w:t>Table A5. Stakeholder Engagement Plan</w:t>
            </w:r>
            <w:r>
              <w:rPr>
                <w:noProof/>
                <w:webHidden/>
              </w:rPr>
              <w:tab/>
            </w:r>
            <w:r>
              <w:rPr>
                <w:noProof/>
                <w:webHidden/>
              </w:rPr>
              <w:fldChar w:fldCharType="begin"/>
            </w:r>
            <w:r>
              <w:rPr>
                <w:noProof/>
                <w:webHidden/>
              </w:rPr>
              <w:instrText xml:space="preserve"> PAGEREF _Toc234790845 \h </w:instrText>
            </w:r>
            <w:r>
              <w:rPr>
                <w:noProof/>
                <w:webHidden/>
              </w:rPr>
            </w:r>
            <w:r>
              <w:rPr>
                <w:noProof/>
                <w:webHidden/>
              </w:rPr>
              <w:fldChar w:fldCharType="separate"/>
            </w:r>
            <w:r>
              <w:rPr>
                <w:noProof/>
                <w:webHidden/>
              </w:rPr>
              <w:t>24</w:t>
            </w:r>
            <w:r>
              <w:rPr>
                <w:noProof/>
                <w:webHidden/>
              </w:rPr>
              <w:fldChar w:fldCharType="end"/>
            </w:r>
          </w:hyperlink>
        </w:p>
        <w:p w14:paraId="480E69BF" w14:textId="11A568A0" w:rsidR="00133E4D" w:rsidRDefault="00133E4D">
          <w:pPr>
            <w:pStyle w:val="TOC2"/>
            <w:tabs>
              <w:tab w:val="right" w:leader="dot" w:pos="9112"/>
            </w:tabs>
            <w:rPr>
              <w:noProof/>
              <w:kern w:val="2"/>
              <w:sz w:val="24"/>
              <w:szCs w:val="24"/>
              <w:lang w:val="ro-RO" w:eastAsia="ro-RO"/>
              <w14:ligatures w14:val="standardContextual"/>
            </w:rPr>
          </w:pPr>
          <w:hyperlink w:anchor="_Toc234790846" w:history="1">
            <w:r w:rsidRPr="00466544">
              <w:rPr>
                <w:rStyle w:val="Hyperlink"/>
                <w:rFonts w:ascii="Arial" w:hAnsi="Arial" w:cs="Arial"/>
                <w:noProof/>
              </w:rPr>
              <w:t>Table A6. Implementation Plan</w:t>
            </w:r>
            <w:r>
              <w:rPr>
                <w:noProof/>
                <w:webHidden/>
              </w:rPr>
              <w:tab/>
            </w:r>
            <w:r>
              <w:rPr>
                <w:noProof/>
                <w:webHidden/>
              </w:rPr>
              <w:fldChar w:fldCharType="begin"/>
            </w:r>
            <w:r>
              <w:rPr>
                <w:noProof/>
                <w:webHidden/>
              </w:rPr>
              <w:instrText xml:space="preserve"> PAGEREF _Toc234790846 \h </w:instrText>
            </w:r>
            <w:r>
              <w:rPr>
                <w:noProof/>
                <w:webHidden/>
              </w:rPr>
            </w:r>
            <w:r>
              <w:rPr>
                <w:noProof/>
                <w:webHidden/>
              </w:rPr>
              <w:fldChar w:fldCharType="separate"/>
            </w:r>
            <w:r>
              <w:rPr>
                <w:noProof/>
                <w:webHidden/>
              </w:rPr>
              <w:t>25</w:t>
            </w:r>
            <w:r>
              <w:rPr>
                <w:noProof/>
                <w:webHidden/>
              </w:rPr>
              <w:fldChar w:fldCharType="end"/>
            </w:r>
          </w:hyperlink>
        </w:p>
        <w:p w14:paraId="07F9505A" w14:textId="6BFB8D11" w:rsidR="00F114E7" w:rsidRPr="00133E4D" w:rsidRDefault="00F114E7" w:rsidP="00133E4D">
          <w:pPr>
            <w:spacing w:line="360" w:lineRule="auto"/>
            <w:rPr>
              <w:rFonts w:ascii="Arial" w:hAnsi="Arial" w:cs="Arial"/>
            </w:rPr>
          </w:pPr>
          <w:r w:rsidRPr="00133E4D">
            <w:rPr>
              <w:rFonts w:ascii="Arial" w:hAnsi="Arial" w:cs="Arial"/>
              <w:b/>
              <w:bCs/>
              <w:noProof/>
            </w:rPr>
            <w:fldChar w:fldCharType="end"/>
          </w:r>
        </w:p>
      </w:sdtContent>
    </w:sdt>
    <w:p w14:paraId="3F080C1F" w14:textId="024ECC93" w:rsidR="00F114E7" w:rsidRPr="00133E4D" w:rsidRDefault="00F114E7" w:rsidP="00133E4D">
      <w:pPr>
        <w:spacing w:after="120" w:line="360" w:lineRule="auto"/>
        <w:rPr>
          <w:rFonts w:ascii="Arial" w:hAnsi="Arial" w:cs="Arial"/>
        </w:rPr>
      </w:pPr>
    </w:p>
    <w:p w14:paraId="240AC4E6" w14:textId="39E9A32C" w:rsidR="00F114E7" w:rsidRPr="00133E4D" w:rsidRDefault="00F114E7" w:rsidP="00133E4D">
      <w:pPr>
        <w:spacing w:line="360" w:lineRule="auto"/>
        <w:rPr>
          <w:rFonts w:ascii="Arial" w:hAnsi="Arial" w:cs="Arial"/>
        </w:rPr>
      </w:pPr>
      <w:r w:rsidRPr="00133E4D">
        <w:rPr>
          <w:rFonts w:ascii="Arial" w:hAnsi="Arial" w:cs="Arial"/>
        </w:rPr>
        <w:br w:type="page"/>
      </w:r>
    </w:p>
    <w:p w14:paraId="16F401F5" w14:textId="39E9A32C" w:rsidR="00E14366" w:rsidRPr="00133E4D" w:rsidRDefault="00000000" w:rsidP="00133E4D">
      <w:pPr>
        <w:pStyle w:val="Heading2"/>
        <w:spacing w:line="360" w:lineRule="auto"/>
        <w:rPr>
          <w:rFonts w:ascii="Arial" w:hAnsi="Arial" w:cs="Arial"/>
          <w:sz w:val="22"/>
          <w:szCs w:val="22"/>
        </w:rPr>
      </w:pPr>
      <w:bookmarkStart w:id="0" w:name="_Toc234790808"/>
      <w:r w:rsidRPr="00133E4D">
        <w:rPr>
          <w:rFonts w:ascii="Arial" w:hAnsi="Arial" w:cs="Arial"/>
          <w:sz w:val="22"/>
          <w:szCs w:val="22"/>
        </w:rPr>
        <w:lastRenderedPageBreak/>
        <w:t>Introduction</w:t>
      </w:r>
      <w:bookmarkEnd w:id="0"/>
    </w:p>
    <w:p w14:paraId="29FBE1EE"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UK telecommunications industry is undergoing rapid technological, regulatory and competitive transformation, with network consolidation, AI and digital infrastructure reshaping competitive advantage across the sector (Ofcom, 2024). On 31 May 2025, Vodafone UK merged with Three UK to form </w:t>
      </w:r>
      <w:proofErr w:type="spellStart"/>
      <w:r w:rsidRPr="00133E4D">
        <w:rPr>
          <w:rFonts w:ascii="Arial" w:hAnsi="Arial" w:cs="Arial"/>
        </w:rPr>
        <w:t>VodafoneThree</w:t>
      </w:r>
      <w:proofErr w:type="spellEnd"/>
      <w:r w:rsidRPr="00133E4D">
        <w:rPr>
          <w:rFonts w:ascii="Arial" w:hAnsi="Arial" w:cs="Arial"/>
        </w:rPr>
        <w:t xml:space="preserve"> — the UK's largest mobile network operator — following CMA approval in December 2024, subject to an eight-year, £11 billion network investment commitment and price protections until approximately 2028 (Competition and Markets Authority, 2024; Vodafone Group Plc, 2025). The merger consolidated approximately 27 million subscribers and reduced the UK market from four to three principal network operators. In May 2026, Vodafone agreed to acquire CK Hutchison's 49% stake for £4.3 billion, moving toward full ownership in H2 2026 subject to NSI Act approval (Reuters, 2026).</w:t>
      </w:r>
    </w:p>
    <w:p w14:paraId="79A6FED9" w14:textId="314B8993" w:rsidR="00E14366" w:rsidRPr="00133E4D" w:rsidRDefault="00000000" w:rsidP="00133E4D">
      <w:pPr>
        <w:spacing w:after="120" w:line="360" w:lineRule="auto"/>
        <w:rPr>
          <w:rFonts w:ascii="Arial" w:hAnsi="Arial" w:cs="Arial"/>
        </w:rPr>
      </w:pPr>
      <w:r w:rsidRPr="00133E4D">
        <w:rPr>
          <w:rFonts w:ascii="Arial" w:hAnsi="Arial" w:cs="Arial"/>
        </w:rPr>
        <w:t xml:space="preserve">This report critically evaluates </w:t>
      </w:r>
      <w:proofErr w:type="spellStart"/>
      <w:r w:rsidRPr="00133E4D">
        <w:rPr>
          <w:rFonts w:ascii="Arial" w:hAnsi="Arial" w:cs="Arial"/>
        </w:rPr>
        <w:t>VodafoneThree's</w:t>
      </w:r>
      <w:proofErr w:type="spellEnd"/>
      <w:r w:rsidRPr="00133E4D">
        <w:rPr>
          <w:rFonts w:ascii="Arial" w:hAnsi="Arial" w:cs="Arial"/>
        </w:rPr>
        <w:t xml:space="preserve"> post-merger strategic position using PESTEL, Porter's Five Forces, VRIO, SWOT and TOWS frameworks, followed by SFA-assessed strategic options, stakeholder analysis, </w:t>
      </w:r>
      <w:proofErr w:type="gramStart"/>
      <w:r w:rsidRPr="00133E4D">
        <w:rPr>
          <w:rFonts w:ascii="Arial" w:hAnsi="Arial" w:cs="Arial"/>
        </w:rPr>
        <w:t>an implementation</w:t>
      </w:r>
      <w:proofErr w:type="gramEnd"/>
      <w:r w:rsidRPr="00133E4D">
        <w:rPr>
          <w:rFonts w:ascii="Arial" w:hAnsi="Arial" w:cs="Arial"/>
        </w:rPr>
        <w:t xml:space="preserve"> roadmap and a forward-looking critical examination of the business environment. All supporting analytical tools are provided in the Appendix.</w:t>
      </w:r>
    </w:p>
    <w:p w14:paraId="168BD095" w14:textId="77777777" w:rsidR="00E14366" w:rsidRPr="00133E4D" w:rsidRDefault="00000000" w:rsidP="00133E4D">
      <w:pPr>
        <w:pStyle w:val="Heading2"/>
        <w:spacing w:line="360" w:lineRule="auto"/>
        <w:rPr>
          <w:rFonts w:ascii="Arial" w:hAnsi="Arial" w:cs="Arial"/>
          <w:sz w:val="22"/>
          <w:szCs w:val="22"/>
        </w:rPr>
      </w:pPr>
      <w:bookmarkStart w:id="1" w:name="_Toc234790809"/>
      <w:r w:rsidRPr="00133E4D">
        <w:rPr>
          <w:rFonts w:ascii="Arial" w:hAnsi="Arial" w:cs="Arial"/>
          <w:sz w:val="22"/>
          <w:szCs w:val="22"/>
        </w:rPr>
        <w:t>1. Evaluation of the Current Market Situation</w:t>
      </w:r>
      <w:bookmarkEnd w:id="1"/>
    </w:p>
    <w:p w14:paraId="0CCDA073" w14:textId="77777777" w:rsidR="00E14366" w:rsidRPr="00133E4D" w:rsidRDefault="00000000" w:rsidP="00133E4D">
      <w:pPr>
        <w:pStyle w:val="Heading2"/>
        <w:spacing w:line="360" w:lineRule="auto"/>
        <w:rPr>
          <w:rFonts w:ascii="Arial" w:hAnsi="Arial" w:cs="Arial"/>
          <w:sz w:val="22"/>
          <w:szCs w:val="22"/>
        </w:rPr>
      </w:pPr>
      <w:bookmarkStart w:id="2" w:name="_Toc234790810"/>
      <w:r w:rsidRPr="00133E4D">
        <w:rPr>
          <w:rFonts w:ascii="Arial" w:hAnsi="Arial" w:cs="Arial"/>
          <w:sz w:val="22"/>
          <w:szCs w:val="22"/>
        </w:rPr>
        <w:t>1.1 PESTEL Analysis</w:t>
      </w:r>
      <w:bookmarkEnd w:id="2"/>
    </w:p>
    <w:p w14:paraId="479117B8" w14:textId="77777777" w:rsidR="00E14366" w:rsidRPr="00133E4D" w:rsidRDefault="00000000" w:rsidP="00133E4D">
      <w:pPr>
        <w:spacing w:after="120" w:line="360" w:lineRule="auto"/>
        <w:rPr>
          <w:rFonts w:ascii="Arial" w:hAnsi="Arial" w:cs="Arial"/>
        </w:rPr>
      </w:pPr>
      <w:proofErr w:type="spellStart"/>
      <w:r w:rsidRPr="00133E4D">
        <w:rPr>
          <w:rFonts w:ascii="Arial" w:hAnsi="Arial" w:cs="Arial"/>
        </w:rPr>
        <w:t>VodafoneThree</w:t>
      </w:r>
      <w:proofErr w:type="spellEnd"/>
      <w:r w:rsidRPr="00133E4D">
        <w:rPr>
          <w:rFonts w:ascii="Arial" w:hAnsi="Arial" w:cs="Arial"/>
        </w:rPr>
        <w:t xml:space="preserve"> operates in a rapidly evolving UK telecommunications market shaped by six macro-environmental forces (see Appendix A — Figure A1).</w:t>
      </w:r>
    </w:p>
    <w:p w14:paraId="2447D3AC"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Politically, CMA approval in December 2024 imposed an eight-year investment commitment and retail tariff protections, creating significant ongoing regulatory obligations (Competition and Markets Authority, 2024). Economically, cost-of-living pressures have heightened consumer price sensitivity, while the merger is expected to generate approximately £700 million in annual synergies by FY2030 (Reuters, 2026). Socially, rising connectivity demand — including from an ageing </w:t>
      </w:r>
      <w:proofErr w:type="gramStart"/>
      <w:r w:rsidRPr="00133E4D">
        <w:rPr>
          <w:rFonts w:ascii="Arial" w:hAnsi="Arial" w:cs="Arial"/>
        </w:rPr>
        <w:t>population</w:t>
      </w:r>
      <w:proofErr w:type="gramEnd"/>
      <w:r w:rsidRPr="00133E4D">
        <w:rPr>
          <w:rFonts w:ascii="Arial" w:hAnsi="Arial" w:cs="Arial"/>
        </w:rPr>
        <w:t xml:space="preserve"> increasingly reliant on digital services — presents both obligation and opportunity (Ofcom, 2024; Vodafone Foundation, 2026). Technologically, </w:t>
      </w:r>
      <w:proofErr w:type="spellStart"/>
      <w:r w:rsidRPr="00133E4D">
        <w:rPr>
          <w:rFonts w:ascii="Arial" w:hAnsi="Arial" w:cs="Arial"/>
        </w:rPr>
        <w:t>VodafoneThree's</w:t>
      </w:r>
      <w:proofErr w:type="spellEnd"/>
      <w:r w:rsidRPr="00133E4D">
        <w:rPr>
          <w:rFonts w:ascii="Arial" w:hAnsi="Arial" w:cs="Arial"/>
        </w:rPr>
        <w:t xml:space="preserve"> £11 billion 5G </w:t>
      </w:r>
      <w:proofErr w:type="spellStart"/>
      <w:r w:rsidRPr="00133E4D">
        <w:rPr>
          <w:rFonts w:ascii="Arial" w:hAnsi="Arial" w:cs="Arial"/>
        </w:rPr>
        <w:t>programme</w:t>
      </w:r>
      <w:proofErr w:type="spellEnd"/>
      <w:r w:rsidRPr="00133E4D">
        <w:rPr>
          <w:rFonts w:ascii="Arial" w:hAnsi="Arial" w:cs="Arial"/>
        </w:rPr>
        <w:t xml:space="preserve"> targets 99.95% standalone coverage by 2034, with AI transforming both network operations and customer service (Vodafone UK, 2025). Environmentally, expanded network infrastructure creates energy consumption pressure; legally, compliance with CMA undertakings, Ofcom regulation, GDPR and the NSI Act constitutes an intensive ongoing obligation (Competition and Markets Authority, 2024). The </w:t>
      </w:r>
      <w:r w:rsidRPr="00133E4D">
        <w:rPr>
          <w:rFonts w:ascii="Arial" w:hAnsi="Arial" w:cs="Arial"/>
        </w:rPr>
        <w:lastRenderedPageBreak/>
        <w:t>PESTEL framework should be reviewed continuously rather than treated as a definitive snapshot, given the pace of regulatory and technological change (Johnson, Scholes and Whittington, 2023).</w:t>
      </w:r>
    </w:p>
    <w:p w14:paraId="7290418D" w14:textId="77777777" w:rsidR="00E14366" w:rsidRPr="00133E4D" w:rsidRDefault="00000000" w:rsidP="00133E4D">
      <w:pPr>
        <w:pStyle w:val="Heading2"/>
        <w:spacing w:line="360" w:lineRule="auto"/>
        <w:rPr>
          <w:rFonts w:ascii="Arial" w:hAnsi="Arial" w:cs="Arial"/>
          <w:sz w:val="22"/>
          <w:szCs w:val="22"/>
        </w:rPr>
      </w:pPr>
      <w:bookmarkStart w:id="3" w:name="_Toc234790811"/>
      <w:r w:rsidRPr="00133E4D">
        <w:rPr>
          <w:rFonts w:ascii="Arial" w:hAnsi="Arial" w:cs="Arial"/>
          <w:sz w:val="22"/>
          <w:szCs w:val="22"/>
        </w:rPr>
        <w:t>1.2 Porter's Five Forces Analysis</w:t>
      </w:r>
      <w:bookmarkEnd w:id="3"/>
    </w:p>
    <w:p w14:paraId="232FB6C9"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Porter's (1980) Five Forces framework reveals a moderately attractive but intensely competitive industry following the merger (see Appendix A — Figure A2). Competitive rivalry is the most significant force: </w:t>
      </w:r>
      <w:proofErr w:type="spellStart"/>
      <w:r w:rsidRPr="00133E4D">
        <w:rPr>
          <w:rFonts w:ascii="Arial" w:hAnsi="Arial" w:cs="Arial"/>
        </w:rPr>
        <w:t>VodafoneThree</w:t>
      </w:r>
      <w:proofErr w:type="spellEnd"/>
      <w:r w:rsidRPr="00133E4D">
        <w:rPr>
          <w:rFonts w:ascii="Arial" w:hAnsi="Arial" w:cs="Arial"/>
        </w:rPr>
        <w:t>, BT's EE and Virgin Media O2 compete closely on network quality and pricing, confirmed by independent RootMetrics (2025) testing. Early integration already yielded a 20–40% increase in 4G speeds for seven million former Three customers and eliminated 16,500 km² of coverage not-spots (</w:t>
      </w:r>
      <w:proofErr w:type="spellStart"/>
      <w:r w:rsidRPr="00133E4D">
        <w:rPr>
          <w:rFonts w:ascii="Arial" w:hAnsi="Arial" w:cs="Arial"/>
        </w:rPr>
        <w:t>VodafoneThree</w:t>
      </w:r>
      <w:proofErr w:type="spellEnd"/>
      <w:r w:rsidRPr="00133E4D">
        <w:rPr>
          <w:rFonts w:ascii="Arial" w:hAnsi="Arial" w:cs="Arial"/>
        </w:rPr>
        <w:t xml:space="preserve">, 2025). The threat of new full-network entrants is low due to spectrum licensing and infrastructure costs, though MVNOs such as Sky Mobile and Tesco Mobile intensify price competition (Ofcom, 2024). Buyer power is high given easy switching and CMA price cap obligations; supplier power is moderate given reliance on Ericsson and Nokia; the threat of substitutes is moderate as OTT messaging services erode traditional revenues (Ofcom, 2024). Porter's (1980) model assumes stable industry structures, whereas UK telecommunications markets evolve rapidly — a limitation managers should </w:t>
      </w:r>
      <w:proofErr w:type="spellStart"/>
      <w:r w:rsidRPr="00133E4D">
        <w:rPr>
          <w:rFonts w:ascii="Arial" w:hAnsi="Arial" w:cs="Arial"/>
        </w:rPr>
        <w:t>recognise</w:t>
      </w:r>
      <w:proofErr w:type="spellEnd"/>
      <w:r w:rsidRPr="00133E4D">
        <w:rPr>
          <w:rFonts w:ascii="Arial" w:hAnsi="Arial" w:cs="Arial"/>
        </w:rPr>
        <w:t xml:space="preserve"> when interpreting the current competitive configuration.</w:t>
      </w:r>
    </w:p>
    <w:p w14:paraId="7883FA88" w14:textId="77777777" w:rsidR="00E14366" w:rsidRPr="00133E4D" w:rsidRDefault="00000000" w:rsidP="00133E4D">
      <w:pPr>
        <w:pStyle w:val="Heading2"/>
        <w:spacing w:line="360" w:lineRule="auto"/>
        <w:rPr>
          <w:rFonts w:ascii="Arial" w:hAnsi="Arial" w:cs="Arial"/>
          <w:sz w:val="22"/>
          <w:szCs w:val="22"/>
        </w:rPr>
      </w:pPr>
      <w:bookmarkStart w:id="4" w:name="_Toc234790812"/>
      <w:r w:rsidRPr="00133E4D">
        <w:rPr>
          <w:rFonts w:ascii="Arial" w:hAnsi="Arial" w:cs="Arial"/>
          <w:sz w:val="22"/>
          <w:szCs w:val="22"/>
        </w:rPr>
        <w:t>1.3 Internal Analysis (VRIO and SWOT)</w:t>
      </w:r>
      <w:bookmarkEnd w:id="4"/>
    </w:p>
    <w:p w14:paraId="7A2F387A"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VRIO analysis (Barney, 1991) and SWOT analysis together assess </w:t>
      </w:r>
      <w:proofErr w:type="spellStart"/>
      <w:r w:rsidRPr="00133E4D">
        <w:rPr>
          <w:rFonts w:ascii="Arial" w:hAnsi="Arial" w:cs="Arial"/>
        </w:rPr>
        <w:t>VodafoneThree's</w:t>
      </w:r>
      <w:proofErr w:type="spellEnd"/>
      <w:r w:rsidRPr="00133E4D">
        <w:rPr>
          <w:rFonts w:ascii="Arial" w:hAnsi="Arial" w:cs="Arial"/>
        </w:rPr>
        <w:t xml:space="preserve"> internal capabilities (see Appendix A — Table A1). </w:t>
      </w:r>
      <w:proofErr w:type="spellStart"/>
      <w:r w:rsidRPr="00133E4D">
        <w:rPr>
          <w:rFonts w:ascii="Arial" w:hAnsi="Arial" w:cs="Arial"/>
        </w:rPr>
        <w:t>VodafoneThree's</w:t>
      </w:r>
      <w:proofErr w:type="spellEnd"/>
      <w:r w:rsidRPr="00133E4D">
        <w:rPr>
          <w:rFonts w:ascii="Arial" w:hAnsi="Arial" w:cs="Arial"/>
        </w:rPr>
        <w:t xml:space="preserve"> combined spectrum holdings and £11 billion investment </w:t>
      </w:r>
      <w:proofErr w:type="spellStart"/>
      <w:r w:rsidRPr="00133E4D">
        <w:rPr>
          <w:rFonts w:ascii="Arial" w:hAnsi="Arial" w:cs="Arial"/>
        </w:rPr>
        <w:t>programme</w:t>
      </w:r>
      <w:proofErr w:type="spellEnd"/>
      <w:r w:rsidRPr="00133E4D">
        <w:rPr>
          <w:rFonts w:ascii="Arial" w:hAnsi="Arial" w:cs="Arial"/>
        </w:rPr>
        <w:t xml:space="preserve"> satisfy all four VRIO criteria — Valuable, Rare, Inimitable and </w:t>
      </w:r>
      <w:proofErr w:type="spellStart"/>
      <w:r w:rsidRPr="00133E4D">
        <w:rPr>
          <w:rFonts w:ascii="Arial" w:hAnsi="Arial" w:cs="Arial"/>
        </w:rPr>
        <w:t>Organised</w:t>
      </w:r>
      <w:proofErr w:type="spellEnd"/>
      <w:r w:rsidRPr="00133E4D">
        <w:rPr>
          <w:rFonts w:ascii="Arial" w:hAnsi="Arial" w:cs="Arial"/>
        </w:rPr>
        <w:t xml:space="preserve"> — constituting sustainable competitive advantage. The Vodafone brand and digital expertise (AI, IoT, cloud) offer temporary competitive </w:t>
      </w:r>
      <w:proofErr w:type="gramStart"/>
      <w:r w:rsidRPr="00133E4D">
        <w:rPr>
          <w:rFonts w:ascii="Arial" w:hAnsi="Arial" w:cs="Arial"/>
        </w:rPr>
        <w:t>advantage</w:t>
      </w:r>
      <w:proofErr w:type="gramEnd"/>
      <w:r w:rsidRPr="00133E4D">
        <w:rPr>
          <w:rFonts w:ascii="Arial" w:hAnsi="Arial" w:cs="Arial"/>
        </w:rPr>
        <w:t xml:space="preserve"> as they are partially imitable by well-resourced rivals, while the 27-million customer base provides competitive parity rather than advantage (Barney, 1991; Vodafone Group Plc, 2025).</w:t>
      </w:r>
    </w:p>
    <w:p w14:paraId="009690F1"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Key SWOT strengths include the largest UK mobile customer base, the £11 billion investment </w:t>
      </w:r>
      <w:proofErr w:type="spellStart"/>
      <w:r w:rsidRPr="00133E4D">
        <w:rPr>
          <w:rFonts w:ascii="Arial" w:hAnsi="Arial" w:cs="Arial"/>
        </w:rPr>
        <w:t>programme</w:t>
      </w:r>
      <w:proofErr w:type="spellEnd"/>
      <w:r w:rsidRPr="00133E4D">
        <w:rPr>
          <w:rFonts w:ascii="Arial" w:hAnsi="Arial" w:cs="Arial"/>
        </w:rPr>
        <w:t xml:space="preserve"> and economies of scale. Principal weaknesses </w:t>
      </w:r>
      <w:proofErr w:type="spellStart"/>
      <w:r w:rsidRPr="00133E4D">
        <w:rPr>
          <w:rFonts w:ascii="Arial" w:hAnsi="Arial" w:cs="Arial"/>
        </w:rPr>
        <w:t>centre</w:t>
      </w:r>
      <w:proofErr w:type="spellEnd"/>
      <w:r w:rsidRPr="00133E4D">
        <w:rPr>
          <w:rFonts w:ascii="Arial" w:hAnsi="Arial" w:cs="Arial"/>
        </w:rPr>
        <w:t xml:space="preserve"> on integration complexity and high capital expenditure. Opportunities include growing demand for AI, IoT and enterprise cloud services, while principal threats include intense competition from EE and Virgin Media O2, cybersecurity risks and MVNO price competition (Competition and Markets Authority, 2024; Ofcom, 2024).</w:t>
      </w:r>
    </w:p>
    <w:p w14:paraId="2B432154" w14:textId="77777777" w:rsidR="00E14366" w:rsidRPr="00133E4D" w:rsidRDefault="00000000" w:rsidP="00133E4D">
      <w:pPr>
        <w:pStyle w:val="Heading2"/>
        <w:spacing w:line="360" w:lineRule="auto"/>
        <w:rPr>
          <w:rFonts w:ascii="Arial" w:hAnsi="Arial" w:cs="Arial"/>
          <w:sz w:val="22"/>
          <w:szCs w:val="22"/>
        </w:rPr>
      </w:pPr>
      <w:bookmarkStart w:id="5" w:name="_Toc234790813"/>
      <w:r w:rsidRPr="00133E4D">
        <w:rPr>
          <w:rStyle w:val="Heading2Char"/>
          <w:rFonts w:ascii="Arial" w:hAnsi="Arial" w:cs="Arial"/>
          <w:b/>
          <w:bCs/>
          <w:sz w:val="22"/>
          <w:szCs w:val="22"/>
        </w:rPr>
        <w:lastRenderedPageBreak/>
        <w:t xml:space="preserve">1.4 TOWS Strategic </w:t>
      </w:r>
      <w:r w:rsidRPr="00133E4D">
        <w:rPr>
          <w:rFonts w:ascii="Arial" w:hAnsi="Arial" w:cs="Arial"/>
          <w:sz w:val="22"/>
          <w:szCs w:val="22"/>
        </w:rPr>
        <w:t>Implications</w:t>
      </w:r>
      <w:bookmarkEnd w:id="5"/>
    </w:p>
    <w:p w14:paraId="49625AB3"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TOWS analysis translates SWOT findings into directional strategic actions (see Appendix A — Table A2). Strength–Opportunity strategies leverage </w:t>
      </w:r>
      <w:proofErr w:type="spellStart"/>
      <w:r w:rsidRPr="00133E4D">
        <w:rPr>
          <w:rFonts w:ascii="Arial" w:hAnsi="Arial" w:cs="Arial"/>
        </w:rPr>
        <w:t>VodafoneThree's</w:t>
      </w:r>
      <w:proofErr w:type="spellEnd"/>
      <w:r w:rsidRPr="00133E4D">
        <w:rPr>
          <w:rFonts w:ascii="Arial" w:hAnsi="Arial" w:cs="Arial"/>
        </w:rPr>
        <w:t xml:space="preserve"> spectrum and financial scale to accelerate 5G and AI-enabled enterprise services. Weakness–Opportunity strategies </w:t>
      </w:r>
      <w:proofErr w:type="spellStart"/>
      <w:r w:rsidRPr="00133E4D">
        <w:rPr>
          <w:rFonts w:ascii="Arial" w:hAnsi="Arial" w:cs="Arial"/>
        </w:rPr>
        <w:t>prioritise</w:t>
      </w:r>
      <w:proofErr w:type="spellEnd"/>
      <w:r w:rsidRPr="00133E4D">
        <w:rPr>
          <w:rFonts w:ascii="Arial" w:hAnsi="Arial" w:cs="Arial"/>
        </w:rPr>
        <w:t xml:space="preserve"> post-merger integration and workforce development. Strength–Threat strategies defend market share through network quality and cybersecurity investment, while Weakness–Threat strategies address integration risk through phased implementation and regulatory compliance monitoring (Competition and Markets Authority, 2024). These implications directly inform the three growth options in Section 2.</w:t>
      </w:r>
    </w:p>
    <w:p w14:paraId="3BF9D5BC" w14:textId="77777777" w:rsidR="00E14366" w:rsidRPr="00133E4D" w:rsidRDefault="00000000" w:rsidP="00133E4D">
      <w:pPr>
        <w:pStyle w:val="Heading2"/>
        <w:spacing w:line="360" w:lineRule="auto"/>
        <w:rPr>
          <w:rFonts w:ascii="Arial" w:hAnsi="Arial" w:cs="Arial"/>
          <w:sz w:val="22"/>
          <w:szCs w:val="22"/>
        </w:rPr>
      </w:pPr>
      <w:bookmarkStart w:id="6" w:name="_Toc234790814"/>
      <w:r w:rsidRPr="00133E4D">
        <w:rPr>
          <w:rFonts w:ascii="Arial" w:hAnsi="Arial" w:cs="Arial"/>
          <w:sz w:val="22"/>
          <w:szCs w:val="22"/>
        </w:rPr>
        <w:t>2. Strategic Growth Options and Proposed Strategy</w:t>
      </w:r>
      <w:bookmarkEnd w:id="6"/>
    </w:p>
    <w:p w14:paraId="7A89620A"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Building on the preceding analyses, three strategic growth options are evaluated using Ansoff's (1957) growth matrix and Porter's (1985) generic strategies (see Appendix A — Table A3). </w:t>
      </w:r>
      <w:proofErr w:type="spellStart"/>
      <w:r w:rsidRPr="00133E4D">
        <w:rPr>
          <w:rFonts w:ascii="Arial" w:hAnsi="Arial" w:cs="Arial"/>
        </w:rPr>
        <w:t>VodafoneThree's</w:t>
      </w:r>
      <w:proofErr w:type="spellEnd"/>
      <w:r w:rsidRPr="00133E4D">
        <w:rPr>
          <w:rFonts w:ascii="Arial" w:hAnsi="Arial" w:cs="Arial"/>
        </w:rPr>
        <w:t xml:space="preserve"> principal strategic challenge is balancing regulatory obligations with technological differentiation while maintaining stakeholder confidence.</w:t>
      </w:r>
    </w:p>
    <w:p w14:paraId="0383042F" w14:textId="77777777" w:rsidR="00E14366" w:rsidRPr="00133E4D" w:rsidRDefault="00000000" w:rsidP="00133E4D">
      <w:pPr>
        <w:pStyle w:val="Heading2"/>
        <w:spacing w:line="360" w:lineRule="auto"/>
        <w:rPr>
          <w:rFonts w:ascii="Arial" w:hAnsi="Arial" w:cs="Arial"/>
          <w:sz w:val="22"/>
          <w:szCs w:val="22"/>
        </w:rPr>
      </w:pPr>
      <w:bookmarkStart w:id="7" w:name="_Toc234790815"/>
      <w:r w:rsidRPr="00133E4D">
        <w:rPr>
          <w:rFonts w:ascii="Arial" w:hAnsi="Arial" w:cs="Arial"/>
          <w:sz w:val="22"/>
          <w:szCs w:val="22"/>
        </w:rPr>
        <w:t>2.1 Strategic Option 1: Technology-led Service Differentiation (Recommended)</w:t>
      </w:r>
      <w:bookmarkEnd w:id="7"/>
    </w:p>
    <w:p w14:paraId="54443DF0"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Technology-led differentiation would position </w:t>
      </w:r>
      <w:proofErr w:type="spellStart"/>
      <w:r w:rsidRPr="00133E4D">
        <w:rPr>
          <w:rFonts w:ascii="Arial" w:hAnsi="Arial" w:cs="Arial"/>
        </w:rPr>
        <w:t>VodafoneThree</w:t>
      </w:r>
      <w:proofErr w:type="spellEnd"/>
      <w:r w:rsidRPr="00133E4D">
        <w:rPr>
          <w:rFonts w:ascii="Arial" w:hAnsi="Arial" w:cs="Arial"/>
        </w:rPr>
        <w:t xml:space="preserve"> as the UK's most advanced mobile and digital services operator by accelerating standalone 5G rollout, deploying AI across network operations and customer service, and developing IoT and enterprise connectivity solutions — representing a product development strategy under Ansoff's (1957) matrix and Porter's (1985) differentiation approach. The £11 billion CMA-mandated investment </w:t>
      </w:r>
      <w:proofErr w:type="spellStart"/>
      <w:r w:rsidRPr="00133E4D">
        <w:rPr>
          <w:rFonts w:ascii="Arial" w:hAnsi="Arial" w:cs="Arial"/>
        </w:rPr>
        <w:t>programme</w:t>
      </w:r>
      <w:proofErr w:type="spellEnd"/>
      <w:r w:rsidRPr="00133E4D">
        <w:rPr>
          <w:rFonts w:ascii="Arial" w:hAnsi="Arial" w:cs="Arial"/>
        </w:rPr>
        <w:t xml:space="preserve"> and Vodafone's AI infrastructure — including the </w:t>
      </w:r>
      <w:proofErr w:type="spellStart"/>
      <w:r w:rsidRPr="00133E4D">
        <w:rPr>
          <w:rFonts w:ascii="Arial" w:hAnsi="Arial" w:cs="Arial"/>
        </w:rPr>
        <w:t>TOBi</w:t>
      </w:r>
      <w:proofErr w:type="spellEnd"/>
      <w:r w:rsidRPr="00133E4D">
        <w:rPr>
          <w:rFonts w:ascii="Arial" w:hAnsi="Arial" w:cs="Arial"/>
        </w:rPr>
        <w:t xml:space="preserve"> and </w:t>
      </w:r>
      <w:proofErr w:type="spellStart"/>
      <w:r w:rsidRPr="00133E4D">
        <w:rPr>
          <w:rFonts w:ascii="Arial" w:hAnsi="Arial" w:cs="Arial"/>
        </w:rPr>
        <w:t>SuperTOBi</w:t>
      </w:r>
      <w:proofErr w:type="spellEnd"/>
      <w:r w:rsidRPr="00133E4D">
        <w:rPr>
          <w:rFonts w:ascii="Arial" w:hAnsi="Arial" w:cs="Arial"/>
        </w:rPr>
        <w:t xml:space="preserve"> agents and partnerships with Ericsson, Google Cloud and IBM — provide a credible foundation (Vodafone, 2026; Vodafone UK, 2025). The principal risk is that sustained capital investment is required; EE and Virgin Media O2 may imitate selected digital services, requiring continuous innovation to maintain differentiation (RootMetrics, 2025).</w:t>
      </w:r>
    </w:p>
    <w:p w14:paraId="5909093C" w14:textId="77777777" w:rsidR="00E14366" w:rsidRPr="00133E4D" w:rsidRDefault="00000000" w:rsidP="00133E4D">
      <w:pPr>
        <w:pStyle w:val="Heading2"/>
        <w:spacing w:line="360" w:lineRule="auto"/>
        <w:rPr>
          <w:rFonts w:ascii="Arial" w:hAnsi="Arial" w:cs="Arial"/>
          <w:sz w:val="22"/>
          <w:szCs w:val="22"/>
        </w:rPr>
      </w:pPr>
      <w:bookmarkStart w:id="8" w:name="_Toc234790816"/>
      <w:r w:rsidRPr="00133E4D">
        <w:rPr>
          <w:rFonts w:ascii="Arial" w:hAnsi="Arial" w:cs="Arial"/>
          <w:sz w:val="22"/>
          <w:szCs w:val="22"/>
        </w:rPr>
        <w:t>2.2 Strategic Option 2: Market Development</w:t>
      </w:r>
      <w:bookmarkEnd w:id="8"/>
    </w:p>
    <w:p w14:paraId="4AB435F6" w14:textId="77777777" w:rsidR="00E14366" w:rsidRPr="00133E4D" w:rsidRDefault="00000000" w:rsidP="00133E4D">
      <w:pPr>
        <w:spacing w:after="120" w:line="360" w:lineRule="auto"/>
        <w:rPr>
          <w:rFonts w:ascii="Arial" w:hAnsi="Arial" w:cs="Arial"/>
        </w:rPr>
      </w:pPr>
      <w:r w:rsidRPr="00133E4D">
        <w:rPr>
          <w:rFonts w:ascii="Arial" w:hAnsi="Arial" w:cs="Arial"/>
        </w:rPr>
        <w:t>Market development would extend mobile and broadband services into underserved regional and rural areas, consistent with Ansoff's (1957) market development quadrant, addressing Ofcom digital inclusion priorities (Ofcom, 2024). However, this option delivers slower and geographically constrained financial returns compared with technology-led differentiation, making it less strategically compelling as a primary direction.</w:t>
      </w:r>
    </w:p>
    <w:p w14:paraId="7E86FF2C" w14:textId="77777777" w:rsidR="00E14366" w:rsidRPr="00133E4D" w:rsidRDefault="00000000" w:rsidP="00133E4D">
      <w:pPr>
        <w:pStyle w:val="Heading2"/>
        <w:spacing w:line="360" w:lineRule="auto"/>
        <w:rPr>
          <w:rFonts w:ascii="Arial" w:hAnsi="Arial" w:cs="Arial"/>
          <w:sz w:val="22"/>
          <w:szCs w:val="22"/>
        </w:rPr>
      </w:pPr>
      <w:bookmarkStart w:id="9" w:name="_Toc234790817"/>
      <w:r w:rsidRPr="00133E4D">
        <w:rPr>
          <w:rFonts w:ascii="Arial" w:hAnsi="Arial" w:cs="Arial"/>
          <w:sz w:val="22"/>
          <w:szCs w:val="22"/>
        </w:rPr>
        <w:lastRenderedPageBreak/>
        <w:t>2.3 Strategic Option 3: Cost Leadership</w:t>
      </w:r>
      <w:bookmarkEnd w:id="9"/>
    </w:p>
    <w:p w14:paraId="1BF82EE7"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Cost leadership, aligned with market penetration under Ansoff (1957), would </w:t>
      </w:r>
      <w:proofErr w:type="spellStart"/>
      <w:r w:rsidRPr="00133E4D">
        <w:rPr>
          <w:rFonts w:ascii="Arial" w:hAnsi="Arial" w:cs="Arial"/>
        </w:rPr>
        <w:t>realise</w:t>
      </w:r>
      <w:proofErr w:type="spellEnd"/>
      <w:r w:rsidRPr="00133E4D">
        <w:rPr>
          <w:rFonts w:ascii="Arial" w:hAnsi="Arial" w:cs="Arial"/>
        </w:rPr>
        <w:t xml:space="preserve"> operational synergies by consolidating networks, retail estates and back-office functions. However, </w:t>
      </w:r>
      <w:proofErr w:type="gramStart"/>
      <w:r w:rsidRPr="00133E4D">
        <w:rPr>
          <w:rFonts w:ascii="Arial" w:hAnsi="Arial" w:cs="Arial"/>
        </w:rPr>
        <w:t>this risks</w:t>
      </w:r>
      <w:proofErr w:type="gramEnd"/>
      <w:r w:rsidRPr="00133E4D">
        <w:rPr>
          <w:rFonts w:ascii="Arial" w:hAnsi="Arial" w:cs="Arial"/>
        </w:rPr>
        <w:t xml:space="preserve"> </w:t>
      </w:r>
      <w:proofErr w:type="gramStart"/>
      <w:r w:rsidRPr="00133E4D">
        <w:rPr>
          <w:rFonts w:ascii="Arial" w:hAnsi="Arial" w:cs="Arial"/>
        </w:rPr>
        <w:t>eroding</w:t>
      </w:r>
      <w:proofErr w:type="gramEnd"/>
      <w:r w:rsidRPr="00133E4D">
        <w:rPr>
          <w:rFonts w:ascii="Arial" w:hAnsi="Arial" w:cs="Arial"/>
        </w:rPr>
        <w:t xml:space="preserve"> the premium network reputation the merger was intended to establish, and the £700 million annual synergy target is not expected to </w:t>
      </w:r>
      <w:proofErr w:type="spellStart"/>
      <w:r w:rsidRPr="00133E4D">
        <w:rPr>
          <w:rFonts w:ascii="Arial" w:hAnsi="Arial" w:cs="Arial"/>
        </w:rPr>
        <w:t>materialise</w:t>
      </w:r>
      <w:proofErr w:type="spellEnd"/>
      <w:r w:rsidRPr="00133E4D">
        <w:rPr>
          <w:rFonts w:ascii="Arial" w:hAnsi="Arial" w:cs="Arial"/>
        </w:rPr>
        <w:t xml:space="preserve"> fully until FY2030 (Porter, 1985; Reuters, 2026). Cost leadership is also more easily imitated by well-</w:t>
      </w:r>
      <w:proofErr w:type="spellStart"/>
      <w:r w:rsidRPr="00133E4D">
        <w:rPr>
          <w:rFonts w:ascii="Arial" w:hAnsi="Arial" w:cs="Arial"/>
        </w:rPr>
        <w:t>capitalised</w:t>
      </w:r>
      <w:proofErr w:type="spellEnd"/>
      <w:r w:rsidRPr="00133E4D">
        <w:rPr>
          <w:rFonts w:ascii="Arial" w:hAnsi="Arial" w:cs="Arial"/>
        </w:rPr>
        <w:t xml:space="preserve"> rivals, reducing </w:t>
      </w:r>
      <w:proofErr w:type="gramStart"/>
      <w:r w:rsidRPr="00133E4D">
        <w:rPr>
          <w:rFonts w:ascii="Arial" w:hAnsi="Arial" w:cs="Arial"/>
        </w:rPr>
        <w:t>its</w:t>
      </w:r>
      <w:proofErr w:type="gramEnd"/>
      <w:r w:rsidRPr="00133E4D">
        <w:rPr>
          <w:rFonts w:ascii="Arial" w:hAnsi="Arial" w:cs="Arial"/>
        </w:rPr>
        <w:t xml:space="preserve"> long-term strategic value.</w:t>
      </w:r>
    </w:p>
    <w:p w14:paraId="1C613208" w14:textId="777D9FEF" w:rsidR="00A2491A" w:rsidRPr="00133E4D" w:rsidRDefault="00A2491A" w:rsidP="00133E4D">
      <w:pPr>
        <w:pStyle w:val="Heading2"/>
        <w:spacing w:line="360" w:lineRule="auto"/>
        <w:rPr>
          <w:rFonts w:ascii="Arial" w:hAnsi="Arial" w:cs="Arial"/>
          <w:sz w:val="22"/>
          <w:szCs w:val="22"/>
        </w:rPr>
      </w:pPr>
      <w:bookmarkStart w:id="10" w:name="_Toc234790818"/>
      <w:r w:rsidRPr="00133E4D">
        <w:rPr>
          <w:rFonts w:ascii="Arial" w:hAnsi="Arial" w:cs="Arial"/>
          <w:sz w:val="22"/>
          <w:szCs w:val="22"/>
        </w:rPr>
        <w:t>2.4 Strategic Analysis and Evaluation</w:t>
      </w:r>
      <w:bookmarkEnd w:id="10"/>
    </w:p>
    <w:p w14:paraId="69D7F1B9" w14:textId="59B6D80E" w:rsidR="00A2491A" w:rsidRPr="00133E4D" w:rsidRDefault="00A2491A" w:rsidP="00133E4D">
      <w:pPr>
        <w:spacing w:after="120" w:line="360" w:lineRule="auto"/>
        <w:rPr>
          <w:rFonts w:ascii="Arial" w:hAnsi="Arial" w:cs="Arial"/>
        </w:rPr>
      </w:pPr>
      <w:r w:rsidRPr="00133E4D">
        <w:rPr>
          <w:rFonts w:ascii="Arial" w:hAnsi="Arial" w:cs="Arial"/>
        </w:rPr>
        <w:t>The recommended strategy is evaluated using the Suitability, Feasibility and Acceptability (SFA) framework (Johnson, Scholes and Whittington, 2023); the full SFA comparison is provided in Appendix A — Table A4.</w:t>
      </w:r>
    </w:p>
    <w:p w14:paraId="1B2C0765" w14:textId="2C1665AE" w:rsidR="00E14366" w:rsidRPr="00133E4D" w:rsidRDefault="00A2491A" w:rsidP="00133E4D">
      <w:pPr>
        <w:pStyle w:val="Heading2"/>
        <w:spacing w:line="360" w:lineRule="auto"/>
        <w:rPr>
          <w:rFonts w:ascii="Arial" w:hAnsi="Arial" w:cs="Arial"/>
          <w:sz w:val="22"/>
          <w:szCs w:val="22"/>
        </w:rPr>
      </w:pPr>
      <w:bookmarkStart w:id="11" w:name="_Toc234790819"/>
      <w:r w:rsidRPr="00133E4D">
        <w:rPr>
          <w:rFonts w:ascii="Arial" w:hAnsi="Arial" w:cs="Arial"/>
          <w:sz w:val="22"/>
          <w:szCs w:val="22"/>
        </w:rPr>
        <w:t>3</w:t>
      </w:r>
      <w:r w:rsidR="00F75523" w:rsidRPr="00133E4D">
        <w:rPr>
          <w:rFonts w:ascii="Arial" w:hAnsi="Arial" w:cs="Arial"/>
          <w:sz w:val="22"/>
          <w:szCs w:val="22"/>
        </w:rPr>
        <w:t>.</w:t>
      </w:r>
      <w:r w:rsidRPr="00133E4D">
        <w:rPr>
          <w:rFonts w:ascii="Arial" w:hAnsi="Arial" w:cs="Arial"/>
          <w:sz w:val="22"/>
          <w:szCs w:val="22"/>
        </w:rPr>
        <w:t xml:space="preserve"> Recommended Strategy</w:t>
      </w:r>
      <w:bookmarkEnd w:id="11"/>
    </w:p>
    <w:p w14:paraId="03247F5E"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Technology-led differentiation offers the strongest strategic fit: it </w:t>
      </w:r>
      <w:proofErr w:type="spellStart"/>
      <w:r w:rsidRPr="00133E4D">
        <w:rPr>
          <w:rFonts w:ascii="Arial" w:hAnsi="Arial" w:cs="Arial"/>
        </w:rPr>
        <w:t>maximises</w:t>
      </w:r>
      <w:proofErr w:type="spellEnd"/>
      <w:r w:rsidRPr="00133E4D">
        <w:rPr>
          <w:rFonts w:ascii="Arial" w:hAnsi="Arial" w:cs="Arial"/>
        </w:rPr>
        <w:t xml:space="preserve"> the value of </w:t>
      </w:r>
      <w:proofErr w:type="spellStart"/>
      <w:r w:rsidRPr="00133E4D">
        <w:rPr>
          <w:rFonts w:ascii="Arial" w:hAnsi="Arial" w:cs="Arial"/>
        </w:rPr>
        <w:t>VodafoneThree's</w:t>
      </w:r>
      <w:proofErr w:type="spellEnd"/>
      <w:r w:rsidRPr="00133E4D">
        <w:rPr>
          <w:rFonts w:ascii="Arial" w:hAnsi="Arial" w:cs="Arial"/>
        </w:rPr>
        <w:t xml:space="preserve"> spectrum assets, financial resources and brand equity while directly addressing competitive, regulatory and customer pressures. It aligns with Vodafone Group's purpose of 'connect for a better future' (Vodafone Group Plc, 2024) and Carroll's (1991) corporate responsibility pyramid, and it is therefore recommended as </w:t>
      </w:r>
      <w:proofErr w:type="spellStart"/>
      <w:r w:rsidRPr="00133E4D">
        <w:rPr>
          <w:rFonts w:ascii="Arial" w:hAnsi="Arial" w:cs="Arial"/>
        </w:rPr>
        <w:t>VodafoneThree's</w:t>
      </w:r>
      <w:proofErr w:type="spellEnd"/>
      <w:r w:rsidRPr="00133E4D">
        <w:rPr>
          <w:rFonts w:ascii="Arial" w:hAnsi="Arial" w:cs="Arial"/>
        </w:rPr>
        <w:t xml:space="preserve"> core strategic direction.</w:t>
      </w:r>
    </w:p>
    <w:p w14:paraId="09A571CF" w14:textId="77777777" w:rsidR="00E14366" w:rsidRPr="00133E4D" w:rsidRDefault="00000000" w:rsidP="00133E4D">
      <w:pPr>
        <w:pStyle w:val="Heading2"/>
        <w:spacing w:line="360" w:lineRule="auto"/>
        <w:rPr>
          <w:rFonts w:ascii="Arial" w:hAnsi="Arial" w:cs="Arial"/>
          <w:sz w:val="22"/>
          <w:szCs w:val="22"/>
        </w:rPr>
      </w:pPr>
      <w:bookmarkStart w:id="12" w:name="_Toc234790820"/>
      <w:r w:rsidRPr="00133E4D">
        <w:rPr>
          <w:rFonts w:ascii="Arial" w:hAnsi="Arial" w:cs="Arial"/>
          <w:sz w:val="22"/>
          <w:szCs w:val="22"/>
        </w:rPr>
        <w:t>3.1 Suitability</w:t>
      </w:r>
      <w:bookmarkEnd w:id="12"/>
    </w:p>
    <w:p w14:paraId="2B0BCD8B"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Technology-led differentiation is highly suitable given </w:t>
      </w:r>
      <w:proofErr w:type="spellStart"/>
      <w:r w:rsidRPr="00133E4D">
        <w:rPr>
          <w:rFonts w:ascii="Arial" w:hAnsi="Arial" w:cs="Arial"/>
        </w:rPr>
        <w:t>VodafoneThree's</w:t>
      </w:r>
      <w:proofErr w:type="spellEnd"/>
      <w:r w:rsidRPr="00133E4D">
        <w:rPr>
          <w:rFonts w:ascii="Arial" w:hAnsi="Arial" w:cs="Arial"/>
        </w:rPr>
        <w:t xml:space="preserve"> post-merger position. PESTEL identifies growing demand for AI, IoT and enterprise connectivity as structural market opportunities; Five Forces analysis confirms that competitive rivalry is fought primarily on network quality rather than price among full network operators. The strategy directly exploits </w:t>
      </w:r>
      <w:proofErr w:type="spellStart"/>
      <w:r w:rsidRPr="00133E4D">
        <w:rPr>
          <w:rFonts w:ascii="Arial" w:hAnsi="Arial" w:cs="Arial"/>
        </w:rPr>
        <w:t>VodafoneThree's</w:t>
      </w:r>
      <w:proofErr w:type="spellEnd"/>
      <w:r w:rsidRPr="00133E4D">
        <w:rPr>
          <w:rFonts w:ascii="Arial" w:hAnsi="Arial" w:cs="Arial"/>
        </w:rPr>
        <w:t xml:space="preserve"> spectrum advantage and £11 billion investment </w:t>
      </w:r>
      <w:proofErr w:type="gramStart"/>
      <w:r w:rsidRPr="00133E4D">
        <w:rPr>
          <w:rFonts w:ascii="Arial" w:hAnsi="Arial" w:cs="Arial"/>
        </w:rPr>
        <w:t>mandate, and</w:t>
      </w:r>
      <w:proofErr w:type="gramEnd"/>
      <w:r w:rsidRPr="00133E4D">
        <w:rPr>
          <w:rFonts w:ascii="Arial" w:hAnsi="Arial" w:cs="Arial"/>
        </w:rPr>
        <w:t xml:space="preserve"> mitigates the threat of substitutes by shifting revenue toward digital services and IoT, consistent with the TOWS Strength–Opportunity direction (Johnson, Scholes and Whittington, 2023). Market development is only moderately suitable, delivering geographically limited returns; cost leadership is also moderately suitable but risks misalignment with regulatory obligations to improve service quality.</w:t>
      </w:r>
    </w:p>
    <w:p w14:paraId="7ED921F0" w14:textId="77777777" w:rsidR="00E14366" w:rsidRPr="00133E4D" w:rsidRDefault="00000000" w:rsidP="00133E4D">
      <w:pPr>
        <w:pStyle w:val="Heading2"/>
        <w:spacing w:line="360" w:lineRule="auto"/>
        <w:rPr>
          <w:rFonts w:ascii="Arial" w:hAnsi="Arial" w:cs="Arial"/>
          <w:sz w:val="22"/>
          <w:szCs w:val="22"/>
        </w:rPr>
      </w:pPr>
      <w:bookmarkStart w:id="13" w:name="_Toc234790821"/>
      <w:r w:rsidRPr="00133E4D">
        <w:rPr>
          <w:rFonts w:ascii="Arial" w:hAnsi="Arial" w:cs="Arial"/>
          <w:sz w:val="22"/>
          <w:szCs w:val="22"/>
        </w:rPr>
        <w:t>3.2 Feasibility</w:t>
      </w:r>
      <w:bookmarkEnd w:id="13"/>
    </w:p>
    <w:p w14:paraId="6AF7E939"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strategy is feasible given the financial and operational resources available. The CMA-mandated £11 billion investment </w:t>
      </w:r>
      <w:proofErr w:type="spellStart"/>
      <w:r w:rsidRPr="00133E4D">
        <w:rPr>
          <w:rFonts w:ascii="Arial" w:hAnsi="Arial" w:cs="Arial"/>
        </w:rPr>
        <w:t>programme</w:t>
      </w:r>
      <w:proofErr w:type="spellEnd"/>
      <w:r w:rsidRPr="00133E4D">
        <w:rPr>
          <w:rFonts w:ascii="Arial" w:hAnsi="Arial" w:cs="Arial"/>
        </w:rPr>
        <w:t xml:space="preserve"> provides structured capital, and the £700 million </w:t>
      </w:r>
      <w:r w:rsidRPr="00133E4D">
        <w:rPr>
          <w:rFonts w:ascii="Arial" w:hAnsi="Arial" w:cs="Arial"/>
        </w:rPr>
        <w:lastRenderedPageBreak/>
        <w:t xml:space="preserve">annual synergy target creates medium-term financial headroom (Reuters, 2026). Execution depends on integrating legacy systems across two previously independent networks — a </w:t>
      </w:r>
      <w:proofErr w:type="spellStart"/>
      <w:r w:rsidRPr="00133E4D">
        <w:rPr>
          <w:rFonts w:ascii="Arial" w:hAnsi="Arial" w:cs="Arial"/>
        </w:rPr>
        <w:t>recognised</w:t>
      </w:r>
      <w:proofErr w:type="spellEnd"/>
      <w:r w:rsidRPr="00133E4D">
        <w:rPr>
          <w:rFonts w:ascii="Arial" w:hAnsi="Arial" w:cs="Arial"/>
        </w:rPr>
        <w:t xml:space="preserve"> risk — but leadership continuity under CEO Max Taylor and Vodafone's existing AI infrastructure, including Zero Touch Operations, provide a credible foundation (Vodafone, 2026; </w:t>
      </w:r>
      <w:proofErr w:type="spellStart"/>
      <w:r w:rsidRPr="00133E4D">
        <w:rPr>
          <w:rFonts w:ascii="Arial" w:hAnsi="Arial" w:cs="Arial"/>
        </w:rPr>
        <w:t>Futurenet</w:t>
      </w:r>
      <w:proofErr w:type="spellEnd"/>
      <w:r w:rsidRPr="00133E4D">
        <w:rPr>
          <w:rFonts w:ascii="Arial" w:hAnsi="Arial" w:cs="Arial"/>
        </w:rPr>
        <w:t xml:space="preserve"> World, 2026).</w:t>
      </w:r>
    </w:p>
    <w:p w14:paraId="43BB256B" w14:textId="77777777" w:rsidR="00E14366" w:rsidRPr="00133E4D" w:rsidRDefault="00000000" w:rsidP="00133E4D">
      <w:pPr>
        <w:pStyle w:val="Heading2"/>
        <w:spacing w:line="360" w:lineRule="auto"/>
        <w:rPr>
          <w:rFonts w:ascii="Arial" w:hAnsi="Arial" w:cs="Arial"/>
          <w:sz w:val="22"/>
          <w:szCs w:val="22"/>
        </w:rPr>
      </w:pPr>
      <w:bookmarkStart w:id="14" w:name="_Toc234790822"/>
      <w:r w:rsidRPr="00133E4D">
        <w:rPr>
          <w:rFonts w:ascii="Arial" w:hAnsi="Arial" w:cs="Arial"/>
          <w:sz w:val="22"/>
          <w:szCs w:val="22"/>
        </w:rPr>
        <w:t>3.3 Acceptability</w:t>
      </w:r>
      <w:bookmarkEnd w:id="14"/>
    </w:p>
    <w:p w14:paraId="7D97617E"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strategy is broadly acceptable to principal stakeholders. Customers benefit from improved network reliability, with CMA price caps on selected tariffs providing protection until approximately 2028 (Competition and Markets Authority, 2024). Shareholders benefit from a defensible competitive position supported by anticipated synergies and digital revenue growth. Unlike cost leadership, technology-led differentiation retains and upskills existing employees — addressing automation-driven workforce concerns material in the UK telecoms sector (Mobile Europe, 2026). Freeman (1984) </w:t>
      </w:r>
      <w:proofErr w:type="spellStart"/>
      <w:r w:rsidRPr="00133E4D">
        <w:rPr>
          <w:rFonts w:ascii="Arial" w:hAnsi="Arial" w:cs="Arial"/>
        </w:rPr>
        <w:t>emphasises</w:t>
      </w:r>
      <w:proofErr w:type="spellEnd"/>
      <w:r w:rsidRPr="00133E4D">
        <w:rPr>
          <w:rFonts w:ascii="Arial" w:hAnsi="Arial" w:cs="Arial"/>
        </w:rPr>
        <w:t xml:space="preserve"> that strategy acceptability must account for the full range of stakeholder interests; on this basis, technology-led differentiation offers the broadest social legitimacy of the three options. ESG credentials further support access to green bond issuance and ESG-focused institutional investment, reinforcing the financial case for the recommended strategy (Carroll, 1991; Vodafone Group Plc, 2025).</w:t>
      </w:r>
    </w:p>
    <w:p w14:paraId="338426FF" w14:textId="77777777" w:rsidR="00E14366" w:rsidRPr="00133E4D" w:rsidRDefault="00000000" w:rsidP="00133E4D">
      <w:pPr>
        <w:pStyle w:val="Heading2"/>
        <w:spacing w:line="360" w:lineRule="auto"/>
        <w:rPr>
          <w:rFonts w:ascii="Arial" w:hAnsi="Arial" w:cs="Arial"/>
          <w:sz w:val="22"/>
          <w:szCs w:val="22"/>
        </w:rPr>
      </w:pPr>
      <w:bookmarkStart w:id="15" w:name="_Toc234790823"/>
      <w:r w:rsidRPr="00133E4D">
        <w:rPr>
          <w:rFonts w:ascii="Arial" w:hAnsi="Arial" w:cs="Arial"/>
          <w:sz w:val="22"/>
          <w:szCs w:val="22"/>
        </w:rPr>
        <w:t>3.4 Assumptions</w:t>
      </w:r>
      <w:bookmarkEnd w:id="15"/>
    </w:p>
    <w:p w14:paraId="6FD8C0CD" w14:textId="77777777" w:rsidR="00E14366" w:rsidRPr="00133E4D" w:rsidRDefault="00000000" w:rsidP="00133E4D">
      <w:pPr>
        <w:spacing w:after="120" w:line="360" w:lineRule="auto"/>
        <w:rPr>
          <w:rFonts w:ascii="Arial" w:hAnsi="Arial" w:cs="Arial"/>
        </w:rPr>
      </w:pPr>
      <w:r w:rsidRPr="00133E4D">
        <w:rPr>
          <w:rFonts w:ascii="Arial" w:hAnsi="Arial" w:cs="Arial"/>
        </w:rPr>
        <w:t>This evaluation assumes: (</w:t>
      </w:r>
      <w:proofErr w:type="spellStart"/>
      <w:r w:rsidRPr="00133E4D">
        <w:rPr>
          <w:rFonts w:ascii="Arial" w:hAnsi="Arial" w:cs="Arial"/>
        </w:rPr>
        <w:t>i</w:t>
      </w:r>
      <w:proofErr w:type="spellEnd"/>
      <w:r w:rsidRPr="00133E4D">
        <w:rPr>
          <w:rFonts w:ascii="Arial" w:hAnsi="Arial" w:cs="Arial"/>
        </w:rPr>
        <w:t xml:space="preserve">) the £11 billion investment </w:t>
      </w:r>
      <w:proofErr w:type="spellStart"/>
      <w:r w:rsidRPr="00133E4D">
        <w:rPr>
          <w:rFonts w:ascii="Arial" w:hAnsi="Arial" w:cs="Arial"/>
        </w:rPr>
        <w:t>programme</w:t>
      </w:r>
      <w:proofErr w:type="spellEnd"/>
      <w:r w:rsidRPr="00133E4D">
        <w:rPr>
          <w:rFonts w:ascii="Arial" w:hAnsi="Arial" w:cs="Arial"/>
        </w:rPr>
        <w:t xml:space="preserve"> is delivered broadly on schedule; (ii) the CK Hutchison buyout completes without adverse NSI Act conditions; (iii) the £700 million annual synergy target is substantially </w:t>
      </w:r>
      <w:proofErr w:type="spellStart"/>
      <w:r w:rsidRPr="00133E4D">
        <w:rPr>
          <w:rFonts w:ascii="Arial" w:hAnsi="Arial" w:cs="Arial"/>
        </w:rPr>
        <w:t>realised</w:t>
      </w:r>
      <w:proofErr w:type="spellEnd"/>
      <w:r w:rsidRPr="00133E4D">
        <w:rPr>
          <w:rFonts w:ascii="Arial" w:hAnsi="Arial" w:cs="Arial"/>
        </w:rPr>
        <w:t xml:space="preserve"> by FY2030; (iv) no material regulatory intervention occurs beyond existing CMA undertakings; and (v) EE and Virgin Media O2 continue to compete primarily on network quality rather than initiating a sustained price war (Competition and Markets Authority, 2024; Reuters, 2026). As this evaluation draws on publicly available sources, assumptions regarding future market conditions remain inherently uncertain, reinforcing the need for continuous monitoring (Johnson, Scholes and Whittington, 2023).</w:t>
      </w:r>
    </w:p>
    <w:p w14:paraId="0D75801D" w14:textId="77777777" w:rsidR="00E14366" w:rsidRPr="00133E4D" w:rsidRDefault="00000000" w:rsidP="00133E4D">
      <w:pPr>
        <w:pStyle w:val="Heading2"/>
        <w:spacing w:line="360" w:lineRule="auto"/>
        <w:rPr>
          <w:rFonts w:ascii="Arial" w:hAnsi="Arial" w:cs="Arial"/>
          <w:sz w:val="22"/>
          <w:szCs w:val="22"/>
        </w:rPr>
      </w:pPr>
      <w:bookmarkStart w:id="16" w:name="_Toc234790824"/>
      <w:r w:rsidRPr="00133E4D">
        <w:rPr>
          <w:rFonts w:ascii="Arial" w:hAnsi="Arial" w:cs="Arial"/>
          <w:sz w:val="22"/>
          <w:szCs w:val="22"/>
        </w:rPr>
        <w:t>4. Stakeholder Analysis</w:t>
      </w:r>
      <w:bookmarkEnd w:id="16"/>
    </w:p>
    <w:p w14:paraId="6FC0936D" w14:textId="77777777" w:rsidR="00E14366" w:rsidRPr="00133E4D" w:rsidRDefault="00000000" w:rsidP="00133E4D">
      <w:pPr>
        <w:spacing w:after="120" w:line="360" w:lineRule="auto"/>
        <w:rPr>
          <w:rFonts w:ascii="Arial" w:hAnsi="Arial" w:cs="Arial"/>
        </w:rPr>
      </w:pPr>
      <w:proofErr w:type="spellStart"/>
      <w:r w:rsidRPr="00133E4D">
        <w:rPr>
          <w:rFonts w:ascii="Arial" w:hAnsi="Arial" w:cs="Arial"/>
        </w:rPr>
        <w:t>VodafoneThree's</w:t>
      </w:r>
      <w:proofErr w:type="spellEnd"/>
      <w:r w:rsidRPr="00133E4D">
        <w:rPr>
          <w:rFonts w:ascii="Arial" w:hAnsi="Arial" w:cs="Arial"/>
        </w:rPr>
        <w:t xml:space="preserve"> recommended strategy affects a wide range of stakeholders, mapped using Freeman's (1984) stakeholder theory and Mendelow's (1991) power–interest matrix, informed by Carroll's (1991) pyramid (see Appendix A — Figure A3 and Table A5).</w:t>
      </w:r>
    </w:p>
    <w:p w14:paraId="49E4B3F5" w14:textId="77777777" w:rsidR="00E14366" w:rsidRPr="00133E4D" w:rsidRDefault="00000000" w:rsidP="00133E4D">
      <w:pPr>
        <w:spacing w:after="120" w:line="360" w:lineRule="auto"/>
        <w:rPr>
          <w:rFonts w:ascii="Arial" w:hAnsi="Arial" w:cs="Arial"/>
        </w:rPr>
      </w:pPr>
      <w:r w:rsidRPr="00133E4D">
        <w:rPr>
          <w:rFonts w:ascii="Arial" w:hAnsi="Arial" w:cs="Arial"/>
        </w:rPr>
        <w:lastRenderedPageBreak/>
        <w:t xml:space="preserve">Regulators (CMA and Ofcom) hold the highest combination of power and interest, requiring quarterly compliance reporting on network investment milestones and price cap adherence. Shareholders — primarily Vodafone Group following the planned CK Hutchison buyout — demand clear financial performance reporting, including synergy tracking. Employees and trade unions hold moderate power and high interest: restructuring during integration creates uncertainty, making </w:t>
      </w:r>
      <w:proofErr w:type="gramStart"/>
      <w:r w:rsidRPr="00133E4D">
        <w:rPr>
          <w:rFonts w:ascii="Arial" w:hAnsi="Arial" w:cs="Arial"/>
        </w:rPr>
        <w:t>change management communication</w:t>
      </w:r>
      <w:proofErr w:type="gramEnd"/>
      <w:r w:rsidRPr="00133E4D">
        <w:rPr>
          <w:rFonts w:ascii="Arial" w:hAnsi="Arial" w:cs="Arial"/>
        </w:rPr>
        <w:t xml:space="preserve"> and workforce reskilling critical to maintaining operational trust (Freeman, 1984; Carroll, 1991). Customers hold low institutional power but high interest, requiring continuous service quality communication and transparent pricing. Suppliers — including Ericsson and Nokia — hold moderate power and interest, governed through quarterly partnership and ESG audit frameworks. Stakeholder priorities will evolve throughout implementation, requiring ongoing engagement rather than one-off consultation, reinforcing that stakeholder management is a core strategic responsibility rather than a secondary activity (Freeman, 1984).</w:t>
      </w:r>
    </w:p>
    <w:p w14:paraId="4351339A" w14:textId="77777777" w:rsidR="00E14366" w:rsidRPr="00133E4D" w:rsidRDefault="00000000" w:rsidP="00133E4D">
      <w:pPr>
        <w:pStyle w:val="Heading2"/>
        <w:spacing w:line="360" w:lineRule="auto"/>
        <w:rPr>
          <w:rFonts w:ascii="Arial" w:hAnsi="Arial" w:cs="Arial"/>
          <w:sz w:val="22"/>
          <w:szCs w:val="22"/>
        </w:rPr>
      </w:pPr>
      <w:bookmarkStart w:id="17" w:name="_Toc234790825"/>
      <w:r w:rsidRPr="00133E4D">
        <w:rPr>
          <w:rFonts w:ascii="Arial" w:hAnsi="Arial" w:cs="Arial"/>
          <w:sz w:val="22"/>
          <w:szCs w:val="22"/>
        </w:rPr>
        <w:t>5. Implementation and Monitoring</w:t>
      </w:r>
      <w:bookmarkEnd w:id="17"/>
    </w:p>
    <w:p w14:paraId="1D358592" w14:textId="77777777" w:rsidR="00E14366" w:rsidRPr="00133E4D" w:rsidRDefault="00000000" w:rsidP="00133E4D">
      <w:pPr>
        <w:spacing w:after="120" w:line="360" w:lineRule="auto"/>
        <w:rPr>
          <w:rFonts w:ascii="Arial" w:hAnsi="Arial" w:cs="Arial"/>
        </w:rPr>
      </w:pPr>
      <w:r w:rsidRPr="00133E4D">
        <w:rPr>
          <w:rFonts w:ascii="Arial" w:hAnsi="Arial" w:cs="Arial"/>
        </w:rPr>
        <w:t>Successful implementation requires a phased three-year integration plan covering network consolidation, workforce transition and cybersecurity hardening (see Appendix A — Table A6). Three principal objectives are defined: completing network integration by 2028 measured against the £700 million annual synergy target (Reuters, 2026); extending standalone 5G coverage toward the 2034 target of 99.95% population coverage (Vodafone UK, 2025); and increasing AI-enabled digital services revenue through IoT solutions and predictive network maintenance (Vodafone, 2026).</w:t>
      </w:r>
    </w:p>
    <w:p w14:paraId="48994B33" w14:textId="60ED7CDD" w:rsidR="00E14366" w:rsidRPr="00133E4D" w:rsidRDefault="00000000" w:rsidP="00133E4D">
      <w:pPr>
        <w:spacing w:after="120" w:line="360" w:lineRule="auto"/>
        <w:rPr>
          <w:rFonts w:ascii="Arial" w:hAnsi="Arial" w:cs="Arial"/>
        </w:rPr>
      </w:pPr>
      <w:r w:rsidRPr="00133E4D">
        <w:rPr>
          <w:rFonts w:ascii="Arial" w:hAnsi="Arial" w:cs="Arial"/>
        </w:rPr>
        <w:t xml:space="preserve">Performance should be monitored using a balanced scorecard framework (Kaplan and Norton, 1996) incorporating KPIs across financial (revenue growth, synergy </w:t>
      </w:r>
      <w:proofErr w:type="spellStart"/>
      <w:r w:rsidRPr="00133E4D">
        <w:rPr>
          <w:rFonts w:ascii="Arial" w:hAnsi="Arial" w:cs="Arial"/>
        </w:rPr>
        <w:t>realisation</w:t>
      </w:r>
      <w:proofErr w:type="spellEnd"/>
      <w:r w:rsidRPr="00133E4D">
        <w:rPr>
          <w:rFonts w:ascii="Arial" w:hAnsi="Arial" w:cs="Arial"/>
        </w:rPr>
        <w:t>), customer (NPS, churn rate), internal processes (5G coverage, network reliability) and learning and growth (reskilling, digital capability investment) dimensions, with CMA compliance subject to quarterly board-level review. Strategic objectives should be reviewed annually given the pace of technological and regulatory change, reflecting the dynamic capabilities perspective (Johnson, Scholes and Whittington, 2023).</w:t>
      </w:r>
    </w:p>
    <w:p w14:paraId="3BE6B8F2" w14:textId="77777777" w:rsidR="00E14366" w:rsidRPr="00133E4D" w:rsidRDefault="00000000" w:rsidP="00133E4D">
      <w:pPr>
        <w:pStyle w:val="Heading2"/>
        <w:spacing w:line="360" w:lineRule="auto"/>
        <w:rPr>
          <w:rFonts w:ascii="Arial" w:hAnsi="Arial" w:cs="Arial"/>
          <w:sz w:val="22"/>
          <w:szCs w:val="22"/>
        </w:rPr>
      </w:pPr>
      <w:bookmarkStart w:id="18" w:name="_Toc234790826"/>
      <w:r w:rsidRPr="00133E4D">
        <w:rPr>
          <w:rFonts w:ascii="Arial" w:hAnsi="Arial" w:cs="Arial"/>
          <w:sz w:val="22"/>
          <w:szCs w:val="22"/>
        </w:rPr>
        <w:t>6. Vodafone Facing the Future: A Critical Analysis of the Business Environment</w:t>
      </w:r>
      <w:bookmarkEnd w:id="18"/>
    </w:p>
    <w:p w14:paraId="1D51F874"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Beyond the immediate integration horizon, </w:t>
      </w:r>
      <w:proofErr w:type="spellStart"/>
      <w:r w:rsidRPr="00133E4D">
        <w:rPr>
          <w:rFonts w:ascii="Arial" w:hAnsi="Arial" w:cs="Arial"/>
        </w:rPr>
        <w:t>VodafoneThree</w:t>
      </w:r>
      <w:proofErr w:type="spellEnd"/>
      <w:r w:rsidRPr="00133E4D">
        <w:rPr>
          <w:rFonts w:ascii="Arial" w:hAnsi="Arial" w:cs="Arial"/>
        </w:rPr>
        <w:t xml:space="preserve"> faces a business environment </w:t>
      </w:r>
      <w:proofErr w:type="spellStart"/>
      <w:r w:rsidRPr="00133E4D">
        <w:rPr>
          <w:rFonts w:ascii="Arial" w:hAnsi="Arial" w:cs="Arial"/>
        </w:rPr>
        <w:t>characterised</w:t>
      </w:r>
      <w:proofErr w:type="spellEnd"/>
      <w:r w:rsidRPr="00133E4D">
        <w:rPr>
          <w:rFonts w:ascii="Arial" w:hAnsi="Arial" w:cs="Arial"/>
        </w:rPr>
        <w:t xml:space="preserve"> by structural complexity, geopolitical turbulence and technological discontinuity. A critical examination of six interconnected dimensions is presented below.</w:t>
      </w:r>
    </w:p>
    <w:p w14:paraId="6CB53A21" w14:textId="77777777" w:rsidR="00E14366" w:rsidRPr="00133E4D" w:rsidRDefault="00000000" w:rsidP="00133E4D">
      <w:pPr>
        <w:pStyle w:val="Heading2"/>
        <w:spacing w:line="360" w:lineRule="auto"/>
        <w:rPr>
          <w:rFonts w:ascii="Arial" w:hAnsi="Arial" w:cs="Arial"/>
          <w:sz w:val="22"/>
          <w:szCs w:val="22"/>
        </w:rPr>
      </w:pPr>
      <w:bookmarkStart w:id="19" w:name="_Toc234790827"/>
      <w:r w:rsidRPr="00133E4D">
        <w:rPr>
          <w:rFonts w:ascii="Arial" w:hAnsi="Arial" w:cs="Arial"/>
          <w:sz w:val="22"/>
          <w:szCs w:val="22"/>
        </w:rPr>
        <w:lastRenderedPageBreak/>
        <w:t>6.1 Geopolitical Tensions and the CK Hutchison Dimension</w:t>
      </w:r>
      <w:bookmarkEnd w:id="19"/>
    </w:p>
    <w:p w14:paraId="34FCECC9" w14:textId="4EFF07D6" w:rsidR="00FC7586" w:rsidRPr="00133E4D" w:rsidRDefault="00000000" w:rsidP="00133E4D">
      <w:pPr>
        <w:spacing w:after="120" w:line="360" w:lineRule="auto"/>
        <w:rPr>
          <w:rFonts w:ascii="Arial" w:hAnsi="Arial" w:cs="Arial"/>
        </w:rPr>
      </w:pPr>
      <w:r w:rsidRPr="00133E4D">
        <w:rPr>
          <w:rFonts w:ascii="Arial" w:hAnsi="Arial" w:cs="Arial"/>
        </w:rPr>
        <w:t xml:space="preserve">The most significant geopolitical dimension of </w:t>
      </w:r>
      <w:proofErr w:type="spellStart"/>
      <w:r w:rsidRPr="00133E4D">
        <w:rPr>
          <w:rFonts w:ascii="Arial" w:hAnsi="Arial" w:cs="Arial"/>
        </w:rPr>
        <w:t>VodafoneThree's</w:t>
      </w:r>
      <w:proofErr w:type="spellEnd"/>
      <w:r w:rsidRPr="00133E4D">
        <w:rPr>
          <w:rFonts w:ascii="Arial" w:hAnsi="Arial" w:cs="Arial"/>
        </w:rPr>
        <w:t xml:space="preserve"> formation concerned CK Hutchison, the Hong Kong-based conglomerate holding 49% of the joint venture. Its ties to the Hong Kong National Security Law created a risk profile distinct from typical foreign investment, as the merged entity oversees government contracts including NHS 111, police communications and Ministry of </w:t>
      </w:r>
      <w:proofErr w:type="spellStart"/>
      <w:r w:rsidRPr="00133E4D">
        <w:rPr>
          <w:rFonts w:ascii="Arial" w:hAnsi="Arial" w:cs="Arial"/>
        </w:rPr>
        <w:t>Defence</w:t>
      </w:r>
      <w:proofErr w:type="spellEnd"/>
      <w:r w:rsidRPr="00133E4D">
        <w:rPr>
          <w:rFonts w:ascii="Arial" w:hAnsi="Arial" w:cs="Arial"/>
        </w:rPr>
        <w:t xml:space="preserve"> services — extending potential exposure to sensitive UK data across 27 million users (China Strategic Risks Institute, 2023; UK Parliament, 2023). The UK Government approved the merger subject to the establishment of a National Security Committee, a Technical Security Group with government oversight and external auditing obligations (UK Government, 2024). The May 2026 agreement for Vodafone to acquire CK Hutchison's 49% stake for £4.3 billion directly addresses this geopolitical exposure (Reuters, 2026). Full Vodafone ownership will remove the most contested dimension, but National Security Committee obligations will remain; the precedent of Huawei's removal from UK 5G networks confirms that geopolitical dimensions of telecoms infrastructure are a permanent strategic consideration rather than a transient concern (The Telegraph, 2022).</w:t>
      </w:r>
      <w:r w:rsidR="00FC7586" w:rsidRPr="00133E4D">
        <w:rPr>
          <w:rFonts w:ascii="Arial" w:hAnsi="Arial" w:cs="Arial"/>
        </w:rPr>
        <w:t xml:space="preserve"> Although Vodafone's acquisition of CK Hutchison's stake substantially reduces direct geopolitical exposure, UK-China relations are likely to remain uncertain over the long term. Future changes in trade policy, investment screening or technology restrictions could continue to influence telecommunications supply chains and international partnerships. Consequently, </w:t>
      </w:r>
      <w:proofErr w:type="spellStart"/>
      <w:r w:rsidR="00FC7586" w:rsidRPr="00133E4D">
        <w:rPr>
          <w:rFonts w:ascii="Arial" w:hAnsi="Arial" w:cs="Arial"/>
        </w:rPr>
        <w:t>VodafoneThree</w:t>
      </w:r>
      <w:proofErr w:type="spellEnd"/>
      <w:r w:rsidR="00FC7586" w:rsidRPr="00133E4D">
        <w:rPr>
          <w:rFonts w:ascii="Arial" w:hAnsi="Arial" w:cs="Arial"/>
        </w:rPr>
        <w:t xml:space="preserve"> should diversify strategic partnerships and avoid excessive dependence on any single geopolitical region to improve long-term resilience.</w:t>
      </w:r>
    </w:p>
    <w:p w14:paraId="019417C0" w14:textId="77777777" w:rsidR="00E14366" w:rsidRPr="00133E4D" w:rsidRDefault="00000000" w:rsidP="00133E4D">
      <w:pPr>
        <w:pStyle w:val="Heading2"/>
        <w:spacing w:line="360" w:lineRule="auto"/>
        <w:rPr>
          <w:rFonts w:ascii="Arial" w:hAnsi="Arial" w:cs="Arial"/>
          <w:sz w:val="22"/>
          <w:szCs w:val="22"/>
        </w:rPr>
      </w:pPr>
      <w:bookmarkStart w:id="20" w:name="_Toc234790828"/>
      <w:r w:rsidRPr="00133E4D">
        <w:rPr>
          <w:rFonts w:ascii="Arial" w:hAnsi="Arial" w:cs="Arial"/>
          <w:sz w:val="22"/>
          <w:szCs w:val="22"/>
        </w:rPr>
        <w:t>6.2 Artificial Intelligence: Enabler and Disruptor</w:t>
      </w:r>
      <w:bookmarkEnd w:id="20"/>
    </w:p>
    <w:p w14:paraId="295FC17F"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AI occupies a dual role in </w:t>
      </w:r>
      <w:proofErr w:type="spellStart"/>
      <w:r w:rsidRPr="00133E4D">
        <w:rPr>
          <w:rFonts w:ascii="Arial" w:hAnsi="Arial" w:cs="Arial"/>
        </w:rPr>
        <w:t>VodafoneThree's</w:t>
      </w:r>
      <w:proofErr w:type="spellEnd"/>
      <w:r w:rsidRPr="00133E4D">
        <w:rPr>
          <w:rFonts w:ascii="Arial" w:hAnsi="Arial" w:cs="Arial"/>
        </w:rPr>
        <w:t xml:space="preserve"> future: it is simultaneously the primary strategic enabler of differentiation and a source of operational and social disruption. Vodafone's FY26 results identify a two-way relationship: AI improves network efficiency through Zero Touch Operations and autonomous fault prevention, while AI applications in robotics and autonomous vehicles will drive exponential demand for low-latency connectivity — the core capability that </w:t>
      </w:r>
      <w:proofErr w:type="spellStart"/>
      <w:r w:rsidRPr="00133E4D">
        <w:rPr>
          <w:rFonts w:ascii="Arial" w:hAnsi="Arial" w:cs="Arial"/>
        </w:rPr>
        <w:t>VodafoneThree's</w:t>
      </w:r>
      <w:proofErr w:type="spellEnd"/>
      <w:r w:rsidRPr="00133E4D">
        <w:rPr>
          <w:rFonts w:ascii="Arial" w:hAnsi="Arial" w:cs="Arial"/>
        </w:rPr>
        <w:t xml:space="preserve"> 5G investment is designed to supply (Vodafone FY26 Transcript, 2026). </w:t>
      </w:r>
      <w:proofErr w:type="spellStart"/>
      <w:r w:rsidRPr="00133E4D">
        <w:rPr>
          <w:rFonts w:ascii="Arial" w:hAnsi="Arial" w:cs="Arial"/>
        </w:rPr>
        <w:t>TOBi</w:t>
      </w:r>
      <w:proofErr w:type="spellEnd"/>
      <w:r w:rsidRPr="00133E4D">
        <w:rPr>
          <w:rFonts w:ascii="Arial" w:hAnsi="Arial" w:cs="Arial"/>
        </w:rPr>
        <w:t xml:space="preserve"> and </w:t>
      </w:r>
      <w:proofErr w:type="spellStart"/>
      <w:r w:rsidRPr="00133E4D">
        <w:rPr>
          <w:rFonts w:ascii="Arial" w:hAnsi="Arial" w:cs="Arial"/>
        </w:rPr>
        <w:t>SuperTOBi</w:t>
      </w:r>
      <w:proofErr w:type="spellEnd"/>
      <w:r w:rsidRPr="00133E4D">
        <w:rPr>
          <w:rFonts w:ascii="Arial" w:hAnsi="Arial" w:cs="Arial"/>
        </w:rPr>
        <w:t xml:space="preserve"> AI agents already handle over 90% of customer needs, with the company pursuing Level 4 and Level 5 network autonomy under the TM Forum Autonomous Networks framework (Vodafone, 2026; </w:t>
      </w:r>
      <w:proofErr w:type="spellStart"/>
      <w:r w:rsidRPr="00133E4D">
        <w:rPr>
          <w:rFonts w:ascii="Arial" w:hAnsi="Arial" w:cs="Arial"/>
        </w:rPr>
        <w:t>Futurenet</w:t>
      </w:r>
      <w:proofErr w:type="spellEnd"/>
      <w:r w:rsidRPr="00133E4D">
        <w:rPr>
          <w:rFonts w:ascii="Arial" w:hAnsi="Arial" w:cs="Arial"/>
        </w:rPr>
        <w:t xml:space="preserve"> World, 2026). Critically, </w:t>
      </w:r>
      <w:proofErr w:type="spellStart"/>
      <w:r w:rsidRPr="00133E4D">
        <w:rPr>
          <w:rFonts w:ascii="Arial" w:hAnsi="Arial" w:cs="Arial"/>
        </w:rPr>
        <w:t>Adzuna</w:t>
      </w:r>
      <w:proofErr w:type="spellEnd"/>
      <w:r w:rsidRPr="00133E4D">
        <w:rPr>
          <w:rFonts w:ascii="Arial" w:hAnsi="Arial" w:cs="Arial"/>
        </w:rPr>
        <w:t xml:space="preserve"> data (2025) shows UK entry-level jobs fell 32% following ChatGPT's launch, and BT has announced plans to eliminate up to 55,000 jobs by 2030 (The Guardian, 2025; BBC, 2023). Responsible AI deployment therefore requires proportionate workforce reskilling </w:t>
      </w:r>
      <w:r w:rsidRPr="00133E4D">
        <w:rPr>
          <w:rFonts w:ascii="Arial" w:hAnsi="Arial" w:cs="Arial"/>
        </w:rPr>
        <w:lastRenderedPageBreak/>
        <w:t>investment, as MTN Consulting finds no direct correlation between workforce reductions and subsequent margin expansion (Mobile Europe, 2026).</w:t>
      </w:r>
    </w:p>
    <w:p w14:paraId="598EE713" w14:textId="77777777" w:rsidR="00E14366" w:rsidRPr="00133E4D" w:rsidRDefault="00000000" w:rsidP="00133E4D">
      <w:pPr>
        <w:pStyle w:val="Heading2"/>
        <w:spacing w:line="360" w:lineRule="auto"/>
        <w:rPr>
          <w:rFonts w:ascii="Arial" w:hAnsi="Arial" w:cs="Arial"/>
          <w:sz w:val="22"/>
          <w:szCs w:val="22"/>
        </w:rPr>
      </w:pPr>
      <w:bookmarkStart w:id="21" w:name="_Toc234790829"/>
      <w:r w:rsidRPr="00133E4D">
        <w:rPr>
          <w:rFonts w:ascii="Arial" w:hAnsi="Arial" w:cs="Arial"/>
          <w:sz w:val="22"/>
          <w:szCs w:val="22"/>
        </w:rPr>
        <w:t>6.3 Ageing Population and Digital Inclusion</w:t>
      </w:r>
      <w:bookmarkEnd w:id="21"/>
    </w:p>
    <w:p w14:paraId="5A43A33F"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UK's ageing population presents </w:t>
      </w:r>
      <w:proofErr w:type="spellStart"/>
      <w:r w:rsidRPr="00133E4D">
        <w:rPr>
          <w:rFonts w:ascii="Arial" w:hAnsi="Arial" w:cs="Arial"/>
        </w:rPr>
        <w:t>VodafoneThree</w:t>
      </w:r>
      <w:proofErr w:type="spellEnd"/>
      <w:r w:rsidRPr="00133E4D">
        <w:rPr>
          <w:rFonts w:ascii="Arial" w:hAnsi="Arial" w:cs="Arial"/>
        </w:rPr>
        <w:t xml:space="preserve"> with both a social obligation and a long-term market opportunity. Older adults disproportionately experience digital exclusion driven by lack of confidence rather than device access, requiring confidence-building investment and human-</w:t>
      </w:r>
      <w:proofErr w:type="spellStart"/>
      <w:r w:rsidRPr="00133E4D">
        <w:rPr>
          <w:rFonts w:ascii="Arial" w:hAnsi="Arial" w:cs="Arial"/>
        </w:rPr>
        <w:t>centred</w:t>
      </w:r>
      <w:proofErr w:type="spellEnd"/>
      <w:r w:rsidRPr="00133E4D">
        <w:rPr>
          <w:rFonts w:ascii="Arial" w:hAnsi="Arial" w:cs="Arial"/>
        </w:rPr>
        <w:t xml:space="preserve"> service design (Vodafone Foundation, 2026). Vodafone's 'Hi Digital' </w:t>
      </w:r>
      <w:proofErr w:type="spellStart"/>
      <w:r w:rsidRPr="00133E4D">
        <w:rPr>
          <w:rFonts w:ascii="Arial" w:hAnsi="Arial" w:cs="Arial"/>
        </w:rPr>
        <w:t>programme</w:t>
      </w:r>
      <w:proofErr w:type="spellEnd"/>
      <w:r w:rsidRPr="00133E4D">
        <w:rPr>
          <w:rFonts w:ascii="Arial" w:hAnsi="Arial" w:cs="Arial"/>
        </w:rPr>
        <w:t xml:space="preserve"> with Age UK and its Digital Champions scheme represent credible social value initiatives, though from a critical strategic perspective these remain largely philanthropic rather than integrated into core commercial strategy (Vodafone UK, 2022). The UK Government's Digital Inclusion Action Plan (2026) calls for systemic responses, expecting large operators to embed inclusion into mainstream service design. Strategically, the ageing population represents an underserved premium market for simplified connectivity products and health-adjacent IoT services — a commercially rational market development opportunity within the recommended differentiation strategy.</w:t>
      </w:r>
    </w:p>
    <w:p w14:paraId="6FDA9A3A" w14:textId="77777777" w:rsidR="00E14366" w:rsidRPr="00133E4D" w:rsidRDefault="00000000" w:rsidP="00133E4D">
      <w:pPr>
        <w:pStyle w:val="Heading2"/>
        <w:spacing w:line="360" w:lineRule="auto"/>
        <w:rPr>
          <w:rFonts w:ascii="Arial" w:hAnsi="Arial" w:cs="Arial"/>
          <w:sz w:val="22"/>
          <w:szCs w:val="22"/>
        </w:rPr>
      </w:pPr>
      <w:bookmarkStart w:id="22" w:name="_Toc234790830"/>
      <w:r w:rsidRPr="00133E4D">
        <w:rPr>
          <w:rFonts w:ascii="Arial" w:hAnsi="Arial" w:cs="Arial"/>
          <w:sz w:val="22"/>
          <w:szCs w:val="22"/>
        </w:rPr>
        <w:t>6.4 Automation, Efficiency and Human Workforce Pressure</w:t>
      </w:r>
      <w:bookmarkEnd w:id="22"/>
    </w:p>
    <w:p w14:paraId="305B83F4"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tension between automation-driven efficiency and human workforce consequences is a defining fault line for contemporary telecoms operators. UK services sector job shedding reached a 16-year peak in 2024–2026 as companies chose automation over replacement hiring (The Guardian, 2026), and research by </w:t>
      </w:r>
      <w:proofErr w:type="spellStart"/>
      <w:r w:rsidRPr="00133E4D">
        <w:rPr>
          <w:rFonts w:ascii="Arial" w:hAnsi="Arial" w:cs="Arial"/>
        </w:rPr>
        <w:t>Gravitee</w:t>
      </w:r>
      <w:proofErr w:type="spellEnd"/>
      <w:r w:rsidRPr="00133E4D">
        <w:rPr>
          <w:rFonts w:ascii="Arial" w:hAnsi="Arial" w:cs="Arial"/>
        </w:rPr>
        <w:t xml:space="preserve"> (2025) forecast 100,000 AI agents joining the UK workforce by end of 2026, with 65% of large company executives indicating plans to reduce headcount (IT Brief, 2025). Critically, MTN Consulting finds no direct correlation between workforce reductions and margin expansion, suggesting that headcount reduction does not automatically deliver the efficiency dividends used to justify the social cost (Mobile Europe, 2026). For </w:t>
      </w:r>
      <w:proofErr w:type="spellStart"/>
      <w:r w:rsidRPr="00133E4D">
        <w:rPr>
          <w:rFonts w:ascii="Arial" w:hAnsi="Arial" w:cs="Arial"/>
        </w:rPr>
        <w:t>VodafoneThree</w:t>
      </w:r>
      <w:proofErr w:type="spellEnd"/>
      <w:r w:rsidRPr="00133E4D">
        <w:rPr>
          <w:rFonts w:ascii="Arial" w:hAnsi="Arial" w:cs="Arial"/>
        </w:rPr>
        <w:t xml:space="preserve">, the strategic case for AI deployment must be grounded in genuine operational value — improved network reliability, customer experience and product development — rather than cost-cutting. As a supplier to government and emergency services, reputational damage from workforce reduction without proportionate reskilling would attract regulatory attention and undermine the social </w:t>
      </w:r>
      <w:proofErr w:type="spellStart"/>
      <w:r w:rsidRPr="00133E4D">
        <w:rPr>
          <w:rFonts w:ascii="Arial" w:hAnsi="Arial" w:cs="Arial"/>
        </w:rPr>
        <w:t>licence</w:t>
      </w:r>
      <w:proofErr w:type="spellEnd"/>
      <w:r w:rsidRPr="00133E4D">
        <w:rPr>
          <w:rFonts w:ascii="Arial" w:hAnsi="Arial" w:cs="Arial"/>
        </w:rPr>
        <w:t xml:space="preserve"> to operate (Johnson, Scholes and Whittington, 2023).</w:t>
      </w:r>
    </w:p>
    <w:p w14:paraId="41E1FC3C" w14:textId="77777777" w:rsidR="00E14366" w:rsidRPr="00133E4D" w:rsidRDefault="00000000" w:rsidP="00133E4D">
      <w:pPr>
        <w:pStyle w:val="Heading2"/>
        <w:spacing w:line="360" w:lineRule="auto"/>
        <w:rPr>
          <w:rFonts w:ascii="Arial" w:hAnsi="Arial" w:cs="Arial"/>
          <w:sz w:val="22"/>
          <w:szCs w:val="22"/>
        </w:rPr>
      </w:pPr>
      <w:bookmarkStart w:id="23" w:name="_Toc234790831"/>
      <w:r w:rsidRPr="00133E4D">
        <w:rPr>
          <w:rFonts w:ascii="Arial" w:hAnsi="Arial" w:cs="Arial"/>
          <w:sz w:val="22"/>
          <w:szCs w:val="22"/>
        </w:rPr>
        <w:t>6.5 Global Market Access and the Digital Divide</w:t>
      </w:r>
      <w:bookmarkEnd w:id="23"/>
    </w:p>
    <w:p w14:paraId="15966669"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Vodafone Group's strategic exposure extends beyond the UK, with approximately 2.6 billion people globally remaining unconnected to digital services (Vodafone, 2026). The IMF </w:t>
      </w:r>
      <w:r w:rsidRPr="00133E4D">
        <w:rPr>
          <w:rFonts w:ascii="Arial" w:hAnsi="Arial" w:cs="Arial"/>
        </w:rPr>
        <w:lastRenderedPageBreak/>
        <w:t xml:space="preserve">identifies digital access as a fundamental economic development driver, and Vodafone's 'Closing the Digital Divide' strategy frames connectivity as a gateway to financial inclusion, education and healthcare (Vodafone, 2026). However, global market access creates geopolitical complexity at scale: in markets where authoritarian governments require data </w:t>
      </w:r>
      <w:proofErr w:type="spellStart"/>
      <w:r w:rsidRPr="00133E4D">
        <w:rPr>
          <w:rFonts w:ascii="Arial" w:hAnsi="Arial" w:cs="Arial"/>
        </w:rPr>
        <w:t>localisation</w:t>
      </w:r>
      <w:proofErr w:type="spellEnd"/>
      <w:r w:rsidRPr="00133E4D">
        <w:rPr>
          <w:rFonts w:ascii="Arial" w:hAnsi="Arial" w:cs="Arial"/>
        </w:rPr>
        <w:t xml:space="preserve"> or mandatory interception, Vodafone faces tension between commercial presence and European data protection standards (Vodafone AI Framework, n.d.). Competitive pressure from Chinese operators offering infrastructure financing on terms Western operators cannot match remains a strategic challenge with uncertain long-term resolution (Vodafone Annual Report, 2026).</w:t>
      </w:r>
    </w:p>
    <w:p w14:paraId="45E3911A" w14:textId="77777777" w:rsidR="00E14366" w:rsidRPr="00133E4D" w:rsidRDefault="00000000" w:rsidP="00133E4D">
      <w:pPr>
        <w:pStyle w:val="Heading2"/>
        <w:spacing w:line="360" w:lineRule="auto"/>
        <w:rPr>
          <w:rFonts w:ascii="Arial" w:hAnsi="Arial" w:cs="Arial"/>
          <w:sz w:val="22"/>
          <w:szCs w:val="22"/>
        </w:rPr>
      </w:pPr>
      <w:bookmarkStart w:id="24" w:name="_Toc234790832"/>
      <w:r w:rsidRPr="00133E4D">
        <w:rPr>
          <w:rFonts w:ascii="Arial" w:hAnsi="Arial" w:cs="Arial"/>
          <w:sz w:val="22"/>
          <w:szCs w:val="22"/>
        </w:rPr>
        <w:t>6.6 Cybersecurity as Strategic Capability</w:t>
      </w:r>
      <w:bookmarkEnd w:id="24"/>
    </w:p>
    <w:p w14:paraId="46426CCF"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As AI adoption, cloud connectivity and IoT integration deepen across </w:t>
      </w:r>
      <w:proofErr w:type="spellStart"/>
      <w:r w:rsidRPr="00133E4D">
        <w:rPr>
          <w:rFonts w:ascii="Arial" w:hAnsi="Arial" w:cs="Arial"/>
        </w:rPr>
        <w:t>VodafoneThree's</w:t>
      </w:r>
      <w:proofErr w:type="spellEnd"/>
      <w:r w:rsidRPr="00133E4D">
        <w:rPr>
          <w:rFonts w:ascii="Arial" w:hAnsi="Arial" w:cs="Arial"/>
        </w:rPr>
        <w:t xml:space="preserve"> network, cybersecurity transitions from an operational requirement to a core strategic capability. Large-scale </w:t>
      </w:r>
      <w:proofErr w:type="spellStart"/>
      <w:r w:rsidRPr="00133E4D">
        <w:rPr>
          <w:rFonts w:ascii="Arial" w:hAnsi="Arial" w:cs="Arial"/>
        </w:rPr>
        <w:t>cyber attacks</w:t>
      </w:r>
      <w:proofErr w:type="spellEnd"/>
      <w:r w:rsidRPr="00133E4D">
        <w:rPr>
          <w:rFonts w:ascii="Arial" w:hAnsi="Arial" w:cs="Arial"/>
        </w:rPr>
        <w:t xml:space="preserve"> could undermine customer trust, attract substantial regulatory penalties under the UK's NIS Regulations and GDPR, and materially weaken competitive position (Competition and Markets Authority, 2024; Vodafone Group Plc, 2025). The CMA undertakings explicitly include cybersecurity hardening obligations, reflecting regulators' recognition that a merged entity of </w:t>
      </w:r>
      <w:proofErr w:type="spellStart"/>
      <w:r w:rsidRPr="00133E4D">
        <w:rPr>
          <w:rFonts w:ascii="Arial" w:hAnsi="Arial" w:cs="Arial"/>
        </w:rPr>
        <w:t>VodafoneThree's</w:t>
      </w:r>
      <w:proofErr w:type="spellEnd"/>
      <w:r w:rsidRPr="00133E4D">
        <w:rPr>
          <w:rFonts w:ascii="Arial" w:hAnsi="Arial" w:cs="Arial"/>
        </w:rPr>
        <w:t xml:space="preserve"> scale represents an expanded attack surface. Continuous, proactive investment in cyber resilience — encompassing threat intelligence, AI-enabled anomaly detection and supply chain security — constitutes a non-negotiable strategic obligation rather than a discretionary cost. Collectively, these future environment trends demonstrate that </w:t>
      </w:r>
      <w:proofErr w:type="spellStart"/>
      <w:r w:rsidRPr="00133E4D">
        <w:rPr>
          <w:rFonts w:ascii="Arial" w:hAnsi="Arial" w:cs="Arial"/>
        </w:rPr>
        <w:t>VodafoneThree's</w:t>
      </w:r>
      <w:proofErr w:type="spellEnd"/>
      <w:r w:rsidRPr="00133E4D">
        <w:rPr>
          <w:rFonts w:ascii="Arial" w:hAnsi="Arial" w:cs="Arial"/>
        </w:rPr>
        <w:t xml:space="preserve"> long-term success will depend on its ability to adapt dynamically to technological, geopolitical and societal change — an environment in which managerial judgement and strategic flexibility are as important as capital investment.</w:t>
      </w:r>
    </w:p>
    <w:p w14:paraId="45515C6D" w14:textId="77777777" w:rsidR="00E14366" w:rsidRPr="00133E4D" w:rsidRDefault="00000000" w:rsidP="00133E4D">
      <w:pPr>
        <w:pStyle w:val="Heading2"/>
        <w:spacing w:line="360" w:lineRule="auto"/>
        <w:rPr>
          <w:rFonts w:ascii="Arial" w:hAnsi="Arial" w:cs="Arial"/>
          <w:sz w:val="22"/>
          <w:szCs w:val="22"/>
        </w:rPr>
      </w:pPr>
      <w:bookmarkStart w:id="25" w:name="_Toc234790833"/>
      <w:r w:rsidRPr="00133E4D">
        <w:rPr>
          <w:rFonts w:ascii="Arial" w:hAnsi="Arial" w:cs="Arial"/>
          <w:sz w:val="22"/>
          <w:szCs w:val="22"/>
        </w:rPr>
        <w:t>7. Conclusion</w:t>
      </w:r>
      <w:bookmarkEnd w:id="25"/>
    </w:p>
    <w:p w14:paraId="5D539272"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This report has critically evaluated </w:t>
      </w:r>
      <w:proofErr w:type="spellStart"/>
      <w:r w:rsidRPr="00133E4D">
        <w:rPr>
          <w:rFonts w:ascii="Arial" w:hAnsi="Arial" w:cs="Arial"/>
        </w:rPr>
        <w:t>VodafoneThree's</w:t>
      </w:r>
      <w:proofErr w:type="spellEnd"/>
      <w:r w:rsidRPr="00133E4D">
        <w:rPr>
          <w:rFonts w:ascii="Arial" w:hAnsi="Arial" w:cs="Arial"/>
        </w:rPr>
        <w:t xml:space="preserve"> strategic position following the Vodafone UK–Three UK merger of 31 May 2025, applying PESTEL, Porter's Five Forces, VRIO, SWOT, TOWS and SFA frameworks.</w:t>
      </w:r>
    </w:p>
    <w:p w14:paraId="6A25F8E0"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Technology-led service differentiation is recommended as </w:t>
      </w:r>
      <w:proofErr w:type="spellStart"/>
      <w:r w:rsidRPr="00133E4D">
        <w:rPr>
          <w:rFonts w:ascii="Arial" w:hAnsi="Arial" w:cs="Arial"/>
        </w:rPr>
        <w:t>VodafoneThree's</w:t>
      </w:r>
      <w:proofErr w:type="spellEnd"/>
      <w:r w:rsidRPr="00133E4D">
        <w:rPr>
          <w:rFonts w:ascii="Arial" w:hAnsi="Arial" w:cs="Arial"/>
        </w:rPr>
        <w:t xml:space="preserve"> core strategic direction, offering the strongest alignment with the company's spectrum assets, £11 billion investment commitment, AI capabilities and stakeholder obligations. SFA analysis confirms the strategy is suitable, feasible and broadly acceptable, subject to disciplined integration </w:t>
      </w:r>
      <w:r w:rsidRPr="00133E4D">
        <w:rPr>
          <w:rFonts w:ascii="Arial" w:hAnsi="Arial" w:cs="Arial"/>
        </w:rPr>
        <w:lastRenderedPageBreak/>
        <w:t>management and clear stakeholder communication regarding the long-term investment rationale.</w:t>
      </w:r>
    </w:p>
    <w:p w14:paraId="4DC9A4EE"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critical analysis in Section 6 reveals that </w:t>
      </w:r>
      <w:proofErr w:type="spellStart"/>
      <w:r w:rsidRPr="00133E4D">
        <w:rPr>
          <w:rFonts w:ascii="Arial" w:hAnsi="Arial" w:cs="Arial"/>
        </w:rPr>
        <w:t>VodafoneThree's</w:t>
      </w:r>
      <w:proofErr w:type="spellEnd"/>
      <w:r w:rsidRPr="00133E4D">
        <w:rPr>
          <w:rFonts w:ascii="Arial" w:hAnsi="Arial" w:cs="Arial"/>
        </w:rPr>
        <w:t xml:space="preserve"> long-term challenges extend well beyond the integration agenda. Full Vodafone ownership strengthens the national security position, but AI deployment simultaneously drives differentiation and workforce disruption requiring active management. An ageing population represents both social obligation and commercial opportunity. The automation–employment tension demands genuine human capital investment, and global digital market access remains inseparable from geopolitical complexity.</w:t>
      </w:r>
    </w:p>
    <w:p w14:paraId="4BC92C75"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Ultimately, sustainable competitive advantage will depend on </w:t>
      </w:r>
      <w:proofErr w:type="spellStart"/>
      <w:r w:rsidRPr="00133E4D">
        <w:rPr>
          <w:rFonts w:ascii="Arial" w:hAnsi="Arial" w:cs="Arial"/>
        </w:rPr>
        <w:t>VodafoneThree's</w:t>
      </w:r>
      <w:proofErr w:type="spellEnd"/>
      <w:r w:rsidRPr="00133E4D">
        <w:rPr>
          <w:rFonts w:ascii="Arial" w:hAnsi="Arial" w:cs="Arial"/>
        </w:rPr>
        <w:t xml:space="preserve"> ability to transform its enlarged resource base into long-term customer value through responsible innovation, effective stakeholder management and continuous strategic adaptation — an environment where strategic flexibility may prove as decisive as capital investment (Johnson, Scholes and Whittington, 2023; Freeman, 1984; Carroll, 1991).</w:t>
      </w:r>
    </w:p>
    <w:p w14:paraId="5019BEEB" w14:textId="77777777" w:rsidR="00E14366" w:rsidRPr="00133E4D" w:rsidRDefault="00000000" w:rsidP="00133E4D">
      <w:pPr>
        <w:pStyle w:val="Heading2"/>
        <w:spacing w:line="360" w:lineRule="auto"/>
        <w:rPr>
          <w:rFonts w:ascii="Arial" w:hAnsi="Arial" w:cs="Arial"/>
          <w:sz w:val="22"/>
          <w:szCs w:val="22"/>
        </w:rPr>
      </w:pPr>
      <w:bookmarkStart w:id="26" w:name="_Toc234790834"/>
      <w:r w:rsidRPr="00133E4D">
        <w:rPr>
          <w:rFonts w:ascii="Arial" w:hAnsi="Arial" w:cs="Arial"/>
          <w:sz w:val="22"/>
          <w:szCs w:val="22"/>
        </w:rPr>
        <w:t>References</w:t>
      </w:r>
      <w:bookmarkEnd w:id="26"/>
    </w:p>
    <w:p w14:paraId="5307FB56"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Analysys Mason (2025) ‘Vodafone: enterprise AI services’. Available at: </w:t>
      </w:r>
      <w:r w:rsidRPr="00133E4D">
        <w:rPr>
          <w:rFonts w:ascii="Arial" w:hAnsi="Arial" w:cs="Arial"/>
          <w:sz w:val="22"/>
          <w:szCs w:val="22"/>
        </w:rPr>
        <w:fldChar w:fldCharType="begin"/>
      </w:r>
      <w:r w:rsidRPr="00133E4D">
        <w:rPr>
          <w:rFonts w:ascii="Arial" w:hAnsi="Arial" w:cs="Arial"/>
          <w:sz w:val="22"/>
          <w:szCs w:val="22"/>
        </w:rPr>
        <w:instrText>HYPERLINK "https://www.analysysmason.com/research/content/company-profiles/vodafone-enterprise-ai-ren01-rma14/"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https://www.analysysmason.com/research/content/company-profiles/vodafone-enterprise-ai-ren01-rma14/</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7441FA9D"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Ansoff, H.I. (1957) ‘Strategies for Diversification’, </w:t>
      </w:r>
      <w:r w:rsidRPr="00133E4D">
        <w:rPr>
          <w:rStyle w:val="Emphasis"/>
          <w:rFonts w:ascii="Arial" w:hAnsi="Arial" w:cs="Arial"/>
          <w:i w:val="0"/>
          <w:iCs w:val="0"/>
          <w:sz w:val="22"/>
          <w:szCs w:val="22"/>
        </w:rPr>
        <w:t>Harvard Business Review</w:t>
      </w:r>
      <w:r w:rsidRPr="00133E4D">
        <w:rPr>
          <w:rFonts w:ascii="Arial" w:hAnsi="Arial" w:cs="Arial"/>
          <w:sz w:val="22"/>
          <w:szCs w:val="22"/>
        </w:rPr>
        <w:t>, 35(5), pp. 113–124.</w:t>
      </w:r>
    </w:p>
    <w:p w14:paraId="22385A37"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Barney, J. (1991) ‘Firm Resources and Sustained Competitive Advantage’, </w:t>
      </w:r>
      <w:r w:rsidRPr="00133E4D">
        <w:rPr>
          <w:rStyle w:val="Emphasis"/>
          <w:rFonts w:ascii="Arial" w:hAnsi="Arial" w:cs="Arial"/>
          <w:i w:val="0"/>
          <w:iCs w:val="0"/>
          <w:sz w:val="22"/>
          <w:szCs w:val="22"/>
        </w:rPr>
        <w:t>Journal of Management</w:t>
      </w:r>
      <w:r w:rsidRPr="00133E4D">
        <w:rPr>
          <w:rFonts w:ascii="Arial" w:hAnsi="Arial" w:cs="Arial"/>
          <w:sz w:val="22"/>
          <w:szCs w:val="22"/>
        </w:rPr>
        <w:t>, 17(1), pp. 99–120.</w:t>
      </w:r>
    </w:p>
    <w:p w14:paraId="66E9A926"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BBC (2023) ‘BT to cut 55,000 jobs with up to a fifth replaced by AI’. Available at: </w:t>
      </w:r>
      <w:r w:rsidRPr="00133E4D">
        <w:rPr>
          <w:rFonts w:ascii="Arial" w:hAnsi="Arial" w:cs="Arial"/>
          <w:sz w:val="22"/>
          <w:szCs w:val="22"/>
        </w:rPr>
        <w:fldChar w:fldCharType="begin"/>
      </w:r>
      <w:r w:rsidRPr="00133E4D">
        <w:rPr>
          <w:rFonts w:ascii="Arial" w:hAnsi="Arial" w:cs="Arial"/>
          <w:sz w:val="22"/>
          <w:szCs w:val="22"/>
        </w:rPr>
        <w:instrText>HYPERLINK "https://www.bbc.com/news/business-65631168"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https://www.bbc.com/news/business-65631168</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2D0B0759"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Carroll, A.B. (1991) ‘The Pyramid of Corporate Social Responsibility: Toward the Moral Management of Organisational Stakeholders’, </w:t>
      </w:r>
      <w:r w:rsidRPr="00133E4D">
        <w:rPr>
          <w:rStyle w:val="Emphasis"/>
          <w:rFonts w:ascii="Arial" w:hAnsi="Arial" w:cs="Arial"/>
          <w:i w:val="0"/>
          <w:iCs w:val="0"/>
          <w:sz w:val="22"/>
          <w:szCs w:val="22"/>
        </w:rPr>
        <w:t>Business Horizons</w:t>
      </w:r>
      <w:r w:rsidRPr="00133E4D">
        <w:rPr>
          <w:rFonts w:ascii="Arial" w:hAnsi="Arial" w:cs="Arial"/>
          <w:sz w:val="22"/>
          <w:szCs w:val="22"/>
        </w:rPr>
        <w:t>, 34(4), pp. 39–48.</w:t>
      </w:r>
    </w:p>
    <w:p w14:paraId="1B25B46E"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China Strategic Risks Institute (2023) ‘Briefing Note on Proposed Merger Between Vodafone and Three’. Available at: </w:t>
      </w:r>
      <w:r w:rsidRPr="00133E4D">
        <w:rPr>
          <w:rFonts w:ascii="Arial" w:hAnsi="Arial" w:cs="Arial"/>
          <w:sz w:val="22"/>
          <w:szCs w:val="22"/>
        </w:rPr>
        <w:fldChar w:fldCharType="begin"/>
      </w:r>
      <w:r w:rsidRPr="00133E4D">
        <w:rPr>
          <w:rFonts w:ascii="Arial" w:hAnsi="Arial" w:cs="Arial"/>
          <w:sz w:val="22"/>
          <w:szCs w:val="22"/>
        </w:rPr>
        <w:instrText>HYPERLINK "https://www.csri.global/research/briefing-note-on-proposed-merger-between-vodafone-and-three"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https://www.csri.global/research/briefing-note-on-proposed-merger-between-vodafone-and-three</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1087A44C"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lastRenderedPageBreak/>
        <w:t xml:space="preserve">Competition and Markets Authority (2024) ‘Vodafone UK / Three UK Merger Inquiry’. Available at: </w:t>
      </w:r>
      <w:r w:rsidRPr="00133E4D">
        <w:rPr>
          <w:rFonts w:ascii="Arial" w:hAnsi="Arial" w:cs="Arial"/>
          <w:sz w:val="22"/>
          <w:szCs w:val="22"/>
        </w:rPr>
        <w:fldChar w:fldCharType="begin"/>
      </w:r>
      <w:r w:rsidRPr="00133E4D">
        <w:rPr>
          <w:rFonts w:ascii="Arial" w:hAnsi="Arial" w:cs="Arial"/>
          <w:sz w:val="22"/>
          <w:szCs w:val="22"/>
        </w:rPr>
        <w:instrText>HYPERLINK "https://www.gov.uk/cma"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https://www.gov.uk/cma</w:t>
      </w:r>
      <w:r w:rsidRPr="00133E4D">
        <w:rPr>
          <w:rFonts w:ascii="Arial" w:hAnsi="Arial" w:cs="Arial"/>
          <w:sz w:val="22"/>
          <w:szCs w:val="22"/>
        </w:rPr>
        <w:fldChar w:fldCharType="end"/>
      </w:r>
      <w:r w:rsidRPr="00133E4D">
        <w:rPr>
          <w:rFonts w:ascii="Arial" w:hAnsi="Arial" w:cs="Arial"/>
          <w:sz w:val="22"/>
          <w:szCs w:val="22"/>
        </w:rPr>
        <w:t xml:space="preserve"> (Accessed: 10 July 2026).</w:t>
      </w:r>
    </w:p>
    <w:p w14:paraId="3EB6C443"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Freeman, R.E. (1984) </w:t>
      </w:r>
      <w:r w:rsidRPr="00133E4D">
        <w:rPr>
          <w:rStyle w:val="Emphasis"/>
          <w:rFonts w:ascii="Arial" w:hAnsi="Arial" w:cs="Arial"/>
          <w:i w:val="0"/>
          <w:iCs w:val="0"/>
          <w:sz w:val="22"/>
          <w:szCs w:val="22"/>
        </w:rPr>
        <w:t>Strategic Management: A Stakeholder Approach</w:t>
      </w:r>
      <w:r w:rsidRPr="00133E4D">
        <w:rPr>
          <w:rFonts w:ascii="Arial" w:hAnsi="Arial" w:cs="Arial"/>
          <w:sz w:val="22"/>
          <w:szCs w:val="22"/>
        </w:rPr>
        <w:t>. Boston: Pitman.</w:t>
      </w:r>
    </w:p>
    <w:p w14:paraId="04941137"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Futurenet World (2026) ‘Achieving Vodafone's ambition to become the most efficient telco’. Available at: </w:t>
      </w:r>
      <w:r w:rsidRPr="00133E4D">
        <w:rPr>
          <w:rFonts w:ascii="Arial" w:hAnsi="Arial" w:cs="Arial"/>
          <w:sz w:val="22"/>
          <w:szCs w:val="22"/>
        </w:rPr>
        <w:fldChar w:fldCharType="begin"/>
      </w:r>
      <w:r w:rsidRPr="00133E4D">
        <w:rPr>
          <w:rFonts w:ascii="Arial" w:hAnsi="Arial" w:cs="Arial"/>
          <w:sz w:val="22"/>
          <w:szCs w:val="22"/>
        </w:rPr>
        <w:instrText>HYPERLINK "https://futurenetworld.net/achieving-vodafones-ambition-to-become-the-most-efficient-telco/2026/01/"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https://futurenetworld.net/achieving-vodafones-ambition-to-become-the-most-efficient-telco/2026/01/</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3F651A69"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IT Brief (2025) ‘AI agents set to replace thousands of UK jobs by end of 2026’. Available at: </w:t>
      </w:r>
      <w:r w:rsidRPr="00133E4D">
        <w:rPr>
          <w:rFonts w:ascii="Arial" w:hAnsi="Arial" w:cs="Arial"/>
          <w:sz w:val="22"/>
          <w:szCs w:val="22"/>
        </w:rPr>
        <w:fldChar w:fldCharType="begin"/>
      </w:r>
      <w:r w:rsidRPr="00133E4D">
        <w:rPr>
          <w:rFonts w:ascii="Arial" w:hAnsi="Arial" w:cs="Arial"/>
          <w:sz w:val="22"/>
          <w:szCs w:val="22"/>
        </w:rPr>
        <w:instrText>HYPERLINK "https://itbrief.co.uk/story/ai-agents-set-to-replace-thousands-of-uk-jobs-by-end-of-2026"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https://itbrief.co.uk/story/ai-agents-set-to-replace-thousands-of-uk-jobs-by-end-of-2026</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24B30729"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Johnson, G., Scholes, K. and Whittington, R. (2023) </w:t>
      </w:r>
      <w:r w:rsidRPr="00133E4D">
        <w:rPr>
          <w:rStyle w:val="Emphasis"/>
          <w:rFonts w:ascii="Arial" w:hAnsi="Arial" w:cs="Arial"/>
          <w:i w:val="0"/>
          <w:iCs w:val="0"/>
          <w:sz w:val="22"/>
          <w:szCs w:val="22"/>
        </w:rPr>
        <w:t>Exploring Strategy</w:t>
      </w:r>
      <w:r w:rsidRPr="00133E4D">
        <w:rPr>
          <w:rFonts w:ascii="Arial" w:hAnsi="Arial" w:cs="Arial"/>
          <w:sz w:val="22"/>
          <w:szCs w:val="22"/>
        </w:rPr>
        <w:t>. 13th edn. Harlow: Pearson.</w:t>
      </w:r>
    </w:p>
    <w:p w14:paraId="032681A5"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Kaplan, R.S. and Norton, D.P. (1996) </w:t>
      </w:r>
      <w:r w:rsidRPr="00133E4D">
        <w:rPr>
          <w:rStyle w:val="Emphasis"/>
          <w:rFonts w:ascii="Arial" w:hAnsi="Arial" w:cs="Arial"/>
          <w:i w:val="0"/>
          <w:iCs w:val="0"/>
          <w:sz w:val="22"/>
          <w:szCs w:val="22"/>
        </w:rPr>
        <w:t>The Balanced Scorecard: Translating Strategy into Action</w:t>
      </w:r>
      <w:r w:rsidRPr="00133E4D">
        <w:rPr>
          <w:rFonts w:ascii="Arial" w:hAnsi="Arial" w:cs="Arial"/>
          <w:sz w:val="22"/>
          <w:szCs w:val="22"/>
        </w:rPr>
        <w:t>. Boston: Harvard Business School Press.</w:t>
      </w:r>
    </w:p>
    <w:p w14:paraId="774850EF"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Mendelow, A.L. (1991) ‘Environmental Scanning: The Impact of the Stakeholder Concept’, </w:t>
      </w:r>
      <w:r w:rsidRPr="00133E4D">
        <w:rPr>
          <w:rStyle w:val="Emphasis"/>
          <w:rFonts w:ascii="Arial" w:hAnsi="Arial" w:cs="Arial"/>
          <w:i w:val="0"/>
          <w:iCs w:val="0"/>
          <w:sz w:val="22"/>
          <w:szCs w:val="22"/>
        </w:rPr>
        <w:t>Proceedings of the Second International Conference on Information Systems</w:t>
      </w:r>
      <w:r w:rsidRPr="00133E4D">
        <w:rPr>
          <w:rFonts w:ascii="Arial" w:hAnsi="Arial" w:cs="Arial"/>
          <w:sz w:val="22"/>
          <w:szCs w:val="22"/>
        </w:rPr>
        <w:t>. Cambridge, MA.</w:t>
      </w:r>
    </w:p>
    <w:p w14:paraId="2C55D14C"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Mobile Europe (2026) ‘Telco headcount keeps shrinking, but layoffs fail to deliver a silver bullet’. Available at: </w:t>
      </w:r>
      <w:r w:rsidRPr="00133E4D">
        <w:rPr>
          <w:rFonts w:ascii="Arial" w:hAnsi="Arial" w:cs="Arial"/>
          <w:sz w:val="22"/>
          <w:szCs w:val="22"/>
        </w:rPr>
        <w:fldChar w:fldCharType="begin"/>
      </w:r>
      <w:r w:rsidRPr="00133E4D">
        <w:rPr>
          <w:rFonts w:ascii="Arial" w:hAnsi="Arial" w:cs="Arial"/>
          <w:sz w:val="22"/>
          <w:szCs w:val="22"/>
        </w:rPr>
        <w:instrText>HYPERLINK "https://www.mobileeurope.co.uk/telco-headcount-keeps-shrinking-but-layoffs-fail-to-deliver-a-silver-bullet/"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https://www.mobileeurope.co.uk/telco-headcount-keeps-shrinking-but-layoffs-fail-to-deliver-a-silver-bullet/</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734B0D60"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Ofcom (2024) </w:t>
      </w:r>
      <w:r w:rsidRPr="00133E4D">
        <w:rPr>
          <w:rStyle w:val="Emphasis"/>
          <w:rFonts w:ascii="Arial" w:hAnsi="Arial" w:cs="Arial"/>
          <w:i w:val="0"/>
          <w:iCs w:val="0"/>
          <w:sz w:val="22"/>
          <w:szCs w:val="22"/>
        </w:rPr>
        <w:t>Connected Nations UK Report</w:t>
      </w:r>
      <w:r w:rsidRPr="00133E4D">
        <w:rPr>
          <w:rFonts w:ascii="Arial" w:hAnsi="Arial" w:cs="Arial"/>
          <w:sz w:val="22"/>
          <w:szCs w:val="22"/>
        </w:rPr>
        <w:t xml:space="preserve">. Available at: </w:t>
      </w:r>
      <w:r w:rsidRPr="00133E4D">
        <w:rPr>
          <w:rFonts w:ascii="Arial" w:hAnsi="Arial" w:cs="Arial"/>
          <w:sz w:val="22"/>
          <w:szCs w:val="22"/>
        </w:rPr>
        <w:fldChar w:fldCharType="begin"/>
      </w:r>
      <w:r w:rsidRPr="00133E4D">
        <w:rPr>
          <w:rFonts w:ascii="Arial" w:hAnsi="Arial" w:cs="Arial"/>
          <w:sz w:val="22"/>
          <w:szCs w:val="22"/>
        </w:rPr>
        <w:instrText>HYPERLINK "https://www.ofcom.org.uk"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https://www.ofcom.org.uk</w:t>
      </w:r>
      <w:r w:rsidRPr="00133E4D">
        <w:rPr>
          <w:rFonts w:ascii="Arial" w:hAnsi="Arial" w:cs="Arial"/>
          <w:sz w:val="22"/>
          <w:szCs w:val="22"/>
        </w:rPr>
        <w:fldChar w:fldCharType="end"/>
      </w:r>
      <w:r w:rsidRPr="00133E4D">
        <w:rPr>
          <w:rFonts w:ascii="Arial" w:hAnsi="Arial" w:cs="Arial"/>
          <w:sz w:val="22"/>
          <w:szCs w:val="22"/>
        </w:rPr>
        <w:t xml:space="preserve"> (Accessed: 10 July 2026).</w:t>
      </w:r>
    </w:p>
    <w:p w14:paraId="214D01A1"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Porter, M.E. (1980) </w:t>
      </w:r>
      <w:r w:rsidRPr="00133E4D">
        <w:rPr>
          <w:rStyle w:val="Emphasis"/>
          <w:rFonts w:ascii="Arial" w:hAnsi="Arial" w:cs="Arial"/>
          <w:i w:val="0"/>
          <w:iCs w:val="0"/>
          <w:sz w:val="22"/>
          <w:szCs w:val="22"/>
        </w:rPr>
        <w:t>Competitive Strategy: Techniques for Analysing Industries and Competitors</w:t>
      </w:r>
      <w:r w:rsidRPr="00133E4D">
        <w:rPr>
          <w:rFonts w:ascii="Arial" w:hAnsi="Arial" w:cs="Arial"/>
          <w:sz w:val="22"/>
          <w:szCs w:val="22"/>
        </w:rPr>
        <w:t>. New York: Free Press.</w:t>
      </w:r>
    </w:p>
    <w:p w14:paraId="22444ABE"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Porter, M.E. (1985) </w:t>
      </w:r>
      <w:r w:rsidRPr="00133E4D">
        <w:rPr>
          <w:rStyle w:val="Emphasis"/>
          <w:rFonts w:ascii="Arial" w:hAnsi="Arial" w:cs="Arial"/>
          <w:i w:val="0"/>
          <w:iCs w:val="0"/>
          <w:sz w:val="22"/>
          <w:szCs w:val="22"/>
        </w:rPr>
        <w:t>Competitive Advantage: Creating and Sustaining Superior Performance</w:t>
      </w:r>
      <w:r w:rsidRPr="00133E4D">
        <w:rPr>
          <w:rFonts w:ascii="Arial" w:hAnsi="Arial" w:cs="Arial"/>
          <w:sz w:val="22"/>
          <w:szCs w:val="22"/>
        </w:rPr>
        <w:t>. New York: Free Press.</w:t>
      </w:r>
    </w:p>
    <w:p w14:paraId="30F418EA"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lastRenderedPageBreak/>
        <w:t xml:space="preserve">Reuters (2026) ‘Vodafone buys out UK mobile partner CK Hutchison in $5.8 billion deal’. Available at: </w:t>
      </w:r>
      <w:r w:rsidRPr="00133E4D">
        <w:rPr>
          <w:rFonts w:ascii="Arial" w:hAnsi="Arial" w:cs="Arial"/>
          <w:sz w:val="22"/>
          <w:szCs w:val="22"/>
        </w:rPr>
        <w:fldChar w:fldCharType="begin"/>
      </w:r>
      <w:r w:rsidRPr="00133E4D">
        <w:rPr>
          <w:rFonts w:ascii="Arial" w:hAnsi="Arial" w:cs="Arial"/>
          <w:sz w:val="22"/>
          <w:szCs w:val="22"/>
        </w:rPr>
        <w:instrText>HYPERLINK "https://www.reuters.com/business/ck-hutchison-unit-exit-vodafonethree-stake-581-billion-2026-05-05/"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https://www.reuters.com/business/ck-hutchison-unit-exit-vodafonethree-stake-581-billion-2026-05-05/</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1F6CA433"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RootMetrics (2025) </w:t>
      </w:r>
      <w:r w:rsidRPr="00133E4D">
        <w:rPr>
          <w:rStyle w:val="Emphasis"/>
          <w:rFonts w:ascii="Arial" w:hAnsi="Arial" w:cs="Arial"/>
          <w:i w:val="0"/>
          <w:iCs w:val="0"/>
          <w:sz w:val="22"/>
          <w:szCs w:val="22"/>
        </w:rPr>
        <w:t>UK RootScore Report</w:t>
      </w:r>
      <w:r w:rsidRPr="00133E4D">
        <w:rPr>
          <w:rFonts w:ascii="Arial" w:hAnsi="Arial" w:cs="Arial"/>
          <w:sz w:val="22"/>
          <w:szCs w:val="22"/>
        </w:rPr>
        <w:t xml:space="preserve">. Available at: </w:t>
      </w:r>
      <w:r w:rsidRPr="00133E4D">
        <w:rPr>
          <w:rFonts w:ascii="Arial" w:hAnsi="Arial" w:cs="Arial"/>
          <w:sz w:val="22"/>
          <w:szCs w:val="22"/>
        </w:rPr>
        <w:fldChar w:fldCharType="begin"/>
      </w:r>
      <w:r w:rsidRPr="00133E4D">
        <w:rPr>
          <w:rFonts w:ascii="Arial" w:hAnsi="Arial" w:cs="Arial"/>
          <w:sz w:val="22"/>
          <w:szCs w:val="22"/>
        </w:rPr>
        <w:instrText>HYPERLINK "https://www.rootmetrics.com"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https://www.rootmetrics.com</w:t>
      </w:r>
      <w:r w:rsidRPr="00133E4D">
        <w:rPr>
          <w:rFonts w:ascii="Arial" w:hAnsi="Arial" w:cs="Arial"/>
          <w:sz w:val="22"/>
          <w:szCs w:val="22"/>
        </w:rPr>
        <w:fldChar w:fldCharType="end"/>
      </w:r>
      <w:r w:rsidRPr="00133E4D">
        <w:rPr>
          <w:rFonts w:ascii="Arial" w:hAnsi="Arial" w:cs="Arial"/>
          <w:sz w:val="22"/>
          <w:szCs w:val="22"/>
        </w:rPr>
        <w:t xml:space="preserve"> (Accessed: 10 July 2026).</w:t>
      </w:r>
    </w:p>
    <w:p w14:paraId="25E3EE2E"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The Guardian (2025) ‘Number of new UK entry-level jobs has dived since ChatGPT launch’. Available at: </w:t>
      </w:r>
      <w:r w:rsidRPr="00133E4D">
        <w:rPr>
          <w:rFonts w:ascii="Arial" w:hAnsi="Arial" w:cs="Arial"/>
          <w:sz w:val="22"/>
          <w:szCs w:val="22"/>
        </w:rPr>
        <w:fldChar w:fldCharType="begin"/>
      </w:r>
      <w:r w:rsidRPr="00133E4D">
        <w:rPr>
          <w:rFonts w:ascii="Arial" w:hAnsi="Arial" w:cs="Arial"/>
          <w:sz w:val="22"/>
          <w:szCs w:val="22"/>
        </w:rPr>
        <w:instrText>HYPERLINK "https://www.theguardian.com/business/2025/jun/30/uk-entry-level-jobs-chatgpt-launch-adzuna"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https://www.theguardian.com/business/2025/jun/30/uk-entry-level-jobs-chatgpt-launch-adzuna</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34351049"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The Guardian (2026) ‘UK services sector job cuts continue as companies automate, PMI survey shows’. Available at: </w:t>
      </w:r>
      <w:r w:rsidRPr="00133E4D">
        <w:rPr>
          <w:rFonts w:ascii="Arial" w:hAnsi="Arial" w:cs="Arial"/>
          <w:sz w:val="22"/>
          <w:szCs w:val="22"/>
        </w:rPr>
        <w:fldChar w:fldCharType="begin"/>
      </w:r>
      <w:r w:rsidRPr="00133E4D">
        <w:rPr>
          <w:rFonts w:ascii="Arial" w:hAnsi="Arial" w:cs="Arial"/>
          <w:sz w:val="22"/>
          <w:szCs w:val="22"/>
        </w:rPr>
        <w:instrText>HYPERLINK "https://www.theguardian.com/business/2026/feb/04/uk-service-sector-job-cuts-companies-automate-pmi-survey"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https://www.theguardian.com/business/2026/feb/04/uk-service-sector-job-cuts-companies-automate-pmi-survey</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72BE957C"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The Telegraph (2022) ‘Vodafone merger talks with Chinese-owned rival trigger alarm over undersea cables’. Available at: </w:t>
      </w:r>
      <w:r w:rsidRPr="00133E4D">
        <w:rPr>
          <w:rFonts w:ascii="Arial" w:hAnsi="Arial" w:cs="Arial"/>
          <w:sz w:val="22"/>
          <w:szCs w:val="22"/>
        </w:rPr>
        <w:fldChar w:fldCharType="begin"/>
      </w:r>
      <w:r w:rsidRPr="00133E4D">
        <w:rPr>
          <w:rFonts w:ascii="Arial" w:hAnsi="Arial" w:cs="Arial"/>
          <w:sz w:val="22"/>
          <w:szCs w:val="22"/>
        </w:rPr>
        <w:instrText>HYPERLINK "https://www.telegraph.co.uk/business/2022/10/03/vodafone-merger-talks-chinese-owned-rival-trigger-alarm-undersea/"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https://www.telegraph.co.uk/business/2022/10/03/vodafone-merger-talks-chinese-owned-rival-trigger-alarm-undersea/</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1479B581"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The Telegraph (2026) ‘Hong Kong billionaire to offload £4.3bn Vodafone stake’. Available at: </w:t>
      </w:r>
      <w:r w:rsidRPr="00133E4D">
        <w:rPr>
          <w:rFonts w:ascii="Arial" w:hAnsi="Arial" w:cs="Arial"/>
          <w:sz w:val="22"/>
          <w:szCs w:val="22"/>
        </w:rPr>
        <w:fldChar w:fldCharType="begin"/>
      </w:r>
      <w:r w:rsidRPr="00133E4D">
        <w:rPr>
          <w:rFonts w:ascii="Arial" w:hAnsi="Arial" w:cs="Arial"/>
          <w:sz w:val="22"/>
          <w:szCs w:val="22"/>
        </w:rPr>
        <w:instrText>HYPERLINK "https://www.telegraph.co.uk/business/2026/05/05/hong-kong-billionaire-offloads-43bn-vodafone-stake/"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https://www.telegraph.co.uk/business/2026/05/05/hong-kong-billionaire-offloads-43bn-vodafone-stake/</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1C34C84B"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UK Government (2024) ‘Merger between Hutchison 3G UK Holdings Limited and Vodafone Limited: Notice of Final Order’. Available at: https://www.gov.uk/government/publications/merger-between-hutchison-3g-uk-holdings-limited-and-vodafone-limited-notice-of-final- (Accessed: 11 July 2026).</w:t>
      </w:r>
    </w:p>
    <w:p w14:paraId="2FF4A217"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UK Parliament (2023) ‘Three and Vodafone: Potential Merger’, </w:t>
      </w:r>
      <w:r w:rsidRPr="00133E4D">
        <w:rPr>
          <w:rStyle w:val="Emphasis"/>
          <w:rFonts w:ascii="Arial" w:hAnsi="Arial" w:cs="Arial"/>
          <w:i w:val="0"/>
          <w:iCs w:val="0"/>
          <w:sz w:val="22"/>
          <w:szCs w:val="22"/>
        </w:rPr>
        <w:t>Hansard</w:t>
      </w:r>
      <w:r w:rsidRPr="00133E4D">
        <w:rPr>
          <w:rFonts w:ascii="Arial" w:hAnsi="Arial" w:cs="Arial"/>
          <w:sz w:val="22"/>
          <w:szCs w:val="22"/>
        </w:rPr>
        <w:t xml:space="preserve">, 14 December 2023. Available at: </w:t>
      </w:r>
      <w:r w:rsidRPr="00133E4D">
        <w:rPr>
          <w:rFonts w:ascii="Arial" w:hAnsi="Arial" w:cs="Arial"/>
          <w:sz w:val="22"/>
          <w:szCs w:val="22"/>
        </w:rPr>
        <w:fldChar w:fldCharType="begin"/>
      </w:r>
      <w:r w:rsidRPr="00133E4D">
        <w:rPr>
          <w:rFonts w:ascii="Arial" w:hAnsi="Arial" w:cs="Arial"/>
          <w:sz w:val="22"/>
          <w:szCs w:val="22"/>
        </w:rPr>
        <w:instrText>HYPERLINK "https://hansard.parliament.uk/commons/2023-12-14/debates/49799BEC-25D0-4F7A-B6FF-C50AA5C28746/ThreeAndVodafonePotentialMerger"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https://hansard.parliament.uk/commons/2023-12-14/debates/49799BEC-25D0-4F7A-B6FF-C50AA5C28746/ThreeAndVodafonePotentialMerger</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56FB12B6"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(2026) </w:t>
      </w:r>
      <w:r w:rsidRPr="00133E4D">
        <w:rPr>
          <w:rStyle w:val="Emphasis"/>
          <w:rFonts w:ascii="Arial" w:hAnsi="Arial" w:cs="Arial"/>
          <w:i w:val="0"/>
          <w:iCs w:val="0"/>
          <w:sz w:val="22"/>
          <w:szCs w:val="22"/>
        </w:rPr>
        <w:t>Connecting Futures</w:t>
      </w:r>
      <w:r w:rsidRPr="00133E4D">
        <w:rPr>
          <w:rFonts w:ascii="Arial" w:hAnsi="Arial" w:cs="Arial"/>
          <w:sz w:val="22"/>
          <w:szCs w:val="22"/>
        </w:rPr>
        <w:t xml:space="preserve">. Available at: </w:t>
      </w:r>
      <w:r w:rsidRPr="00133E4D">
        <w:rPr>
          <w:rFonts w:ascii="Arial" w:hAnsi="Arial" w:cs="Arial"/>
          <w:sz w:val="22"/>
          <w:szCs w:val="22"/>
        </w:rPr>
        <w:fldChar w:fldCharType="begin"/>
      </w:r>
      <w:r w:rsidRPr="00133E4D">
        <w:rPr>
          <w:rFonts w:ascii="Arial" w:hAnsi="Arial" w:cs="Arial"/>
          <w:sz w:val="22"/>
          <w:szCs w:val="22"/>
        </w:rPr>
        <w:instrText>HYPERLINK "https://www.vodafone.com/everyone-connected/connecting-futures"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https://www.vodafone.com/everyone-connected/connecting-futures</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7909BF75"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lastRenderedPageBreak/>
        <w:t xml:space="preserve">Vodafone AI Framework (n.d.) </w:t>
      </w:r>
      <w:r w:rsidRPr="00133E4D">
        <w:rPr>
          <w:rStyle w:val="Emphasis"/>
          <w:rFonts w:ascii="Arial" w:hAnsi="Arial" w:cs="Arial"/>
          <w:i w:val="0"/>
          <w:iCs w:val="0"/>
          <w:sz w:val="22"/>
          <w:szCs w:val="22"/>
        </w:rPr>
        <w:t>Artificial Intelligence Framework</w:t>
      </w:r>
      <w:r w:rsidRPr="00133E4D">
        <w:rPr>
          <w:rFonts w:ascii="Arial" w:hAnsi="Arial" w:cs="Arial"/>
          <w:sz w:val="22"/>
          <w:szCs w:val="22"/>
        </w:rPr>
        <w:t xml:space="preserve">. Available at: </w:t>
      </w:r>
      <w:r w:rsidRPr="00133E4D">
        <w:rPr>
          <w:rFonts w:ascii="Arial" w:hAnsi="Arial" w:cs="Arial"/>
          <w:sz w:val="22"/>
          <w:szCs w:val="22"/>
        </w:rPr>
        <w:fldChar w:fldCharType="begin"/>
      </w:r>
      <w:r w:rsidRPr="00133E4D">
        <w:rPr>
          <w:rFonts w:ascii="Arial" w:hAnsi="Arial" w:cs="Arial"/>
          <w:sz w:val="22"/>
          <w:szCs w:val="22"/>
        </w:rPr>
        <w:instrText>HYPERLINK "https://assets.ctfassets.net/q7ob9vms4z5k/4NLJR3itQA69Zj2DAEfSXm/3e21d4b0267065e208e76c0fe65ec5ce/vodafone-artificial-intelligence-framework.pdf"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https://assets.ctfassets.net/q7ob9vms4z5k/4NLJR3itQA69Zj2DAEfSXm/3e21d4b0267065e208e76c0fe65ec5ce/vodafone-artificial-intelligence-framework.pdf</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0602E890"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Annual Report (2026) </w:t>
      </w:r>
      <w:r w:rsidRPr="00133E4D">
        <w:rPr>
          <w:rStyle w:val="Emphasis"/>
          <w:rFonts w:ascii="Arial" w:hAnsi="Arial" w:cs="Arial"/>
          <w:i w:val="0"/>
          <w:iCs w:val="0"/>
          <w:sz w:val="22"/>
          <w:szCs w:val="22"/>
        </w:rPr>
        <w:t>Vodafone Group Plc Annual Report 2026</w:t>
      </w:r>
      <w:r w:rsidRPr="00133E4D">
        <w:rPr>
          <w:rFonts w:ascii="Arial" w:hAnsi="Arial" w:cs="Arial"/>
          <w:sz w:val="22"/>
          <w:szCs w:val="22"/>
        </w:rPr>
        <w:t xml:space="preserve">. Available at: </w:t>
      </w:r>
      <w:r w:rsidRPr="00133E4D">
        <w:rPr>
          <w:rFonts w:ascii="Arial" w:hAnsi="Arial" w:cs="Arial"/>
          <w:sz w:val="22"/>
          <w:szCs w:val="22"/>
        </w:rPr>
        <w:fldChar w:fldCharType="begin"/>
      </w:r>
      <w:r w:rsidRPr="00133E4D">
        <w:rPr>
          <w:rFonts w:ascii="Arial" w:hAnsi="Arial" w:cs="Arial"/>
          <w:sz w:val="22"/>
          <w:szCs w:val="22"/>
        </w:rPr>
        <w:instrText>HYPERLINK "https://reports.investors.vodafone.com/view/500231330/37/"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https://reports.investors.vodafone.com/view/500231330/37/</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38A095EF"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Foundation (2026) ‘Closing the confidence gap: how older adults navigate the digital world’. Available at: </w:t>
      </w:r>
      <w:r w:rsidRPr="00133E4D">
        <w:rPr>
          <w:rFonts w:ascii="Arial" w:hAnsi="Arial" w:cs="Arial"/>
          <w:sz w:val="22"/>
          <w:szCs w:val="22"/>
        </w:rPr>
        <w:fldChar w:fldCharType="begin"/>
      </w:r>
      <w:r w:rsidRPr="00133E4D">
        <w:rPr>
          <w:rFonts w:ascii="Arial" w:hAnsi="Arial" w:cs="Arial"/>
          <w:sz w:val="22"/>
          <w:szCs w:val="22"/>
        </w:rPr>
        <w:instrText>HYPERLINK "https://foundation.vodafone.com/news/vodafone-foundation/closing-the-confidence-gap"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https://foundation.vodafone.com/news/vodafone-foundation/closing-the-confidence-gap</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03A4BF74"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FY26 Transcript (2026) ‘FY26 Q&amp;A Transcript’. Available at: </w:t>
      </w:r>
      <w:r w:rsidRPr="00133E4D">
        <w:rPr>
          <w:rFonts w:ascii="Arial" w:hAnsi="Arial" w:cs="Arial"/>
          <w:sz w:val="22"/>
          <w:szCs w:val="22"/>
        </w:rPr>
        <w:fldChar w:fldCharType="begin"/>
      </w:r>
      <w:r w:rsidRPr="00133E4D">
        <w:rPr>
          <w:rFonts w:ascii="Arial" w:hAnsi="Arial" w:cs="Arial"/>
          <w:sz w:val="22"/>
          <w:szCs w:val="22"/>
        </w:rPr>
        <w:instrText>HYPERLINK "https://reports.investors.vodafone.com/FY26transcript/13/"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https://reports.investors.vodafone.com/FY26transcript/13/</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62517F82"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Group Plc (2024) ‘We connect for a better future’. Available at: </w:t>
      </w:r>
      <w:r w:rsidRPr="00133E4D">
        <w:rPr>
          <w:rFonts w:ascii="Arial" w:hAnsi="Arial" w:cs="Arial"/>
          <w:sz w:val="22"/>
          <w:szCs w:val="22"/>
        </w:rPr>
        <w:fldChar w:fldCharType="begin"/>
      </w:r>
      <w:r w:rsidRPr="00133E4D">
        <w:rPr>
          <w:rFonts w:ascii="Arial" w:hAnsi="Arial" w:cs="Arial"/>
          <w:sz w:val="22"/>
          <w:szCs w:val="22"/>
        </w:rPr>
        <w:instrText>HYPERLINK "https://www.vodafone.com/news/newsroom/corporate-and-financial/we-connect-for-a-better-future"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https://www.vodafone.com/news/newsroom/corporate-and-financial/we-connect-for-a-better-future</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6B958B2C"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Group Plc (2025) </w:t>
      </w:r>
      <w:r w:rsidRPr="00133E4D">
        <w:rPr>
          <w:rStyle w:val="Emphasis"/>
          <w:rFonts w:ascii="Arial" w:hAnsi="Arial" w:cs="Arial"/>
          <w:i w:val="0"/>
          <w:iCs w:val="0"/>
          <w:sz w:val="22"/>
          <w:szCs w:val="22"/>
        </w:rPr>
        <w:t>Annual Report 2025</w:t>
      </w:r>
      <w:r w:rsidRPr="00133E4D">
        <w:rPr>
          <w:rFonts w:ascii="Arial" w:hAnsi="Arial" w:cs="Arial"/>
          <w:sz w:val="22"/>
          <w:szCs w:val="22"/>
        </w:rPr>
        <w:t xml:space="preserve">. Available at: </w:t>
      </w:r>
      <w:r w:rsidRPr="00133E4D">
        <w:rPr>
          <w:rFonts w:ascii="Arial" w:hAnsi="Arial" w:cs="Arial"/>
          <w:sz w:val="22"/>
          <w:szCs w:val="22"/>
        </w:rPr>
        <w:fldChar w:fldCharType="begin"/>
      </w:r>
      <w:r w:rsidRPr="00133E4D">
        <w:rPr>
          <w:rFonts w:ascii="Arial" w:hAnsi="Arial" w:cs="Arial"/>
          <w:sz w:val="22"/>
          <w:szCs w:val="22"/>
        </w:rPr>
        <w:instrText>HYPERLINK "https://www.vodafone.com/investors"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https://www.vodafone.com/investors</w:t>
      </w:r>
      <w:r w:rsidRPr="00133E4D">
        <w:rPr>
          <w:rFonts w:ascii="Arial" w:hAnsi="Arial" w:cs="Arial"/>
          <w:sz w:val="22"/>
          <w:szCs w:val="22"/>
        </w:rPr>
        <w:fldChar w:fldCharType="end"/>
      </w:r>
      <w:r w:rsidRPr="00133E4D">
        <w:rPr>
          <w:rFonts w:ascii="Arial" w:hAnsi="Arial" w:cs="Arial"/>
          <w:sz w:val="22"/>
          <w:szCs w:val="22"/>
        </w:rPr>
        <w:t xml:space="preserve"> (Accessed: 10 July 2026).</w:t>
      </w:r>
    </w:p>
    <w:p w14:paraId="6308F4DE"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UK (2020) ‘Wirral Council, Age UK and Business connectivity’. Available at: </w:t>
      </w:r>
      <w:r w:rsidRPr="00133E4D">
        <w:rPr>
          <w:rFonts w:ascii="Arial" w:hAnsi="Arial" w:cs="Arial"/>
          <w:sz w:val="22"/>
          <w:szCs w:val="22"/>
        </w:rPr>
        <w:fldChar w:fldCharType="begin"/>
      </w:r>
      <w:r w:rsidRPr="00133E4D">
        <w:rPr>
          <w:rFonts w:ascii="Arial" w:hAnsi="Arial" w:cs="Arial"/>
          <w:sz w:val="22"/>
          <w:szCs w:val="22"/>
        </w:rPr>
        <w:instrText>HYPERLINK "https://www.vodafone.co.uk/business/case-studies/wirral-council-age-uk-connectivity"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https://www.vodafone.co.uk/business/case-studies/wirral-council-age-uk-connectivity</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69A6D96A"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UK (2022) ‘How Vodafone and Age UK are helping older people become tech-wise’. Available at: </w:t>
      </w:r>
      <w:r w:rsidRPr="00133E4D">
        <w:rPr>
          <w:rFonts w:ascii="Arial" w:hAnsi="Arial" w:cs="Arial"/>
          <w:sz w:val="22"/>
          <w:szCs w:val="22"/>
        </w:rPr>
        <w:fldChar w:fldCharType="begin"/>
      </w:r>
      <w:r w:rsidRPr="00133E4D">
        <w:rPr>
          <w:rFonts w:ascii="Arial" w:hAnsi="Arial" w:cs="Arial"/>
          <w:sz w:val="22"/>
          <w:szCs w:val="22"/>
        </w:rPr>
        <w:instrText>HYPERLINK "https://www.vodafone.co.uk/newscentre/smart-living/hi-digital/how-vodafone-and-age-uk-are-helping-older-people-become-tech-wise/"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https://www.vodafone.co.uk/newscentre/smart-living/hi-digital/how-vodafone-and-age-uk-are-helping-older-people-become-tech-wise/</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40EF9F82"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 UK (2025) ‘VodafoneThree signs multibillion pound investment deals to build the UK's best network’. Available at: </w:t>
      </w:r>
      <w:r w:rsidRPr="00133E4D">
        <w:rPr>
          <w:rFonts w:ascii="Arial" w:hAnsi="Arial" w:cs="Arial"/>
          <w:sz w:val="22"/>
          <w:szCs w:val="22"/>
        </w:rPr>
        <w:fldChar w:fldCharType="begin"/>
      </w:r>
      <w:r w:rsidRPr="00133E4D">
        <w:rPr>
          <w:rFonts w:ascii="Arial" w:hAnsi="Arial" w:cs="Arial"/>
          <w:sz w:val="22"/>
          <w:szCs w:val="22"/>
        </w:rPr>
        <w:instrText>HYPERLINK "https://www.vodafone.co.uk/newscentre/press-release/multibillion-pound-investment-deals-signed-to-build-uk-best-network/"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https://www.vodafone.co.uk/newscentre/press-release/multibillion-pound-investment-deals-signed-to-build-uk-best-network/</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43C71C90" w14:textId="77777777" w:rsidR="00C65ACA" w:rsidRPr="00133E4D" w:rsidRDefault="00C65ACA" w:rsidP="00133E4D">
      <w:pPr>
        <w:pStyle w:val="my-2"/>
        <w:spacing w:line="360" w:lineRule="auto"/>
        <w:rPr>
          <w:rFonts w:ascii="Arial" w:hAnsi="Arial" w:cs="Arial"/>
          <w:sz w:val="22"/>
          <w:szCs w:val="22"/>
        </w:rPr>
      </w:pPr>
      <w:r w:rsidRPr="00133E4D">
        <w:rPr>
          <w:rFonts w:ascii="Arial" w:hAnsi="Arial" w:cs="Arial"/>
          <w:sz w:val="22"/>
          <w:szCs w:val="22"/>
        </w:rPr>
        <w:t xml:space="preserve">VodafoneThree (2025) ‘VodafoneThree delivers automatic coverage improvement to millions of customers by sharing network access’. Available at: </w:t>
      </w:r>
      <w:r w:rsidRPr="00133E4D">
        <w:rPr>
          <w:rFonts w:ascii="Arial" w:hAnsi="Arial" w:cs="Arial"/>
          <w:sz w:val="22"/>
          <w:szCs w:val="22"/>
        </w:rPr>
        <w:lastRenderedPageBreak/>
        <w:fldChar w:fldCharType="begin"/>
      </w:r>
      <w:r w:rsidRPr="00133E4D">
        <w:rPr>
          <w:rFonts w:ascii="Arial" w:hAnsi="Arial" w:cs="Arial"/>
          <w:sz w:val="22"/>
          <w:szCs w:val="22"/>
        </w:rPr>
        <w:instrText>HYPERLINK "https://www.vodafonethree.com/automatic-coverage-improvement-millions/" \t "_blank"</w:instrText>
      </w:r>
      <w:r w:rsidRPr="00133E4D">
        <w:rPr>
          <w:rFonts w:ascii="Arial" w:hAnsi="Arial" w:cs="Arial"/>
          <w:sz w:val="22"/>
          <w:szCs w:val="22"/>
        </w:rPr>
      </w:r>
      <w:r w:rsidRPr="00133E4D">
        <w:rPr>
          <w:rFonts w:ascii="Arial" w:hAnsi="Arial" w:cs="Arial"/>
          <w:sz w:val="22"/>
          <w:szCs w:val="22"/>
        </w:rPr>
        <w:fldChar w:fldCharType="separate"/>
      </w:r>
      <w:r w:rsidRPr="00133E4D">
        <w:rPr>
          <w:rStyle w:val="text-box-trim-both"/>
          <w:rFonts w:ascii="Arial" w:hAnsi="Arial" w:cs="Arial"/>
          <w:color w:val="0000FF"/>
          <w:sz w:val="22"/>
          <w:szCs w:val="22"/>
          <w:u w:val="single"/>
        </w:rPr>
        <w:t>https://www.vodafonethree.com/automatic-coverage-improvement-millions/</w:t>
      </w:r>
      <w:r w:rsidRPr="00133E4D">
        <w:rPr>
          <w:rFonts w:ascii="Arial" w:hAnsi="Arial" w:cs="Arial"/>
          <w:sz w:val="22"/>
          <w:szCs w:val="22"/>
        </w:rPr>
        <w:fldChar w:fldCharType="end"/>
      </w:r>
      <w:r w:rsidRPr="00133E4D">
        <w:rPr>
          <w:rFonts w:ascii="Arial" w:hAnsi="Arial" w:cs="Arial"/>
          <w:sz w:val="22"/>
          <w:szCs w:val="22"/>
        </w:rPr>
        <w:t xml:space="preserve"> (Accessed: 11 July 2026).</w:t>
      </w:r>
    </w:p>
    <w:p w14:paraId="54F30DFE" w14:textId="4F0615A4" w:rsidR="00E14366" w:rsidRPr="00133E4D" w:rsidRDefault="00000000" w:rsidP="00133E4D">
      <w:pPr>
        <w:pStyle w:val="Heading2"/>
        <w:spacing w:line="360" w:lineRule="auto"/>
        <w:rPr>
          <w:rFonts w:ascii="Arial" w:hAnsi="Arial" w:cs="Arial"/>
          <w:sz w:val="22"/>
          <w:szCs w:val="22"/>
        </w:rPr>
      </w:pPr>
      <w:bookmarkStart w:id="27" w:name="_Toc234790835"/>
      <w:r w:rsidRPr="00133E4D">
        <w:rPr>
          <w:rFonts w:ascii="Arial" w:hAnsi="Arial" w:cs="Arial"/>
          <w:sz w:val="22"/>
          <w:szCs w:val="22"/>
        </w:rPr>
        <w:t>Appendix</w:t>
      </w:r>
      <w:bookmarkEnd w:id="27"/>
    </w:p>
    <w:p w14:paraId="0B6CB240"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following analytical tools support the critical discussion presented within the main report. The appendices provide </w:t>
      </w:r>
      <w:proofErr w:type="gramStart"/>
      <w:r w:rsidRPr="00133E4D">
        <w:rPr>
          <w:rFonts w:ascii="Arial" w:hAnsi="Arial" w:cs="Arial"/>
        </w:rPr>
        <w:t>the detailed</w:t>
      </w:r>
      <w:proofErr w:type="gramEnd"/>
      <w:r w:rsidRPr="00133E4D">
        <w:rPr>
          <w:rFonts w:ascii="Arial" w:hAnsi="Arial" w:cs="Arial"/>
        </w:rPr>
        <w:t xml:space="preserve"> analytical outputs, while the report focuses on interpretation and strategic evaluation. Tools have been used to inform judgement, not to replace it.</w:t>
      </w:r>
    </w:p>
    <w:p w14:paraId="63FF0715" w14:textId="77777777" w:rsidR="00E14366" w:rsidRPr="00133E4D" w:rsidRDefault="00000000" w:rsidP="00133E4D">
      <w:pPr>
        <w:spacing w:after="120" w:line="360" w:lineRule="auto"/>
        <w:rPr>
          <w:rFonts w:ascii="Arial" w:hAnsi="Arial" w:cs="Arial"/>
        </w:rPr>
      </w:pPr>
      <w:r w:rsidRPr="00133E4D">
        <w:rPr>
          <w:rFonts w:ascii="Arial" w:hAnsi="Arial" w:cs="Arial"/>
        </w:rPr>
        <w:t>All analytical tools, frameworks and diagrams are presented in this Appendix and numbered sequentially. Corresponding sections in the main body contain summary interpretations.</w:t>
      </w:r>
    </w:p>
    <w:p w14:paraId="49BF958F" w14:textId="77777777" w:rsidR="00E14366" w:rsidRPr="00133E4D" w:rsidRDefault="00000000" w:rsidP="00133E4D">
      <w:pPr>
        <w:pStyle w:val="Heading2"/>
        <w:spacing w:line="360" w:lineRule="auto"/>
        <w:rPr>
          <w:rFonts w:ascii="Arial" w:hAnsi="Arial" w:cs="Arial"/>
          <w:sz w:val="22"/>
          <w:szCs w:val="22"/>
        </w:rPr>
      </w:pPr>
      <w:bookmarkStart w:id="28" w:name="_Toc234790836"/>
      <w:r w:rsidRPr="00133E4D">
        <w:rPr>
          <w:rFonts w:ascii="Arial" w:hAnsi="Arial" w:cs="Arial"/>
          <w:sz w:val="22"/>
          <w:szCs w:val="22"/>
        </w:rPr>
        <w:t>Appendix A: Analytical Frameworks and Tools</w:t>
      </w:r>
      <w:bookmarkEnd w:id="28"/>
    </w:p>
    <w:p w14:paraId="55D95C20" w14:textId="77777777" w:rsidR="00E14366" w:rsidRPr="00133E4D" w:rsidRDefault="00000000" w:rsidP="00133E4D">
      <w:pPr>
        <w:pStyle w:val="Heading2"/>
        <w:spacing w:line="360" w:lineRule="auto"/>
        <w:rPr>
          <w:rFonts w:ascii="Arial" w:hAnsi="Arial" w:cs="Arial"/>
          <w:sz w:val="22"/>
          <w:szCs w:val="22"/>
        </w:rPr>
      </w:pPr>
      <w:bookmarkStart w:id="29" w:name="_Toc234790837"/>
      <w:r w:rsidRPr="00133E4D">
        <w:rPr>
          <w:rFonts w:ascii="Arial" w:hAnsi="Arial" w:cs="Arial"/>
          <w:sz w:val="22"/>
          <w:szCs w:val="22"/>
        </w:rPr>
        <w:t xml:space="preserve">Figure A1. PESTEL Analysis of </w:t>
      </w:r>
      <w:proofErr w:type="spellStart"/>
      <w:r w:rsidRPr="00133E4D">
        <w:rPr>
          <w:rFonts w:ascii="Arial" w:hAnsi="Arial" w:cs="Arial"/>
          <w:sz w:val="22"/>
          <w:szCs w:val="22"/>
        </w:rPr>
        <w:t>VodafoneThree</w:t>
      </w:r>
      <w:bookmarkEnd w:id="29"/>
      <w:proofErr w:type="spellEnd"/>
    </w:p>
    <w:p w14:paraId="0EB014EA" w14:textId="77777777" w:rsidR="00E14366" w:rsidRPr="00133E4D" w:rsidRDefault="00000000" w:rsidP="00133E4D">
      <w:pPr>
        <w:spacing w:after="80" w:line="360" w:lineRule="auto"/>
        <w:rPr>
          <w:rFonts w:ascii="Arial" w:hAnsi="Arial" w:cs="Arial"/>
        </w:rPr>
      </w:pPr>
      <w:r w:rsidRPr="00133E4D">
        <w:rPr>
          <w:rFonts w:ascii="Arial" w:hAnsi="Arial" w:cs="Arial"/>
          <w:i/>
        </w:rPr>
        <w:t>Source: Author illustration based on Ofcom (2024), Competition and Markets Authority (2024) and Vodafone Group Plc (2025). [Original diagram from submission reproduced here.]</w:t>
      </w:r>
    </w:p>
    <w:tbl>
      <w:tblPr>
        <w:tblStyle w:val="TableGrid"/>
        <w:tblW w:w="0" w:type="auto"/>
        <w:tblLook w:val="04A0" w:firstRow="1" w:lastRow="0" w:firstColumn="1" w:lastColumn="0" w:noHBand="0" w:noVBand="1"/>
      </w:tblPr>
      <w:tblGrid>
        <w:gridCol w:w="3041"/>
        <w:gridCol w:w="3041"/>
        <w:gridCol w:w="3041"/>
      </w:tblGrid>
      <w:tr w:rsidR="00E14366" w:rsidRPr="00133E4D" w14:paraId="386024D3" w14:textId="77777777">
        <w:tc>
          <w:tcPr>
            <w:tcW w:w="3041" w:type="dxa"/>
            <w:shd w:val="clear" w:color="auto" w:fill="D9D9D9"/>
          </w:tcPr>
          <w:p w14:paraId="141F0DF5" w14:textId="77777777" w:rsidR="00E14366" w:rsidRPr="00133E4D" w:rsidRDefault="00000000" w:rsidP="00133E4D">
            <w:pPr>
              <w:spacing w:after="40" w:line="360" w:lineRule="auto"/>
              <w:rPr>
                <w:rFonts w:ascii="Arial" w:hAnsi="Arial" w:cs="Arial"/>
              </w:rPr>
            </w:pPr>
            <w:r w:rsidRPr="00133E4D">
              <w:rPr>
                <w:rFonts w:ascii="Arial" w:hAnsi="Arial" w:cs="Arial"/>
                <w:b/>
              </w:rPr>
              <w:t>Dimension</w:t>
            </w:r>
          </w:p>
        </w:tc>
        <w:tc>
          <w:tcPr>
            <w:tcW w:w="3041" w:type="dxa"/>
            <w:shd w:val="clear" w:color="auto" w:fill="D9D9D9"/>
          </w:tcPr>
          <w:p w14:paraId="06672548" w14:textId="77777777" w:rsidR="00E14366" w:rsidRPr="00133E4D" w:rsidRDefault="00000000" w:rsidP="00133E4D">
            <w:pPr>
              <w:spacing w:after="40" w:line="360" w:lineRule="auto"/>
              <w:rPr>
                <w:rFonts w:ascii="Arial" w:hAnsi="Arial" w:cs="Arial"/>
              </w:rPr>
            </w:pPr>
            <w:r w:rsidRPr="00133E4D">
              <w:rPr>
                <w:rFonts w:ascii="Arial" w:hAnsi="Arial" w:cs="Arial"/>
                <w:b/>
              </w:rPr>
              <w:t>Key Factor</w:t>
            </w:r>
          </w:p>
        </w:tc>
        <w:tc>
          <w:tcPr>
            <w:tcW w:w="3041" w:type="dxa"/>
            <w:shd w:val="clear" w:color="auto" w:fill="D9D9D9"/>
          </w:tcPr>
          <w:p w14:paraId="3E0DF441" w14:textId="77777777" w:rsidR="00E14366" w:rsidRPr="00133E4D" w:rsidRDefault="00000000" w:rsidP="00133E4D">
            <w:pPr>
              <w:spacing w:after="40" w:line="360" w:lineRule="auto"/>
              <w:rPr>
                <w:rFonts w:ascii="Arial" w:hAnsi="Arial" w:cs="Arial"/>
              </w:rPr>
            </w:pPr>
            <w:r w:rsidRPr="00133E4D">
              <w:rPr>
                <w:rFonts w:ascii="Arial" w:hAnsi="Arial" w:cs="Arial"/>
                <w:b/>
              </w:rPr>
              <w:t>Strategic Implication</w:t>
            </w:r>
          </w:p>
        </w:tc>
      </w:tr>
      <w:tr w:rsidR="00E14366" w:rsidRPr="00133E4D" w14:paraId="159272F8" w14:textId="77777777">
        <w:tc>
          <w:tcPr>
            <w:tcW w:w="3041" w:type="dxa"/>
          </w:tcPr>
          <w:p w14:paraId="5B7189DE" w14:textId="77777777" w:rsidR="00E14366" w:rsidRPr="00133E4D" w:rsidRDefault="00000000" w:rsidP="00133E4D">
            <w:pPr>
              <w:spacing w:after="40" w:line="360" w:lineRule="auto"/>
              <w:rPr>
                <w:rFonts w:ascii="Arial" w:hAnsi="Arial" w:cs="Arial"/>
              </w:rPr>
            </w:pPr>
            <w:r w:rsidRPr="00133E4D">
              <w:rPr>
                <w:rFonts w:ascii="Arial" w:hAnsi="Arial" w:cs="Arial"/>
              </w:rPr>
              <w:t>Political</w:t>
            </w:r>
          </w:p>
        </w:tc>
        <w:tc>
          <w:tcPr>
            <w:tcW w:w="3041" w:type="dxa"/>
          </w:tcPr>
          <w:p w14:paraId="2DC2F3F9" w14:textId="77777777" w:rsidR="00E14366" w:rsidRPr="00133E4D" w:rsidRDefault="00000000" w:rsidP="00133E4D">
            <w:pPr>
              <w:spacing w:after="40" w:line="360" w:lineRule="auto"/>
              <w:rPr>
                <w:rFonts w:ascii="Arial" w:hAnsi="Arial" w:cs="Arial"/>
              </w:rPr>
            </w:pPr>
            <w:r w:rsidRPr="00133E4D">
              <w:rPr>
                <w:rFonts w:ascii="Arial" w:hAnsi="Arial" w:cs="Arial"/>
              </w:rPr>
              <w:t>CMA approval Dec 2024; 8-year investment commitment; NSI Act conditions</w:t>
            </w:r>
          </w:p>
        </w:tc>
        <w:tc>
          <w:tcPr>
            <w:tcW w:w="3041" w:type="dxa"/>
          </w:tcPr>
          <w:p w14:paraId="2B1667A2" w14:textId="77777777" w:rsidR="00E14366" w:rsidRPr="00133E4D" w:rsidRDefault="00000000" w:rsidP="00133E4D">
            <w:pPr>
              <w:spacing w:after="40" w:line="360" w:lineRule="auto"/>
              <w:rPr>
                <w:rFonts w:ascii="Arial" w:hAnsi="Arial" w:cs="Arial"/>
              </w:rPr>
            </w:pPr>
            <w:r w:rsidRPr="00133E4D">
              <w:rPr>
                <w:rFonts w:ascii="Arial" w:hAnsi="Arial" w:cs="Arial"/>
              </w:rPr>
              <w:t>Significant regulatory obligation; government oversight via National Security Committee</w:t>
            </w:r>
          </w:p>
        </w:tc>
      </w:tr>
      <w:tr w:rsidR="00E14366" w:rsidRPr="00133E4D" w14:paraId="0E76F196" w14:textId="77777777">
        <w:tc>
          <w:tcPr>
            <w:tcW w:w="3041" w:type="dxa"/>
          </w:tcPr>
          <w:p w14:paraId="2E5141A7" w14:textId="77777777" w:rsidR="00E14366" w:rsidRPr="00133E4D" w:rsidRDefault="00000000" w:rsidP="00133E4D">
            <w:pPr>
              <w:spacing w:after="40" w:line="360" w:lineRule="auto"/>
              <w:rPr>
                <w:rFonts w:ascii="Arial" w:hAnsi="Arial" w:cs="Arial"/>
              </w:rPr>
            </w:pPr>
            <w:r w:rsidRPr="00133E4D">
              <w:rPr>
                <w:rFonts w:ascii="Arial" w:hAnsi="Arial" w:cs="Arial"/>
              </w:rPr>
              <w:t>Economic</w:t>
            </w:r>
          </w:p>
        </w:tc>
        <w:tc>
          <w:tcPr>
            <w:tcW w:w="3041" w:type="dxa"/>
          </w:tcPr>
          <w:p w14:paraId="7E5067ED" w14:textId="77777777" w:rsidR="00E14366" w:rsidRPr="00133E4D" w:rsidRDefault="00000000" w:rsidP="00133E4D">
            <w:pPr>
              <w:spacing w:after="40" w:line="360" w:lineRule="auto"/>
              <w:rPr>
                <w:rFonts w:ascii="Arial" w:hAnsi="Arial" w:cs="Arial"/>
              </w:rPr>
            </w:pPr>
            <w:r w:rsidRPr="00133E4D">
              <w:rPr>
                <w:rFonts w:ascii="Arial" w:hAnsi="Arial" w:cs="Arial"/>
              </w:rPr>
              <w:t>Cost-of-living pressure; £700m p.a. synergies by FY2030; £4.3bn buyout cost</w:t>
            </w:r>
          </w:p>
        </w:tc>
        <w:tc>
          <w:tcPr>
            <w:tcW w:w="3041" w:type="dxa"/>
          </w:tcPr>
          <w:p w14:paraId="6DAFDB24" w14:textId="77777777" w:rsidR="00E14366" w:rsidRPr="00133E4D" w:rsidRDefault="00000000" w:rsidP="00133E4D">
            <w:pPr>
              <w:spacing w:after="40" w:line="360" w:lineRule="auto"/>
              <w:rPr>
                <w:rFonts w:ascii="Arial" w:hAnsi="Arial" w:cs="Arial"/>
              </w:rPr>
            </w:pPr>
            <w:r w:rsidRPr="00133E4D">
              <w:rPr>
                <w:rFonts w:ascii="Arial" w:hAnsi="Arial" w:cs="Arial"/>
              </w:rPr>
              <w:t>Price sensitivity high; synergies fund investment; capital allocation discipline required</w:t>
            </w:r>
          </w:p>
        </w:tc>
      </w:tr>
      <w:tr w:rsidR="00E14366" w:rsidRPr="00133E4D" w14:paraId="4D68BC66" w14:textId="77777777">
        <w:tc>
          <w:tcPr>
            <w:tcW w:w="3041" w:type="dxa"/>
          </w:tcPr>
          <w:p w14:paraId="041EC490" w14:textId="77777777" w:rsidR="00E14366" w:rsidRPr="00133E4D" w:rsidRDefault="00000000" w:rsidP="00133E4D">
            <w:pPr>
              <w:spacing w:after="40" w:line="360" w:lineRule="auto"/>
              <w:rPr>
                <w:rFonts w:ascii="Arial" w:hAnsi="Arial" w:cs="Arial"/>
              </w:rPr>
            </w:pPr>
            <w:r w:rsidRPr="00133E4D">
              <w:rPr>
                <w:rFonts w:ascii="Arial" w:hAnsi="Arial" w:cs="Arial"/>
              </w:rPr>
              <w:t>Social</w:t>
            </w:r>
          </w:p>
        </w:tc>
        <w:tc>
          <w:tcPr>
            <w:tcW w:w="3041" w:type="dxa"/>
          </w:tcPr>
          <w:p w14:paraId="2B677D37" w14:textId="77777777" w:rsidR="00E14366" w:rsidRPr="00133E4D" w:rsidRDefault="00000000" w:rsidP="00133E4D">
            <w:pPr>
              <w:spacing w:after="40" w:line="360" w:lineRule="auto"/>
              <w:rPr>
                <w:rFonts w:ascii="Arial" w:hAnsi="Arial" w:cs="Arial"/>
              </w:rPr>
            </w:pPr>
            <w:r w:rsidRPr="00133E4D">
              <w:rPr>
                <w:rFonts w:ascii="Arial" w:hAnsi="Arial" w:cs="Arial"/>
              </w:rPr>
              <w:t>Rising connectivity demand; digital exclusion among older adults</w:t>
            </w:r>
          </w:p>
        </w:tc>
        <w:tc>
          <w:tcPr>
            <w:tcW w:w="3041" w:type="dxa"/>
          </w:tcPr>
          <w:p w14:paraId="3C3B6399" w14:textId="77777777" w:rsidR="00E14366" w:rsidRPr="00133E4D" w:rsidRDefault="00000000" w:rsidP="00133E4D">
            <w:pPr>
              <w:spacing w:after="40" w:line="360" w:lineRule="auto"/>
              <w:rPr>
                <w:rFonts w:ascii="Arial" w:hAnsi="Arial" w:cs="Arial"/>
              </w:rPr>
            </w:pPr>
            <w:r w:rsidRPr="00133E4D">
              <w:rPr>
                <w:rFonts w:ascii="Arial" w:hAnsi="Arial" w:cs="Arial"/>
              </w:rPr>
              <w:t>Opportunity in ageing-population digital inclusion; rural coverage gap</w:t>
            </w:r>
          </w:p>
        </w:tc>
      </w:tr>
      <w:tr w:rsidR="00E14366" w:rsidRPr="00133E4D" w14:paraId="67FE81FB" w14:textId="77777777">
        <w:tc>
          <w:tcPr>
            <w:tcW w:w="3041" w:type="dxa"/>
          </w:tcPr>
          <w:p w14:paraId="46106A66" w14:textId="77777777" w:rsidR="00E14366" w:rsidRPr="00133E4D" w:rsidRDefault="00000000" w:rsidP="00133E4D">
            <w:pPr>
              <w:spacing w:after="40" w:line="360" w:lineRule="auto"/>
              <w:rPr>
                <w:rFonts w:ascii="Arial" w:hAnsi="Arial" w:cs="Arial"/>
              </w:rPr>
            </w:pPr>
            <w:r w:rsidRPr="00133E4D">
              <w:rPr>
                <w:rFonts w:ascii="Arial" w:hAnsi="Arial" w:cs="Arial"/>
              </w:rPr>
              <w:t>Technological</w:t>
            </w:r>
          </w:p>
        </w:tc>
        <w:tc>
          <w:tcPr>
            <w:tcW w:w="3041" w:type="dxa"/>
          </w:tcPr>
          <w:p w14:paraId="7ECEA09F" w14:textId="77777777" w:rsidR="00E14366" w:rsidRPr="00133E4D" w:rsidRDefault="00000000" w:rsidP="00133E4D">
            <w:pPr>
              <w:spacing w:after="40" w:line="360" w:lineRule="auto"/>
              <w:rPr>
                <w:rFonts w:ascii="Arial" w:hAnsi="Arial" w:cs="Arial"/>
              </w:rPr>
            </w:pPr>
            <w:r w:rsidRPr="00133E4D">
              <w:rPr>
                <w:rFonts w:ascii="Arial" w:hAnsi="Arial" w:cs="Arial"/>
              </w:rPr>
              <w:t>5G rollout; AI in operations and customer service; IoT enterprise services</w:t>
            </w:r>
          </w:p>
        </w:tc>
        <w:tc>
          <w:tcPr>
            <w:tcW w:w="3041" w:type="dxa"/>
          </w:tcPr>
          <w:p w14:paraId="57F4DE3C" w14:textId="77777777" w:rsidR="00E14366" w:rsidRPr="00133E4D" w:rsidRDefault="00000000" w:rsidP="00133E4D">
            <w:pPr>
              <w:spacing w:after="40" w:line="360" w:lineRule="auto"/>
              <w:rPr>
                <w:rFonts w:ascii="Arial" w:hAnsi="Arial" w:cs="Arial"/>
              </w:rPr>
            </w:pPr>
            <w:r w:rsidRPr="00133E4D">
              <w:rPr>
                <w:rFonts w:ascii="Arial" w:hAnsi="Arial" w:cs="Arial"/>
              </w:rPr>
              <w:t>Primary differentiation driver; 99.95% 5G coverage target by 2034</w:t>
            </w:r>
          </w:p>
        </w:tc>
      </w:tr>
      <w:tr w:rsidR="00E14366" w:rsidRPr="00133E4D" w14:paraId="39F6412D" w14:textId="77777777">
        <w:tc>
          <w:tcPr>
            <w:tcW w:w="3041" w:type="dxa"/>
          </w:tcPr>
          <w:p w14:paraId="29CD6063" w14:textId="77777777" w:rsidR="00E14366" w:rsidRPr="00133E4D" w:rsidRDefault="00000000" w:rsidP="00133E4D">
            <w:pPr>
              <w:spacing w:after="40" w:line="360" w:lineRule="auto"/>
              <w:rPr>
                <w:rFonts w:ascii="Arial" w:hAnsi="Arial" w:cs="Arial"/>
              </w:rPr>
            </w:pPr>
            <w:r w:rsidRPr="00133E4D">
              <w:rPr>
                <w:rFonts w:ascii="Arial" w:hAnsi="Arial" w:cs="Arial"/>
              </w:rPr>
              <w:t>Environmental</w:t>
            </w:r>
          </w:p>
        </w:tc>
        <w:tc>
          <w:tcPr>
            <w:tcW w:w="3041" w:type="dxa"/>
          </w:tcPr>
          <w:p w14:paraId="46F78683" w14:textId="77777777" w:rsidR="00E14366" w:rsidRPr="00133E4D" w:rsidRDefault="00000000" w:rsidP="00133E4D">
            <w:pPr>
              <w:spacing w:after="40" w:line="360" w:lineRule="auto"/>
              <w:rPr>
                <w:rFonts w:ascii="Arial" w:hAnsi="Arial" w:cs="Arial"/>
              </w:rPr>
            </w:pPr>
            <w:r w:rsidRPr="00133E4D">
              <w:rPr>
                <w:rFonts w:ascii="Arial" w:hAnsi="Arial" w:cs="Arial"/>
              </w:rPr>
              <w:t>Energy consumption from expanded network infrastructure</w:t>
            </w:r>
          </w:p>
        </w:tc>
        <w:tc>
          <w:tcPr>
            <w:tcW w:w="3041" w:type="dxa"/>
          </w:tcPr>
          <w:p w14:paraId="20F0338C" w14:textId="77777777" w:rsidR="00E14366" w:rsidRPr="00133E4D" w:rsidRDefault="00000000" w:rsidP="00133E4D">
            <w:pPr>
              <w:spacing w:after="40" w:line="360" w:lineRule="auto"/>
              <w:rPr>
                <w:rFonts w:ascii="Arial" w:hAnsi="Arial" w:cs="Arial"/>
              </w:rPr>
            </w:pPr>
            <w:r w:rsidRPr="00133E4D">
              <w:rPr>
                <w:rFonts w:ascii="Arial" w:hAnsi="Arial" w:cs="Arial"/>
              </w:rPr>
              <w:t>ESG pressure requires smart energy-saving network design</w:t>
            </w:r>
          </w:p>
        </w:tc>
      </w:tr>
      <w:tr w:rsidR="00E14366" w:rsidRPr="00133E4D" w14:paraId="7ED06035" w14:textId="77777777">
        <w:tc>
          <w:tcPr>
            <w:tcW w:w="3041" w:type="dxa"/>
          </w:tcPr>
          <w:p w14:paraId="372F217B" w14:textId="77777777" w:rsidR="00E14366" w:rsidRPr="00133E4D" w:rsidRDefault="00000000" w:rsidP="00133E4D">
            <w:pPr>
              <w:spacing w:after="40" w:line="360" w:lineRule="auto"/>
              <w:rPr>
                <w:rFonts w:ascii="Arial" w:hAnsi="Arial" w:cs="Arial"/>
              </w:rPr>
            </w:pPr>
            <w:r w:rsidRPr="00133E4D">
              <w:rPr>
                <w:rFonts w:ascii="Arial" w:hAnsi="Arial" w:cs="Arial"/>
              </w:rPr>
              <w:lastRenderedPageBreak/>
              <w:t>Legal</w:t>
            </w:r>
          </w:p>
        </w:tc>
        <w:tc>
          <w:tcPr>
            <w:tcW w:w="3041" w:type="dxa"/>
          </w:tcPr>
          <w:p w14:paraId="26244620" w14:textId="77777777" w:rsidR="00E14366" w:rsidRPr="00133E4D" w:rsidRDefault="00000000" w:rsidP="00133E4D">
            <w:pPr>
              <w:spacing w:after="40" w:line="360" w:lineRule="auto"/>
              <w:rPr>
                <w:rFonts w:ascii="Arial" w:hAnsi="Arial" w:cs="Arial"/>
              </w:rPr>
            </w:pPr>
            <w:r w:rsidRPr="00133E4D">
              <w:rPr>
                <w:rFonts w:ascii="Arial" w:hAnsi="Arial" w:cs="Arial"/>
              </w:rPr>
              <w:t>CMA undertakings; Ofcom regulation; GDPR; NSI Act</w:t>
            </w:r>
          </w:p>
        </w:tc>
        <w:tc>
          <w:tcPr>
            <w:tcW w:w="3041" w:type="dxa"/>
          </w:tcPr>
          <w:p w14:paraId="58A2F651" w14:textId="77777777" w:rsidR="00E14366" w:rsidRPr="00133E4D" w:rsidRDefault="00000000" w:rsidP="00133E4D">
            <w:pPr>
              <w:spacing w:after="40" w:line="360" w:lineRule="auto"/>
              <w:rPr>
                <w:rFonts w:ascii="Arial" w:hAnsi="Arial" w:cs="Arial"/>
              </w:rPr>
            </w:pPr>
            <w:r w:rsidRPr="00133E4D">
              <w:rPr>
                <w:rFonts w:ascii="Arial" w:hAnsi="Arial" w:cs="Arial"/>
              </w:rPr>
              <w:t>Compliance-intensive operating environment; ongoing government reporting obligation</w:t>
            </w:r>
          </w:p>
        </w:tc>
      </w:tr>
    </w:tbl>
    <w:p w14:paraId="1B07C8D8" w14:textId="77777777" w:rsidR="00E14366" w:rsidRPr="00133E4D" w:rsidRDefault="00E14366" w:rsidP="00133E4D">
      <w:pPr>
        <w:spacing w:line="360" w:lineRule="auto"/>
        <w:rPr>
          <w:rFonts w:ascii="Arial" w:hAnsi="Arial" w:cs="Arial"/>
        </w:rPr>
      </w:pPr>
    </w:p>
    <w:p w14:paraId="14B0B60D" w14:textId="47EB8BBC" w:rsidR="00E14366" w:rsidRPr="00133E4D" w:rsidRDefault="00AE1946" w:rsidP="00133E4D">
      <w:pPr>
        <w:spacing w:after="120" w:line="360" w:lineRule="auto"/>
        <w:rPr>
          <w:rFonts w:ascii="Arial" w:hAnsi="Arial" w:cs="Arial"/>
        </w:rPr>
      </w:pPr>
      <w:r w:rsidRPr="00133E4D">
        <w:rPr>
          <w:rFonts w:ascii="Arial" w:hAnsi="Arial" w:cs="Arial"/>
        </w:rPr>
        <w:t xml:space="preserve">The PESTEL analysis indicates that </w:t>
      </w:r>
      <w:proofErr w:type="spellStart"/>
      <w:r w:rsidRPr="00133E4D">
        <w:rPr>
          <w:rFonts w:ascii="Arial" w:hAnsi="Arial" w:cs="Arial"/>
        </w:rPr>
        <w:t>VodafoneThree</w:t>
      </w:r>
      <w:proofErr w:type="spellEnd"/>
      <w:r w:rsidRPr="00133E4D">
        <w:rPr>
          <w:rFonts w:ascii="Arial" w:hAnsi="Arial" w:cs="Arial"/>
        </w:rPr>
        <w:t xml:space="preserve"> operates in a highly regulated, technologically dynamic and socially evolving business environment that requires long-term strategic resilience. The technological and political dimensions are the most material to the recommended strategy: the 5G investment </w:t>
      </w:r>
      <w:proofErr w:type="spellStart"/>
      <w:r w:rsidRPr="00133E4D">
        <w:rPr>
          <w:rFonts w:ascii="Arial" w:hAnsi="Arial" w:cs="Arial"/>
        </w:rPr>
        <w:t>programme</w:t>
      </w:r>
      <w:proofErr w:type="spellEnd"/>
      <w:r w:rsidRPr="00133E4D">
        <w:rPr>
          <w:rFonts w:ascii="Arial" w:hAnsi="Arial" w:cs="Arial"/>
        </w:rPr>
        <w:t xml:space="preserve"> is both a regulatory obligation and a source of competitive advantage, while the NSI Act conditions reflect the enduring national security dimension of UK telecommunications infrastructure.</w:t>
      </w:r>
    </w:p>
    <w:p w14:paraId="5A44D14F" w14:textId="77777777" w:rsidR="00E14366" w:rsidRPr="00133E4D" w:rsidRDefault="00000000" w:rsidP="00133E4D">
      <w:pPr>
        <w:pStyle w:val="Heading2"/>
        <w:spacing w:line="360" w:lineRule="auto"/>
        <w:rPr>
          <w:rFonts w:ascii="Arial" w:hAnsi="Arial" w:cs="Arial"/>
          <w:sz w:val="22"/>
          <w:szCs w:val="22"/>
        </w:rPr>
      </w:pPr>
      <w:bookmarkStart w:id="30" w:name="_Toc234790838"/>
      <w:r w:rsidRPr="00133E4D">
        <w:rPr>
          <w:rFonts w:ascii="Arial" w:hAnsi="Arial" w:cs="Arial"/>
          <w:sz w:val="22"/>
          <w:szCs w:val="22"/>
        </w:rPr>
        <w:t xml:space="preserve">Figure A2. Porter's Five Forces Analysis of </w:t>
      </w:r>
      <w:proofErr w:type="spellStart"/>
      <w:r w:rsidRPr="00133E4D">
        <w:rPr>
          <w:rFonts w:ascii="Arial" w:hAnsi="Arial" w:cs="Arial"/>
          <w:sz w:val="22"/>
          <w:szCs w:val="22"/>
        </w:rPr>
        <w:t>VodafoneThree</w:t>
      </w:r>
      <w:bookmarkEnd w:id="30"/>
      <w:proofErr w:type="spellEnd"/>
    </w:p>
    <w:p w14:paraId="1D1EB392" w14:textId="77777777" w:rsidR="00E14366" w:rsidRPr="00133E4D" w:rsidRDefault="00000000" w:rsidP="00133E4D">
      <w:pPr>
        <w:spacing w:after="80" w:line="360" w:lineRule="auto"/>
        <w:rPr>
          <w:rFonts w:ascii="Arial" w:hAnsi="Arial" w:cs="Arial"/>
        </w:rPr>
      </w:pPr>
      <w:r w:rsidRPr="00133E4D">
        <w:rPr>
          <w:rFonts w:ascii="Arial" w:hAnsi="Arial" w:cs="Arial"/>
          <w:i/>
        </w:rPr>
        <w:t>Source: Author illustration based on Porter (1980), Ofcom (2024) and RootMetrics (2025).</w:t>
      </w:r>
    </w:p>
    <w:tbl>
      <w:tblPr>
        <w:tblStyle w:val="TableGrid"/>
        <w:tblW w:w="0" w:type="auto"/>
        <w:tblLook w:val="04A0" w:firstRow="1" w:lastRow="0" w:firstColumn="1" w:lastColumn="0" w:noHBand="0" w:noVBand="1"/>
      </w:tblPr>
      <w:tblGrid>
        <w:gridCol w:w="3041"/>
        <w:gridCol w:w="3041"/>
        <w:gridCol w:w="3041"/>
      </w:tblGrid>
      <w:tr w:rsidR="00E14366" w:rsidRPr="00133E4D" w14:paraId="3AACC8D9" w14:textId="77777777">
        <w:tc>
          <w:tcPr>
            <w:tcW w:w="3041" w:type="dxa"/>
            <w:shd w:val="clear" w:color="auto" w:fill="D9D9D9"/>
          </w:tcPr>
          <w:p w14:paraId="3DDBA2C9" w14:textId="77777777" w:rsidR="00E14366" w:rsidRPr="00133E4D" w:rsidRDefault="00000000" w:rsidP="00133E4D">
            <w:pPr>
              <w:spacing w:after="40" w:line="360" w:lineRule="auto"/>
              <w:rPr>
                <w:rFonts w:ascii="Arial" w:hAnsi="Arial" w:cs="Arial"/>
              </w:rPr>
            </w:pPr>
            <w:r w:rsidRPr="00133E4D">
              <w:rPr>
                <w:rFonts w:ascii="Arial" w:hAnsi="Arial" w:cs="Arial"/>
                <w:b/>
              </w:rPr>
              <w:t>Force</w:t>
            </w:r>
          </w:p>
        </w:tc>
        <w:tc>
          <w:tcPr>
            <w:tcW w:w="3041" w:type="dxa"/>
            <w:shd w:val="clear" w:color="auto" w:fill="D9D9D9"/>
          </w:tcPr>
          <w:p w14:paraId="2E00BC15" w14:textId="77777777" w:rsidR="00E14366" w:rsidRPr="00133E4D" w:rsidRDefault="00000000" w:rsidP="00133E4D">
            <w:pPr>
              <w:spacing w:after="40" w:line="360" w:lineRule="auto"/>
              <w:rPr>
                <w:rFonts w:ascii="Arial" w:hAnsi="Arial" w:cs="Arial"/>
              </w:rPr>
            </w:pPr>
            <w:r w:rsidRPr="00133E4D">
              <w:rPr>
                <w:rFonts w:ascii="Arial" w:hAnsi="Arial" w:cs="Arial"/>
                <w:b/>
              </w:rPr>
              <w:t>Intensity</w:t>
            </w:r>
          </w:p>
        </w:tc>
        <w:tc>
          <w:tcPr>
            <w:tcW w:w="3041" w:type="dxa"/>
            <w:shd w:val="clear" w:color="auto" w:fill="D9D9D9"/>
          </w:tcPr>
          <w:p w14:paraId="6D3C3AE8" w14:textId="77777777" w:rsidR="00E14366" w:rsidRPr="00133E4D" w:rsidRDefault="00000000" w:rsidP="00133E4D">
            <w:pPr>
              <w:spacing w:after="40" w:line="360" w:lineRule="auto"/>
              <w:rPr>
                <w:rFonts w:ascii="Arial" w:hAnsi="Arial" w:cs="Arial"/>
              </w:rPr>
            </w:pPr>
            <w:r w:rsidRPr="00133E4D">
              <w:rPr>
                <w:rFonts w:ascii="Arial" w:hAnsi="Arial" w:cs="Arial"/>
                <w:b/>
              </w:rPr>
              <w:t>Key Drivers</w:t>
            </w:r>
          </w:p>
        </w:tc>
      </w:tr>
      <w:tr w:rsidR="00E14366" w:rsidRPr="00133E4D" w14:paraId="0C2E80FB" w14:textId="77777777">
        <w:tc>
          <w:tcPr>
            <w:tcW w:w="3041" w:type="dxa"/>
          </w:tcPr>
          <w:p w14:paraId="11A1FC56" w14:textId="77777777" w:rsidR="00E14366" w:rsidRPr="00133E4D" w:rsidRDefault="00000000" w:rsidP="00133E4D">
            <w:pPr>
              <w:spacing w:after="40" w:line="360" w:lineRule="auto"/>
              <w:rPr>
                <w:rFonts w:ascii="Arial" w:hAnsi="Arial" w:cs="Arial"/>
              </w:rPr>
            </w:pPr>
            <w:r w:rsidRPr="00133E4D">
              <w:rPr>
                <w:rFonts w:ascii="Arial" w:hAnsi="Arial" w:cs="Arial"/>
              </w:rPr>
              <w:t>Competitive Rivalry</w:t>
            </w:r>
          </w:p>
        </w:tc>
        <w:tc>
          <w:tcPr>
            <w:tcW w:w="3041" w:type="dxa"/>
          </w:tcPr>
          <w:p w14:paraId="0E5A1802"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3041" w:type="dxa"/>
          </w:tcPr>
          <w:p w14:paraId="3157B103" w14:textId="77777777" w:rsidR="00E14366" w:rsidRPr="00133E4D" w:rsidRDefault="00000000" w:rsidP="00133E4D">
            <w:pPr>
              <w:spacing w:after="40" w:line="360" w:lineRule="auto"/>
              <w:rPr>
                <w:rFonts w:ascii="Arial" w:hAnsi="Arial" w:cs="Arial"/>
              </w:rPr>
            </w:pPr>
            <w:proofErr w:type="spellStart"/>
            <w:r w:rsidRPr="00133E4D">
              <w:rPr>
                <w:rFonts w:ascii="Arial" w:hAnsi="Arial" w:cs="Arial"/>
              </w:rPr>
              <w:t>VodafoneThree</w:t>
            </w:r>
            <w:proofErr w:type="spellEnd"/>
            <w:r w:rsidRPr="00133E4D">
              <w:rPr>
                <w:rFonts w:ascii="Arial" w:hAnsi="Arial" w:cs="Arial"/>
              </w:rPr>
              <w:t xml:space="preserve"> vs EE vs Virgin Media O2; close RootMetrics (2025) rankings; MVNO competition</w:t>
            </w:r>
          </w:p>
        </w:tc>
      </w:tr>
      <w:tr w:rsidR="00E14366" w:rsidRPr="00133E4D" w14:paraId="37D69621" w14:textId="77777777">
        <w:tc>
          <w:tcPr>
            <w:tcW w:w="3041" w:type="dxa"/>
          </w:tcPr>
          <w:p w14:paraId="6F16DC32" w14:textId="77777777" w:rsidR="00E14366" w:rsidRPr="00133E4D" w:rsidRDefault="00000000" w:rsidP="00133E4D">
            <w:pPr>
              <w:spacing w:after="40" w:line="360" w:lineRule="auto"/>
              <w:rPr>
                <w:rFonts w:ascii="Arial" w:hAnsi="Arial" w:cs="Arial"/>
              </w:rPr>
            </w:pPr>
            <w:r w:rsidRPr="00133E4D">
              <w:rPr>
                <w:rFonts w:ascii="Arial" w:hAnsi="Arial" w:cs="Arial"/>
              </w:rPr>
              <w:t>Threat of New Entrants</w:t>
            </w:r>
          </w:p>
        </w:tc>
        <w:tc>
          <w:tcPr>
            <w:tcW w:w="3041" w:type="dxa"/>
          </w:tcPr>
          <w:p w14:paraId="5B0A6126" w14:textId="77777777" w:rsidR="00E14366" w:rsidRPr="00133E4D" w:rsidRDefault="00000000" w:rsidP="00133E4D">
            <w:pPr>
              <w:spacing w:after="40" w:line="360" w:lineRule="auto"/>
              <w:rPr>
                <w:rFonts w:ascii="Arial" w:hAnsi="Arial" w:cs="Arial"/>
              </w:rPr>
            </w:pPr>
            <w:r w:rsidRPr="00133E4D">
              <w:rPr>
                <w:rFonts w:ascii="Arial" w:hAnsi="Arial" w:cs="Arial"/>
              </w:rPr>
              <w:t>Low</w:t>
            </w:r>
          </w:p>
        </w:tc>
        <w:tc>
          <w:tcPr>
            <w:tcW w:w="3041" w:type="dxa"/>
          </w:tcPr>
          <w:p w14:paraId="383DD9BA" w14:textId="77777777" w:rsidR="00E14366" w:rsidRPr="00133E4D" w:rsidRDefault="00000000" w:rsidP="00133E4D">
            <w:pPr>
              <w:spacing w:after="40" w:line="360" w:lineRule="auto"/>
              <w:rPr>
                <w:rFonts w:ascii="Arial" w:hAnsi="Arial" w:cs="Arial"/>
              </w:rPr>
            </w:pPr>
            <w:r w:rsidRPr="00133E4D">
              <w:rPr>
                <w:rFonts w:ascii="Arial" w:hAnsi="Arial" w:cs="Arial"/>
              </w:rPr>
              <w:t>High infrastructure costs; spectrum licensing; regulatory barriers to full-network entry</w:t>
            </w:r>
          </w:p>
        </w:tc>
      </w:tr>
      <w:tr w:rsidR="00E14366" w:rsidRPr="00133E4D" w14:paraId="0E21786E" w14:textId="77777777">
        <w:tc>
          <w:tcPr>
            <w:tcW w:w="3041" w:type="dxa"/>
          </w:tcPr>
          <w:p w14:paraId="3E4A367F" w14:textId="77777777" w:rsidR="00E14366" w:rsidRPr="00133E4D" w:rsidRDefault="00000000" w:rsidP="00133E4D">
            <w:pPr>
              <w:spacing w:after="40" w:line="360" w:lineRule="auto"/>
              <w:rPr>
                <w:rFonts w:ascii="Arial" w:hAnsi="Arial" w:cs="Arial"/>
              </w:rPr>
            </w:pPr>
            <w:r w:rsidRPr="00133E4D">
              <w:rPr>
                <w:rFonts w:ascii="Arial" w:hAnsi="Arial" w:cs="Arial"/>
              </w:rPr>
              <w:t>Buyer Power</w:t>
            </w:r>
          </w:p>
        </w:tc>
        <w:tc>
          <w:tcPr>
            <w:tcW w:w="3041" w:type="dxa"/>
          </w:tcPr>
          <w:p w14:paraId="40197D0E"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3041" w:type="dxa"/>
          </w:tcPr>
          <w:p w14:paraId="2CDF508A" w14:textId="77777777" w:rsidR="00E14366" w:rsidRPr="00133E4D" w:rsidRDefault="00000000" w:rsidP="00133E4D">
            <w:pPr>
              <w:spacing w:after="40" w:line="360" w:lineRule="auto"/>
              <w:rPr>
                <w:rFonts w:ascii="Arial" w:hAnsi="Arial" w:cs="Arial"/>
              </w:rPr>
            </w:pPr>
            <w:r w:rsidRPr="00133E4D">
              <w:rPr>
                <w:rFonts w:ascii="Arial" w:hAnsi="Arial" w:cs="Arial"/>
              </w:rPr>
              <w:t>Easy switching; CMA price caps until ~2028; informed consumers</w:t>
            </w:r>
          </w:p>
        </w:tc>
      </w:tr>
      <w:tr w:rsidR="00E14366" w:rsidRPr="00133E4D" w14:paraId="1B0461A3" w14:textId="77777777">
        <w:tc>
          <w:tcPr>
            <w:tcW w:w="3041" w:type="dxa"/>
          </w:tcPr>
          <w:p w14:paraId="3515D393" w14:textId="77777777" w:rsidR="00E14366" w:rsidRPr="00133E4D" w:rsidRDefault="00000000" w:rsidP="00133E4D">
            <w:pPr>
              <w:spacing w:after="40" w:line="360" w:lineRule="auto"/>
              <w:rPr>
                <w:rFonts w:ascii="Arial" w:hAnsi="Arial" w:cs="Arial"/>
              </w:rPr>
            </w:pPr>
            <w:r w:rsidRPr="00133E4D">
              <w:rPr>
                <w:rFonts w:ascii="Arial" w:hAnsi="Arial" w:cs="Arial"/>
              </w:rPr>
              <w:t>Supplier Power</w:t>
            </w:r>
          </w:p>
        </w:tc>
        <w:tc>
          <w:tcPr>
            <w:tcW w:w="3041" w:type="dxa"/>
          </w:tcPr>
          <w:p w14:paraId="21629069" w14:textId="77777777" w:rsidR="00E14366" w:rsidRPr="00133E4D" w:rsidRDefault="00000000" w:rsidP="00133E4D">
            <w:pPr>
              <w:spacing w:after="40" w:line="360" w:lineRule="auto"/>
              <w:rPr>
                <w:rFonts w:ascii="Arial" w:hAnsi="Arial" w:cs="Arial"/>
              </w:rPr>
            </w:pPr>
            <w:r w:rsidRPr="00133E4D">
              <w:rPr>
                <w:rFonts w:ascii="Arial" w:hAnsi="Arial" w:cs="Arial"/>
              </w:rPr>
              <w:t>Moderate</w:t>
            </w:r>
          </w:p>
        </w:tc>
        <w:tc>
          <w:tcPr>
            <w:tcW w:w="3041" w:type="dxa"/>
          </w:tcPr>
          <w:p w14:paraId="5D4AD619" w14:textId="77777777" w:rsidR="00E14366" w:rsidRPr="00133E4D" w:rsidRDefault="00000000" w:rsidP="00133E4D">
            <w:pPr>
              <w:spacing w:after="40" w:line="360" w:lineRule="auto"/>
              <w:rPr>
                <w:rFonts w:ascii="Arial" w:hAnsi="Arial" w:cs="Arial"/>
              </w:rPr>
            </w:pPr>
            <w:r w:rsidRPr="00133E4D">
              <w:rPr>
                <w:rFonts w:ascii="Arial" w:hAnsi="Arial" w:cs="Arial"/>
              </w:rPr>
              <w:t>Concentration among Ericsson and Nokia; limited substitutes for 5G RAN equipment</w:t>
            </w:r>
          </w:p>
        </w:tc>
      </w:tr>
      <w:tr w:rsidR="00E14366" w:rsidRPr="00133E4D" w14:paraId="15308724" w14:textId="77777777">
        <w:tc>
          <w:tcPr>
            <w:tcW w:w="3041" w:type="dxa"/>
          </w:tcPr>
          <w:p w14:paraId="12227AEA" w14:textId="77777777" w:rsidR="00E14366" w:rsidRPr="00133E4D" w:rsidRDefault="00000000" w:rsidP="00133E4D">
            <w:pPr>
              <w:spacing w:after="40" w:line="360" w:lineRule="auto"/>
              <w:rPr>
                <w:rFonts w:ascii="Arial" w:hAnsi="Arial" w:cs="Arial"/>
              </w:rPr>
            </w:pPr>
            <w:r w:rsidRPr="00133E4D">
              <w:rPr>
                <w:rFonts w:ascii="Arial" w:hAnsi="Arial" w:cs="Arial"/>
              </w:rPr>
              <w:t>Threat of Substitutes</w:t>
            </w:r>
          </w:p>
        </w:tc>
        <w:tc>
          <w:tcPr>
            <w:tcW w:w="3041" w:type="dxa"/>
          </w:tcPr>
          <w:p w14:paraId="4FD22E89" w14:textId="77777777" w:rsidR="00E14366" w:rsidRPr="00133E4D" w:rsidRDefault="00000000" w:rsidP="00133E4D">
            <w:pPr>
              <w:spacing w:after="40" w:line="360" w:lineRule="auto"/>
              <w:rPr>
                <w:rFonts w:ascii="Arial" w:hAnsi="Arial" w:cs="Arial"/>
              </w:rPr>
            </w:pPr>
            <w:r w:rsidRPr="00133E4D">
              <w:rPr>
                <w:rFonts w:ascii="Arial" w:hAnsi="Arial" w:cs="Arial"/>
              </w:rPr>
              <w:t>Moderate</w:t>
            </w:r>
          </w:p>
        </w:tc>
        <w:tc>
          <w:tcPr>
            <w:tcW w:w="3041" w:type="dxa"/>
          </w:tcPr>
          <w:p w14:paraId="4D501B34"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OTT messaging/voice eroding SMS and call revenues; growing IoT </w:t>
            </w:r>
            <w:r w:rsidRPr="00133E4D">
              <w:rPr>
                <w:rFonts w:ascii="Arial" w:hAnsi="Arial" w:cs="Arial"/>
              </w:rPr>
              <w:lastRenderedPageBreak/>
              <w:t>substitution of legacy services</w:t>
            </w:r>
          </w:p>
        </w:tc>
      </w:tr>
    </w:tbl>
    <w:p w14:paraId="01BD1D1D" w14:textId="77777777" w:rsidR="00E14366" w:rsidRPr="00133E4D" w:rsidRDefault="00E14366" w:rsidP="00133E4D">
      <w:pPr>
        <w:spacing w:line="360" w:lineRule="auto"/>
        <w:rPr>
          <w:rFonts w:ascii="Arial" w:hAnsi="Arial" w:cs="Arial"/>
        </w:rPr>
      </w:pPr>
    </w:p>
    <w:p w14:paraId="4F129B61" w14:textId="77777777" w:rsidR="00E14366" w:rsidRPr="00133E4D" w:rsidRDefault="00000000" w:rsidP="00133E4D">
      <w:pPr>
        <w:spacing w:after="120" w:line="360" w:lineRule="auto"/>
        <w:rPr>
          <w:rFonts w:ascii="Arial" w:hAnsi="Arial" w:cs="Arial"/>
        </w:rPr>
      </w:pPr>
      <w:r w:rsidRPr="00133E4D">
        <w:rPr>
          <w:rFonts w:ascii="Arial" w:hAnsi="Arial" w:cs="Arial"/>
        </w:rPr>
        <w:t xml:space="preserve">The Five Forces analysis confirms that competitive rivalry and buyer power are the dominant forces shaping </w:t>
      </w:r>
      <w:proofErr w:type="spellStart"/>
      <w:r w:rsidRPr="00133E4D">
        <w:rPr>
          <w:rFonts w:ascii="Arial" w:hAnsi="Arial" w:cs="Arial"/>
        </w:rPr>
        <w:t>VodafoneThree's</w:t>
      </w:r>
      <w:proofErr w:type="spellEnd"/>
      <w:r w:rsidRPr="00133E4D">
        <w:rPr>
          <w:rFonts w:ascii="Arial" w:hAnsi="Arial" w:cs="Arial"/>
        </w:rPr>
        <w:t xml:space="preserve"> competitive environment. The low threat of new entrants provides a degree of structural protection, but this should not be conflated with competitive safety: MVNOs can intensify price competition without full infrastructure investment, requiring </w:t>
      </w:r>
      <w:proofErr w:type="spellStart"/>
      <w:r w:rsidRPr="00133E4D">
        <w:rPr>
          <w:rFonts w:ascii="Arial" w:hAnsi="Arial" w:cs="Arial"/>
        </w:rPr>
        <w:t>VodafoneThree</w:t>
      </w:r>
      <w:proofErr w:type="spellEnd"/>
      <w:r w:rsidRPr="00133E4D">
        <w:rPr>
          <w:rFonts w:ascii="Arial" w:hAnsi="Arial" w:cs="Arial"/>
        </w:rPr>
        <w:t xml:space="preserve"> to maintain a clear quality premium that justifies higher price points.</w:t>
      </w:r>
    </w:p>
    <w:p w14:paraId="17DFBAC6" w14:textId="77777777" w:rsidR="00E14366" w:rsidRPr="00133E4D" w:rsidRDefault="00000000" w:rsidP="00133E4D">
      <w:pPr>
        <w:pStyle w:val="Heading2"/>
        <w:spacing w:line="360" w:lineRule="auto"/>
        <w:rPr>
          <w:rFonts w:ascii="Arial" w:hAnsi="Arial" w:cs="Arial"/>
          <w:sz w:val="22"/>
          <w:szCs w:val="22"/>
        </w:rPr>
      </w:pPr>
      <w:bookmarkStart w:id="31" w:name="_Toc234790839"/>
      <w:r w:rsidRPr="00133E4D">
        <w:rPr>
          <w:rFonts w:ascii="Arial" w:hAnsi="Arial" w:cs="Arial"/>
          <w:sz w:val="22"/>
          <w:szCs w:val="22"/>
        </w:rPr>
        <w:t xml:space="preserve">Table A1a. VRIO Analysis of </w:t>
      </w:r>
      <w:proofErr w:type="spellStart"/>
      <w:r w:rsidRPr="00133E4D">
        <w:rPr>
          <w:rFonts w:ascii="Arial" w:hAnsi="Arial" w:cs="Arial"/>
          <w:sz w:val="22"/>
          <w:szCs w:val="22"/>
        </w:rPr>
        <w:t>VodafoneThree</w:t>
      </w:r>
      <w:bookmarkEnd w:id="31"/>
      <w:proofErr w:type="spellEnd"/>
    </w:p>
    <w:p w14:paraId="7D0D02EF" w14:textId="77777777" w:rsidR="00E14366" w:rsidRPr="00133E4D" w:rsidRDefault="00000000" w:rsidP="00133E4D">
      <w:pPr>
        <w:spacing w:after="80" w:line="360" w:lineRule="auto"/>
        <w:rPr>
          <w:rFonts w:ascii="Arial" w:hAnsi="Arial" w:cs="Arial"/>
        </w:rPr>
      </w:pPr>
      <w:r w:rsidRPr="00133E4D">
        <w:rPr>
          <w:rFonts w:ascii="Arial" w:hAnsi="Arial" w:cs="Arial"/>
          <w:i/>
        </w:rPr>
        <w:t>Source: Barney (1991), Vodafone Group Plc (2025) and Ofcom (2024).</w:t>
      </w:r>
    </w:p>
    <w:tbl>
      <w:tblPr>
        <w:tblStyle w:val="TableGrid"/>
        <w:tblW w:w="0" w:type="auto"/>
        <w:tblLook w:val="04A0" w:firstRow="1" w:lastRow="0" w:firstColumn="1" w:lastColumn="0" w:noHBand="0" w:noVBand="1"/>
      </w:tblPr>
      <w:tblGrid>
        <w:gridCol w:w="1520"/>
        <w:gridCol w:w="1520"/>
        <w:gridCol w:w="1520"/>
        <w:gridCol w:w="1520"/>
        <w:gridCol w:w="1520"/>
        <w:gridCol w:w="1520"/>
      </w:tblGrid>
      <w:tr w:rsidR="00E14366" w:rsidRPr="00133E4D" w14:paraId="1973FA51" w14:textId="77777777">
        <w:tc>
          <w:tcPr>
            <w:tcW w:w="1520" w:type="dxa"/>
            <w:shd w:val="clear" w:color="auto" w:fill="D9D9D9"/>
          </w:tcPr>
          <w:p w14:paraId="77369630" w14:textId="77777777" w:rsidR="00E14366" w:rsidRPr="00133E4D" w:rsidRDefault="00000000" w:rsidP="00133E4D">
            <w:pPr>
              <w:spacing w:after="40" w:line="360" w:lineRule="auto"/>
              <w:rPr>
                <w:rFonts w:ascii="Arial" w:hAnsi="Arial" w:cs="Arial"/>
              </w:rPr>
            </w:pPr>
            <w:r w:rsidRPr="00133E4D">
              <w:rPr>
                <w:rFonts w:ascii="Arial" w:hAnsi="Arial" w:cs="Arial"/>
                <w:b/>
              </w:rPr>
              <w:t>Resource / Capability</w:t>
            </w:r>
          </w:p>
        </w:tc>
        <w:tc>
          <w:tcPr>
            <w:tcW w:w="1520" w:type="dxa"/>
            <w:shd w:val="clear" w:color="auto" w:fill="D9D9D9"/>
          </w:tcPr>
          <w:p w14:paraId="042CA9F3" w14:textId="77777777" w:rsidR="00E14366" w:rsidRPr="00133E4D" w:rsidRDefault="00000000" w:rsidP="00133E4D">
            <w:pPr>
              <w:spacing w:after="40" w:line="360" w:lineRule="auto"/>
              <w:rPr>
                <w:rFonts w:ascii="Arial" w:hAnsi="Arial" w:cs="Arial"/>
              </w:rPr>
            </w:pPr>
            <w:r w:rsidRPr="00133E4D">
              <w:rPr>
                <w:rFonts w:ascii="Arial" w:hAnsi="Arial" w:cs="Arial"/>
                <w:b/>
              </w:rPr>
              <w:t>Valuable</w:t>
            </w:r>
          </w:p>
        </w:tc>
        <w:tc>
          <w:tcPr>
            <w:tcW w:w="1520" w:type="dxa"/>
            <w:shd w:val="clear" w:color="auto" w:fill="D9D9D9"/>
          </w:tcPr>
          <w:p w14:paraId="40808227" w14:textId="77777777" w:rsidR="00E14366" w:rsidRPr="00133E4D" w:rsidRDefault="00000000" w:rsidP="00133E4D">
            <w:pPr>
              <w:spacing w:after="40" w:line="360" w:lineRule="auto"/>
              <w:rPr>
                <w:rFonts w:ascii="Arial" w:hAnsi="Arial" w:cs="Arial"/>
              </w:rPr>
            </w:pPr>
            <w:r w:rsidRPr="00133E4D">
              <w:rPr>
                <w:rFonts w:ascii="Arial" w:hAnsi="Arial" w:cs="Arial"/>
                <w:b/>
              </w:rPr>
              <w:t>Rare</w:t>
            </w:r>
          </w:p>
        </w:tc>
        <w:tc>
          <w:tcPr>
            <w:tcW w:w="1520" w:type="dxa"/>
            <w:shd w:val="clear" w:color="auto" w:fill="D9D9D9"/>
          </w:tcPr>
          <w:p w14:paraId="1D0DF8D2" w14:textId="77777777" w:rsidR="00E14366" w:rsidRPr="00133E4D" w:rsidRDefault="00000000" w:rsidP="00133E4D">
            <w:pPr>
              <w:spacing w:after="40" w:line="360" w:lineRule="auto"/>
              <w:rPr>
                <w:rFonts w:ascii="Arial" w:hAnsi="Arial" w:cs="Arial"/>
              </w:rPr>
            </w:pPr>
            <w:r w:rsidRPr="00133E4D">
              <w:rPr>
                <w:rFonts w:ascii="Arial" w:hAnsi="Arial" w:cs="Arial"/>
                <w:b/>
              </w:rPr>
              <w:t>Inimitable</w:t>
            </w:r>
          </w:p>
        </w:tc>
        <w:tc>
          <w:tcPr>
            <w:tcW w:w="1520" w:type="dxa"/>
            <w:shd w:val="clear" w:color="auto" w:fill="D9D9D9"/>
          </w:tcPr>
          <w:p w14:paraId="3C0F6449" w14:textId="77777777" w:rsidR="00E14366" w:rsidRPr="00133E4D" w:rsidRDefault="00000000" w:rsidP="00133E4D">
            <w:pPr>
              <w:spacing w:after="40" w:line="360" w:lineRule="auto"/>
              <w:rPr>
                <w:rFonts w:ascii="Arial" w:hAnsi="Arial" w:cs="Arial"/>
              </w:rPr>
            </w:pPr>
            <w:proofErr w:type="spellStart"/>
            <w:r w:rsidRPr="00133E4D">
              <w:rPr>
                <w:rFonts w:ascii="Arial" w:hAnsi="Arial" w:cs="Arial"/>
                <w:b/>
              </w:rPr>
              <w:t>Organised</w:t>
            </w:r>
            <w:proofErr w:type="spellEnd"/>
          </w:p>
        </w:tc>
        <w:tc>
          <w:tcPr>
            <w:tcW w:w="1520" w:type="dxa"/>
            <w:shd w:val="clear" w:color="auto" w:fill="D9D9D9"/>
          </w:tcPr>
          <w:p w14:paraId="35870FC0" w14:textId="77777777" w:rsidR="00E14366" w:rsidRPr="00133E4D" w:rsidRDefault="00000000" w:rsidP="00133E4D">
            <w:pPr>
              <w:spacing w:after="40" w:line="360" w:lineRule="auto"/>
              <w:rPr>
                <w:rFonts w:ascii="Arial" w:hAnsi="Arial" w:cs="Arial"/>
              </w:rPr>
            </w:pPr>
            <w:r w:rsidRPr="00133E4D">
              <w:rPr>
                <w:rFonts w:ascii="Arial" w:hAnsi="Arial" w:cs="Arial"/>
                <w:b/>
              </w:rPr>
              <w:t>Competitive Implication</w:t>
            </w:r>
          </w:p>
        </w:tc>
      </w:tr>
      <w:tr w:rsidR="00E14366" w:rsidRPr="00133E4D" w14:paraId="3CE13173" w14:textId="77777777">
        <w:tc>
          <w:tcPr>
            <w:tcW w:w="1520" w:type="dxa"/>
          </w:tcPr>
          <w:p w14:paraId="1156A66F" w14:textId="77777777" w:rsidR="00E14366" w:rsidRPr="00133E4D" w:rsidRDefault="00000000" w:rsidP="00133E4D">
            <w:pPr>
              <w:spacing w:after="40" w:line="360" w:lineRule="auto"/>
              <w:rPr>
                <w:rFonts w:ascii="Arial" w:hAnsi="Arial" w:cs="Arial"/>
              </w:rPr>
            </w:pPr>
            <w:r w:rsidRPr="00133E4D">
              <w:rPr>
                <w:rFonts w:ascii="Arial" w:hAnsi="Arial" w:cs="Arial"/>
              </w:rPr>
              <w:t>Expanded 5G spectrum (Vodafone + Three)</w:t>
            </w:r>
          </w:p>
        </w:tc>
        <w:tc>
          <w:tcPr>
            <w:tcW w:w="1520" w:type="dxa"/>
          </w:tcPr>
          <w:p w14:paraId="443B9BDC"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3DD70EDA"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7E61A96B"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03AD611D"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2D735719" w14:textId="77777777" w:rsidR="00E14366" w:rsidRPr="00133E4D" w:rsidRDefault="00000000" w:rsidP="00133E4D">
            <w:pPr>
              <w:spacing w:after="40" w:line="360" w:lineRule="auto"/>
              <w:rPr>
                <w:rFonts w:ascii="Arial" w:hAnsi="Arial" w:cs="Arial"/>
              </w:rPr>
            </w:pPr>
            <w:r w:rsidRPr="00133E4D">
              <w:rPr>
                <w:rFonts w:ascii="Arial" w:hAnsi="Arial" w:cs="Arial"/>
              </w:rPr>
              <w:t>Sustainable competitive advantage</w:t>
            </w:r>
          </w:p>
        </w:tc>
      </w:tr>
      <w:tr w:rsidR="00E14366" w:rsidRPr="00133E4D" w14:paraId="6C69F94D" w14:textId="77777777">
        <w:tc>
          <w:tcPr>
            <w:tcW w:w="1520" w:type="dxa"/>
          </w:tcPr>
          <w:p w14:paraId="2632DAAD" w14:textId="77777777" w:rsidR="00E14366" w:rsidRPr="00133E4D" w:rsidRDefault="00000000" w:rsidP="00133E4D">
            <w:pPr>
              <w:spacing w:after="40" w:line="360" w:lineRule="auto"/>
              <w:rPr>
                <w:rFonts w:ascii="Arial" w:hAnsi="Arial" w:cs="Arial"/>
              </w:rPr>
            </w:pPr>
            <w:r w:rsidRPr="00133E4D">
              <w:rPr>
                <w:rFonts w:ascii="Arial" w:hAnsi="Arial" w:cs="Arial"/>
              </w:rPr>
              <w:t>Vodafone brand reputation</w:t>
            </w:r>
          </w:p>
        </w:tc>
        <w:tc>
          <w:tcPr>
            <w:tcW w:w="1520" w:type="dxa"/>
          </w:tcPr>
          <w:p w14:paraId="07FBE6C8"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65D14884"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28D7E332" w14:textId="77777777" w:rsidR="00E14366" w:rsidRPr="00133E4D" w:rsidRDefault="00000000" w:rsidP="00133E4D">
            <w:pPr>
              <w:spacing w:after="40" w:line="360" w:lineRule="auto"/>
              <w:rPr>
                <w:rFonts w:ascii="Arial" w:hAnsi="Arial" w:cs="Arial"/>
              </w:rPr>
            </w:pPr>
            <w:r w:rsidRPr="00133E4D">
              <w:rPr>
                <w:rFonts w:ascii="Arial" w:hAnsi="Arial" w:cs="Arial"/>
              </w:rPr>
              <w:t>Partial</w:t>
            </w:r>
          </w:p>
        </w:tc>
        <w:tc>
          <w:tcPr>
            <w:tcW w:w="1520" w:type="dxa"/>
          </w:tcPr>
          <w:p w14:paraId="7D33B693"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43F01532" w14:textId="77777777" w:rsidR="00E14366" w:rsidRPr="00133E4D" w:rsidRDefault="00000000" w:rsidP="00133E4D">
            <w:pPr>
              <w:spacing w:after="40" w:line="360" w:lineRule="auto"/>
              <w:rPr>
                <w:rFonts w:ascii="Arial" w:hAnsi="Arial" w:cs="Arial"/>
              </w:rPr>
            </w:pPr>
            <w:r w:rsidRPr="00133E4D">
              <w:rPr>
                <w:rFonts w:ascii="Arial" w:hAnsi="Arial" w:cs="Arial"/>
              </w:rPr>
              <w:t>Temporary competitive advantage</w:t>
            </w:r>
          </w:p>
        </w:tc>
      </w:tr>
      <w:tr w:rsidR="00E14366" w:rsidRPr="00133E4D" w14:paraId="590422FE" w14:textId="77777777">
        <w:tc>
          <w:tcPr>
            <w:tcW w:w="1520" w:type="dxa"/>
          </w:tcPr>
          <w:p w14:paraId="388DEC85" w14:textId="77777777" w:rsidR="00E14366" w:rsidRPr="00133E4D" w:rsidRDefault="00000000" w:rsidP="00133E4D">
            <w:pPr>
              <w:spacing w:after="40" w:line="360" w:lineRule="auto"/>
              <w:rPr>
                <w:rFonts w:ascii="Arial" w:hAnsi="Arial" w:cs="Arial"/>
              </w:rPr>
            </w:pPr>
            <w:r w:rsidRPr="00133E4D">
              <w:rPr>
                <w:rFonts w:ascii="Arial" w:hAnsi="Arial" w:cs="Arial"/>
              </w:rPr>
              <w:t>Customer base (27 million)</w:t>
            </w:r>
          </w:p>
        </w:tc>
        <w:tc>
          <w:tcPr>
            <w:tcW w:w="1520" w:type="dxa"/>
          </w:tcPr>
          <w:p w14:paraId="37B7735F"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13D1E12D"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75B830C5"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3633E2F6"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7F96D8B2" w14:textId="77777777" w:rsidR="00E14366" w:rsidRPr="00133E4D" w:rsidRDefault="00000000" w:rsidP="00133E4D">
            <w:pPr>
              <w:spacing w:after="40" w:line="360" w:lineRule="auto"/>
              <w:rPr>
                <w:rFonts w:ascii="Arial" w:hAnsi="Arial" w:cs="Arial"/>
              </w:rPr>
            </w:pPr>
            <w:r w:rsidRPr="00133E4D">
              <w:rPr>
                <w:rFonts w:ascii="Arial" w:hAnsi="Arial" w:cs="Arial"/>
              </w:rPr>
              <w:t>Competitive parity</w:t>
            </w:r>
          </w:p>
        </w:tc>
      </w:tr>
      <w:tr w:rsidR="00E14366" w:rsidRPr="00133E4D" w14:paraId="0D4952DA" w14:textId="77777777">
        <w:tc>
          <w:tcPr>
            <w:tcW w:w="1520" w:type="dxa"/>
          </w:tcPr>
          <w:p w14:paraId="0EBF4DB5"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£11bn investment </w:t>
            </w:r>
            <w:proofErr w:type="spellStart"/>
            <w:r w:rsidRPr="00133E4D">
              <w:rPr>
                <w:rFonts w:ascii="Arial" w:hAnsi="Arial" w:cs="Arial"/>
              </w:rPr>
              <w:t>programme</w:t>
            </w:r>
            <w:proofErr w:type="spellEnd"/>
          </w:p>
        </w:tc>
        <w:tc>
          <w:tcPr>
            <w:tcW w:w="1520" w:type="dxa"/>
          </w:tcPr>
          <w:p w14:paraId="5C14CDA7"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252262A6"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332F521F"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396E449B"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564AC3E0" w14:textId="77777777" w:rsidR="00E14366" w:rsidRPr="00133E4D" w:rsidRDefault="00000000" w:rsidP="00133E4D">
            <w:pPr>
              <w:spacing w:after="40" w:line="360" w:lineRule="auto"/>
              <w:rPr>
                <w:rFonts w:ascii="Arial" w:hAnsi="Arial" w:cs="Arial"/>
              </w:rPr>
            </w:pPr>
            <w:r w:rsidRPr="00133E4D">
              <w:rPr>
                <w:rFonts w:ascii="Arial" w:hAnsi="Arial" w:cs="Arial"/>
              </w:rPr>
              <w:t>Sustainable competitive advantage</w:t>
            </w:r>
          </w:p>
        </w:tc>
      </w:tr>
      <w:tr w:rsidR="00E14366" w:rsidRPr="00133E4D" w14:paraId="15122A41" w14:textId="77777777">
        <w:tc>
          <w:tcPr>
            <w:tcW w:w="1520" w:type="dxa"/>
          </w:tcPr>
          <w:p w14:paraId="50FC2CF1" w14:textId="77777777" w:rsidR="00E14366" w:rsidRPr="00133E4D" w:rsidRDefault="00000000" w:rsidP="00133E4D">
            <w:pPr>
              <w:spacing w:after="40" w:line="360" w:lineRule="auto"/>
              <w:rPr>
                <w:rFonts w:ascii="Arial" w:hAnsi="Arial" w:cs="Arial"/>
              </w:rPr>
            </w:pPr>
            <w:r w:rsidRPr="00133E4D">
              <w:rPr>
                <w:rFonts w:ascii="Arial" w:hAnsi="Arial" w:cs="Arial"/>
              </w:rPr>
              <w:t>Digital expertise (AI, IoT, Cloud)</w:t>
            </w:r>
          </w:p>
        </w:tc>
        <w:tc>
          <w:tcPr>
            <w:tcW w:w="1520" w:type="dxa"/>
          </w:tcPr>
          <w:p w14:paraId="7554F8C8"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57D90BB0" w14:textId="77777777" w:rsidR="00E14366" w:rsidRPr="00133E4D" w:rsidRDefault="00000000" w:rsidP="00133E4D">
            <w:pPr>
              <w:spacing w:after="40" w:line="360" w:lineRule="auto"/>
              <w:rPr>
                <w:rFonts w:ascii="Arial" w:hAnsi="Arial" w:cs="Arial"/>
              </w:rPr>
            </w:pPr>
            <w:r w:rsidRPr="00133E4D">
              <w:rPr>
                <w:rFonts w:ascii="Arial" w:hAnsi="Arial" w:cs="Arial"/>
              </w:rPr>
              <w:t>Partial</w:t>
            </w:r>
          </w:p>
        </w:tc>
        <w:tc>
          <w:tcPr>
            <w:tcW w:w="1520" w:type="dxa"/>
          </w:tcPr>
          <w:p w14:paraId="3CA242AB" w14:textId="77777777" w:rsidR="00E14366" w:rsidRPr="00133E4D" w:rsidRDefault="00000000" w:rsidP="00133E4D">
            <w:pPr>
              <w:spacing w:after="40" w:line="360" w:lineRule="auto"/>
              <w:rPr>
                <w:rFonts w:ascii="Arial" w:hAnsi="Arial" w:cs="Arial"/>
              </w:rPr>
            </w:pPr>
            <w:r w:rsidRPr="00133E4D">
              <w:rPr>
                <w:rFonts w:ascii="Arial" w:hAnsi="Arial" w:cs="Arial"/>
              </w:rPr>
              <w:t>Partial</w:t>
            </w:r>
          </w:p>
        </w:tc>
        <w:tc>
          <w:tcPr>
            <w:tcW w:w="1520" w:type="dxa"/>
          </w:tcPr>
          <w:p w14:paraId="37E46AE5" w14:textId="77777777" w:rsidR="00E14366" w:rsidRPr="00133E4D" w:rsidRDefault="00000000" w:rsidP="00133E4D">
            <w:pPr>
              <w:spacing w:after="40" w:line="360" w:lineRule="auto"/>
              <w:rPr>
                <w:rFonts w:ascii="Arial" w:hAnsi="Arial" w:cs="Arial"/>
              </w:rPr>
            </w:pPr>
            <w:r w:rsidRPr="00133E4D">
              <w:rPr>
                <w:rFonts w:ascii="Segoe UI Symbol" w:hAnsi="Segoe UI Symbol" w:cs="Segoe UI Symbol"/>
              </w:rPr>
              <w:t>✓</w:t>
            </w:r>
          </w:p>
        </w:tc>
        <w:tc>
          <w:tcPr>
            <w:tcW w:w="1520" w:type="dxa"/>
          </w:tcPr>
          <w:p w14:paraId="50E5A5B0" w14:textId="77777777" w:rsidR="00E14366" w:rsidRPr="00133E4D" w:rsidRDefault="00000000" w:rsidP="00133E4D">
            <w:pPr>
              <w:spacing w:after="40" w:line="360" w:lineRule="auto"/>
              <w:rPr>
                <w:rFonts w:ascii="Arial" w:hAnsi="Arial" w:cs="Arial"/>
              </w:rPr>
            </w:pPr>
            <w:r w:rsidRPr="00133E4D">
              <w:rPr>
                <w:rFonts w:ascii="Arial" w:hAnsi="Arial" w:cs="Arial"/>
              </w:rPr>
              <w:t>Temporary competitive advantage</w:t>
            </w:r>
          </w:p>
        </w:tc>
      </w:tr>
    </w:tbl>
    <w:p w14:paraId="74EBC6DE" w14:textId="77777777" w:rsidR="00E14366" w:rsidRPr="00133E4D" w:rsidRDefault="00E14366" w:rsidP="00133E4D">
      <w:pPr>
        <w:spacing w:line="360" w:lineRule="auto"/>
        <w:rPr>
          <w:rFonts w:ascii="Arial" w:hAnsi="Arial" w:cs="Arial"/>
        </w:rPr>
      </w:pPr>
    </w:p>
    <w:p w14:paraId="143928E3" w14:textId="77777777" w:rsidR="00E14366" w:rsidRPr="00133E4D" w:rsidRDefault="00000000" w:rsidP="00133E4D">
      <w:pPr>
        <w:pStyle w:val="Heading2"/>
        <w:spacing w:line="360" w:lineRule="auto"/>
        <w:rPr>
          <w:rFonts w:ascii="Arial" w:hAnsi="Arial" w:cs="Arial"/>
          <w:sz w:val="22"/>
          <w:szCs w:val="22"/>
        </w:rPr>
      </w:pPr>
      <w:bookmarkStart w:id="32" w:name="_Toc234790840"/>
      <w:r w:rsidRPr="00133E4D">
        <w:rPr>
          <w:rFonts w:ascii="Arial" w:hAnsi="Arial" w:cs="Arial"/>
          <w:sz w:val="22"/>
          <w:szCs w:val="22"/>
        </w:rPr>
        <w:lastRenderedPageBreak/>
        <w:t xml:space="preserve">Table A1b. SWOT Analysis of </w:t>
      </w:r>
      <w:proofErr w:type="spellStart"/>
      <w:r w:rsidRPr="00133E4D">
        <w:rPr>
          <w:rFonts w:ascii="Arial" w:hAnsi="Arial" w:cs="Arial"/>
          <w:sz w:val="22"/>
          <w:szCs w:val="22"/>
        </w:rPr>
        <w:t>VodafoneThree</w:t>
      </w:r>
      <w:bookmarkEnd w:id="32"/>
      <w:proofErr w:type="spellEnd"/>
    </w:p>
    <w:p w14:paraId="6FE25837" w14:textId="77777777" w:rsidR="00E14366" w:rsidRPr="00133E4D" w:rsidRDefault="00000000" w:rsidP="00133E4D">
      <w:pPr>
        <w:spacing w:after="80" w:line="360" w:lineRule="auto"/>
        <w:rPr>
          <w:rFonts w:ascii="Arial" w:hAnsi="Arial" w:cs="Arial"/>
        </w:rPr>
      </w:pPr>
      <w:r w:rsidRPr="00133E4D">
        <w:rPr>
          <w:rFonts w:ascii="Arial" w:hAnsi="Arial" w:cs="Arial"/>
          <w:i/>
        </w:rPr>
        <w:t>Source: Competition and Markets Authority (2024), Ofcom (2024) and Vodafone Group Plc (2025).</w:t>
      </w:r>
    </w:p>
    <w:tbl>
      <w:tblPr>
        <w:tblStyle w:val="TableGrid"/>
        <w:tblW w:w="0" w:type="auto"/>
        <w:tblLook w:val="04A0" w:firstRow="1" w:lastRow="0" w:firstColumn="1" w:lastColumn="0" w:noHBand="0" w:noVBand="1"/>
      </w:tblPr>
      <w:tblGrid>
        <w:gridCol w:w="4561"/>
        <w:gridCol w:w="4561"/>
      </w:tblGrid>
      <w:tr w:rsidR="00E14366" w:rsidRPr="00133E4D" w14:paraId="73CB04BE" w14:textId="77777777">
        <w:tc>
          <w:tcPr>
            <w:tcW w:w="4561" w:type="dxa"/>
            <w:shd w:val="clear" w:color="auto" w:fill="D9D9D9"/>
          </w:tcPr>
          <w:p w14:paraId="595F2852" w14:textId="77777777" w:rsidR="00E14366" w:rsidRPr="00133E4D" w:rsidRDefault="00000000" w:rsidP="00133E4D">
            <w:pPr>
              <w:spacing w:after="40" w:line="360" w:lineRule="auto"/>
              <w:rPr>
                <w:rFonts w:ascii="Arial" w:hAnsi="Arial" w:cs="Arial"/>
              </w:rPr>
            </w:pPr>
            <w:r w:rsidRPr="00133E4D">
              <w:rPr>
                <w:rFonts w:ascii="Arial" w:hAnsi="Arial" w:cs="Arial"/>
                <w:b/>
              </w:rPr>
              <w:t>Category</w:t>
            </w:r>
          </w:p>
        </w:tc>
        <w:tc>
          <w:tcPr>
            <w:tcW w:w="4561" w:type="dxa"/>
            <w:shd w:val="clear" w:color="auto" w:fill="D9D9D9"/>
          </w:tcPr>
          <w:p w14:paraId="329AB2D3" w14:textId="77777777" w:rsidR="00E14366" w:rsidRPr="00133E4D" w:rsidRDefault="00000000" w:rsidP="00133E4D">
            <w:pPr>
              <w:spacing w:after="40" w:line="360" w:lineRule="auto"/>
              <w:rPr>
                <w:rFonts w:ascii="Arial" w:hAnsi="Arial" w:cs="Arial"/>
              </w:rPr>
            </w:pPr>
            <w:r w:rsidRPr="00133E4D">
              <w:rPr>
                <w:rFonts w:ascii="Arial" w:hAnsi="Arial" w:cs="Arial"/>
                <w:b/>
              </w:rPr>
              <w:t>Factor</w:t>
            </w:r>
          </w:p>
        </w:tc>
      </w:tr>
      <w:tr w:rsidR="00E14366" w:rsidRPr="00133E4D" w14:paraId="049BD770" w14:textId="77777777">
        <w:tc>
          <w:tcPr>
            <w:tcW w:w="4561" w:type="dxa"/>
          </w:tcPr>
          <w:p w14:paraId="4E81E0C9" w14:textId="77777777" w:rsidR="00E14366" w:rsidRPr="00133E4D" w:rsidRDefault="00000000" w:rsidP="00133E4D">
            <w:pPr>
              <w:spacing w:after="40" w:line="360" w:lineRule="auto"/>
              <w:rPr>
                <w:rFonts w:ascii="Arial" w:hAnsi="Arial" w:cs="Arial"/>
              </w:rPr>
            </w:pPr>
            <w:r w:rsidRPr="00133E4D">
              <w:rPr>
                <w:rFonts w:ascii="Arial" w:hAnsi="Arial" w:cs="Arial"/>
              </w:rPr>
              <w:t>Strength</w:t>
            </w:r>
          </w:p>
        </w:tc>
        <w:tc>
          <w:tcPr>
            <w:tcW w:w="4561" w:type="dxa"/>
          </w:tcPr>
          <w:p w14:paraId="67997148" w14:textId="77777777" w:rsidR="00E14366" w:rsidRPr="00133E4D" w:rsidRDefault="00000000" w:rsidP="00133E4D">
            <w:pPr>
              <w:spacing w:after="40" w:line="360" w:lineRule="auto"/>
              <w:rPr>
                <w:rFonts w:ascii="Arial" w:hAnsi="Arial" w:cs="Arial"/>
              </w:rPr>
            </w:pPr>
            <w:r w:rsidRPr="00133E4D">
              <w:rPr>
                <w:rFonts w:ascii="Arial" w:hAnsi="Arial" w:cs="Arial"/>
              </w:rPr>
              <w:t>Largest UK mobile customer base post-merger (~27m subscribers)</w:t>
            </w:r>
          </w:p>
        </w:tc>
      </w:tr>
      <w:tr w:rsidR="00E14366" w:rsidRPr="00133E4D" w14:paraId="0198A09B" w14:textId="77777777">
        <w:tc>
          <w:tcPr>
            <w:tcW w:w="4561" w:type="dxa"/>
          </w:tcPr>
          <w:p w14:paraId="69A495F6" w14:textId="77777777" w:rsidR="00E14366" w:rsidRPr="00133E4D" w:rsidRDefault="00000000" w:rsidP="00133E4D">
            <w:pPr>
              <w:spacing w:after="40" w:line="360" w:lineRule="auto"/>
              <w:rPr>
                <w:rFonts w:ascii="Arial" w:hAnsi="Arial" w:cs="Arial"/>
              </w:rPr>
            </w:pPr>
            <w:r w:rsidRPr="00133E4D">
              <w:rPr>
                <w:rFonts w:ascii="Arial" w:hAnsi="Arial" w:cs="Arial"/>
              </w:rPr>
              <w:t>Strength</w:t>
            </w:r>
          </w:p>
        </w:tc>
        <w:tc>
          <w:tcPr>
            <w:tcW w:w="4561" w:type="dxa"/>
          </w:tcPr>
          <w:p w14:paraId="6A19F9FF"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£11bn CMA-mandated 5G investment </w:t>
            </w:r>
            <w:proofErr w:type="spellStart"/>
            <w:r w:rsidRPr="00133E4D">
              <w:rPr>
                <w:rFonts w:ascii="Arial" w:hAnsi="Arial" w:cs="Arial"/>
              </w:rPr>
              <w:t>programme</w:t>
            </w:r>
            <w:proofErr w:type="spellEnd"/>
          </w:p>
        </w:tc>
      </w:tr>
      <w:tr w:rsidR="00E14366" w:rsidRPr="00133E4D" w14:paraId="6BE69BD9" w14:textId="77777777">
        <w:tc>
          <w:tcPr>
            <w:tcW w:w="4561" w:type="dxa"/>
          </w:tcPr>
          <w:p w14:paraId="5755FC2D" w14:textId="77777777" w:rsidR="00E14366" w:rsidRPr="00133E4D" w:rsidRDefault="00000000" w:rsidP="00133E4D">
            <w:pPr>
              <w:spacing w:after="40" w:line="360" w:lineRule="auto"/>
              <w:rPr>
                <w:rFonts w:ascii="Arial" w:hAnsi="Arial" w:cs="Arial"/>
              </w:rPr>
            </w:pPr>
            <w:r w:rsidRPr="00133E4D">
              <w:rPr>
                <w:rFonts w:ascii="Arial" w:hAnsi="Arial" w:cs="Arial"/>
              </w:rPr>
              <w:t>Strength</w:t>
            </w:r>
          </w:p>
        </w:tc>
        <w:tc>
          <w:tcPr>
            <w:tcW w:w="4561" w:type="dxa"/>
          </w:tcPr>
          <w:p w14:paraId="18B82816" w14:textId="77777777" w:rsidR="00E14366" w:rsidRPr="00133E4D" w:rsidRDefault="00000000" w:rsidP="00133E4D">
            <w:pPr>
              <w:spacing w:after="40" w:line="360" w:lineRule="auto"/>
              <w:rPr>
                <w:rFonts w:ascii="Arial" w:hAnsi="Arial" w:cs="Arial"/>
              </w:rPr>
            </w:pPr>
            <w:r w:rsidRPr="00133E4D">
              <w:rPr>
                <w:rFonts w:ascii="Arial" w:hAnsi="Arial" w:cs="Arial"/>
              </w:rPr>
              <w:t>Strong Vodafone brand; AI and digital infrastructure</w:t>
            </w:r>
          </w:p>
        </w:tc>
      </w:tr>
      <w:tr w:rsidR="00E14366" w:rsidRPr="00133E4D" w14:paraId="548697D6" w14:textId="77777777">
        <w:tc>
          <w:tcPr>
            <w:tcW w:w="4561" w:type="dxa"/>
          </w:tcPr>
          <w:p w14:paraId="08F5B518" w14:textId="77777777" w:rsidR="00E14366" w:rsidRPr="00133E4D" w:rsidRDefault="00000000" w:rsidP="00133E4D">
            <w:pPr>
              <w:spacing w:after="40" w:line="360" w:lineRule="auto"/>
              <w:rPr>
                <w:rFonts w:ascii="Arial" w:hAnsi="Arial" w:cs="Arial"/>
              </w:rPr>
            </w:pPr>
            <w:r w:rsidRPr="00133E4D">
              <w:rPr>
                <w:rFonts w:ascii="Arial" w:hAnsi="Arial" w:cs="Arial"/>
              </w:rPr>
              <w:t>Strength</w:t>
            </w:r>
          </w:p>
        </w:tc>
        <w:tc>
          <w:tcPr>
            <w:tcW w:w="4561" w:type="dxa"/>
          </w:tcPr>
          <w:p w14:paraId="55310480" w14:textId="77777777" w:rsidR="00E14366" w:rsidRPr="00133E4D" w:rsidRDefault="00000000" w:rsidP="00133E4D">
            <w:pPr>
              <w:spacing w:after="40" w:line="360" w:lineRule="auto"/>
              <w:rPr>
                <w:rFonts w:ascii="Arial" w:hAnsi="Arial" w:cs="Arial"/>
              </w:rPr>
            </w:pPr>
            <w:r w:rsidRPr="00133E4D">
              <w:rPr>
                <w:rFonts w:ascii="Arial" w:hAnsi="Arial" w:cs="Arial"/>
              </w:rPr>
              <w:t>Economies of scale and expanded spectrum assets</w:t>
            </w:r>
          </w:p>
        </w:tc>
      </w:tr>
      <w:tr w:rsidR="00E14366" w:rsidRPr="00133E4D" w14:paraId="580D9BB7" w14:textId="77777777">
        <w:tc>
          <w:tcPr>
            <w:tcW w:w="4561" w:type="dxa"/>
          </w:tcPr>
          <w:p w14:paraId="4A7BD7D0" w14:textId="77777777" w:rsidR="00E14366" w:rsidRPr="00133E4D" w:rsidRDefault="00000000" w:rsidP="00133E4D">
            <w:pPr>
              <w:spacing w:after="40" w:line="360" w:lineRule="auto"/>
              <w:rPr>
                <w:rFonts w:ascii="Arial" w:hAnsi="Arial" w:cs="Arial"/>
              </w:rPr>
            </w:pPr>
            <w:r w:rsidRPr="00133E4D">
              <w:rPr>
                <w:rFonts w:ascii="Arial" w:hAnsi="Arial" w:cs="Arial"/>
              </w:rPr>
              <w:t>Weakness</w:t>
            </w:r>
          </w:p>
        </w:tc>
        <w:tc>
          <w:tcPr>
            <w:tcW w:w="4561" w:type="dxa"/>
          </w:tcPr>
          <w:p w14:paraId="0C13360F" w14:textId="77777777" w:rsidR="00E14366" w:rsidRPr="00133E4D" w:rsidRDefault="00000000" w:rsidP="00133E4D">
            <w:pPr>
              <w:spacing w:after="40" w:line="360" w:lineRule="auto"/>
              <w:rPr>
                <w:rFonts w:ascii="Arial" w:hAnsi="Arial" w:cs="Arial"/>
              </w:rPr>
            </w:pPr>
            <w:r w:rsidRPr="00133E4D">
              <w:rPr>
                <w:rFonts w:ascii="Arial" w:hAnsi="Arial" w:cs="Arial"/>
              </w:rPr>
              <w:t>Complex and costly post-merger integration</w:t>
            </w:r>
          </w:p>
        </w:tc>
      </w:tr>
      <w:tr w:rsidR="00E14366" w:rsidRPr="00133E4D" w14:paraId="11EE556E" w14:textId="77777777">
        <w:tc>
          <w:tcPr>
            <w:tcW w:w="4561" w:type="dxa"/>
          </w:tcPr>
          <w:p w14:paraId="1D1B9326" w14:textId="77777777" w:rsidR="00E14366" w:rsidRPr="00133E4D" w:rsidRDefault="00000000" w:rsidP="00133E4D">
            <w:pPr>
              <w:spacing w:after="40" w:line="360" w:lineRule="auto"/>
              <w:rPr>
                <w:rFonts w:ascii="Arial" w:hAnsi="Arial" w:cs="Arial"/>
              </w:rPr>
            </w:pPr>
            <w:r w:rsidRPr="00133E4D">
              <w:rPr>
                <w:rFonts w:ascii="Arial" w:hAnsi="Arial" w:cs="Arial"/>
              </w:rPr>
              <w:t>Weakness</w:t>
            </w:r>
          </w:p>
        </w:tc>
        <w:tc>
          <w:tcPr>
            <w:tcW w:w="4561" w:type="dxa"/>
          </w:tcPr>
          <w:p w14:paraId="45E8E036" w14:textId="77777777" w:rsidR="00E14366" w:rsidRPr="00133E4D" w:rsidRDefault="00000000" w:rsidP="00133E4D">
            <w:pPr>
              <w:spacing w:after="40" w:line="360" w:lineRule="auto"/>
              <w:rPr>
                <w:rFonts w:ascii="Arial" w:hAnsi="Arial" w:cs="Arial"/>
              </w:rPr>
            </w:pPr>
            <w:r w:rsidRPr="00133E4D">
              <w:rPr>
                <w:rFonts w:ascii="Arial" w:hAnsi="Arial" w:cs="Arial"/>
              </w:rPr>
              <w:t>High capital expenditure requirements</w:t>
            </w:r>
          </w:p>
        </w:tc>
      </w:tr>
      <w:tr w:rsidR="00E14366" w:rsidRPr="00133E4D" w14:paraId="2DB3D5C9" w14:textId="77777777">
        <w:tc>
          <w:tcPr>
            <w:tcW w:w="4561" w:type="dxa"/>
          </w:tcPr>
          <w:p w14:paraId="7F502051" w14:textId="77777777" w:rsidR="00E14366" w:rsidRPr="00133E4D" w:rsidRDefault="00000000" w:rsidP="00133E4D">
            <w:pPr>
              <w:spacing w:after="40" w:line="360" w:lineRule="auto"/>
              <w:rPr>
                <w:rFonts w:ascii="Arial" w:hAnsi="Arial" w:cs="Arial"/>
              </w:rPr>
            </w:pPr>
            <w:r w:rsidRPr="00133E4D">
              <w:rPr>
                <w:rFonts w:ascii="Arial" w:hAnsi="Arial" w:cs="Arial"/>
              </w:rPr>
              <w:t>Weakness</w:t>
            </w:r>
          </w:p>
        </w:tc>
        <w:tc>
          <w:tcPr>
            <w:tcW w:w="4561" w:type="dxa"/>
          </w:tcPr>
          <w:p w14:paraId="3FF4CEF1" w14:textId="77777777" w:rsidR="00E14366" w:rsidRPr="00133E4D" w:rsidRDefault="00000000" w:rsidP="00133E4D">
            <w:pPr>
              <w:spacing w:after="40" w:line="360" w:lineRule="auto"/>
              <w:rPr>
                <w:rFonts w:ascii="Arial" w:hAnsi="Arial" w:cs="Arial"/>
              </w:rPr>
            </w:pPr>
            <w:r w:rsidRPr="00133E4D">
              <w:rPr>
                <w:rFonts w:ascii="Arial" w:hAnsi="Arial" w:cs="Arial"/>
              </w:rPr>
              <w:t>Potential service disruption during consolidation</w:t>
            </w:r>
          </w:p>
        </w:tc>
      </w:tr>
      <w:tr w:rsidR="00E14366" w:rsidRPr="00133E4D" w14:paraId="1DF57544" w14:textId="77777777">
        <w:tc>
          <w:tcPr>
            <w:tcW w:w="4561" w:type="dxa"/>
          </w:tcPr>
          <w:p w14:paraId="671D3883" w14:textId="77777777" w:rsidR="00E14366" w:rsidRPr="00133E4D" w:rsidRDefault="00000000" w:rsidP="00133E4D">
            <w:pPr>
              <w:spacing w:after="40" w:line="360" w:lineRule="auto"/>
              <w:rPr>
                <w:rFonts w:ascii="Arial" w:hAnsi="Arial" w:cs="Arial"/>
              </w:rPr>
            </w:pPr>
            <w:r w:rsidRPr="00133E4D">
              <w:rPr>
                <w:rFonts w:ascii="Arial" w:hAnsi="Arial" w:cs="Arial"/>
              </w:rPr>
              <w:t>Opportunity</w:t>
            </w:r>
          </w:p>
        </w:tc>
        <w:tc>
          <w:tcPr>
            <w:tcW w:w="4561" w:type="dxa"/>
          </w:tcPr>
          <w:p w14:paraId="670DF824" w14:textId="77777777" w:rsidR="00E14366" w:rsidRPr="00133E4D" w:rsidRDefault="00000000" w:rsidP="00133E4D">
            <w:pPr>
              <w:spacing w:after="40" w:line="360" w:lineRule="auto"/>
              <w:rPr>
                <w:rFonts w:ascii="Arial" w:hAnsi="Arial" w:cs="Arial"/>
              </w:rPr>
            </w:pPr>
            <w:r w:rsidRPr="00133E4D">
              <w:rPr>
                <w:rFonts w:ascii="Arial" w:hAnsi="Arial" w:cs="Arial"/>
              </w:rPr>
              <w:t>Growing demand for AI, IoT and enterprise cloud services</w:t>
            </w:r>
          </w:p>
        </w:tc>
      </w:tr>
      <w:tr w:rsidR="00E14366" w:rsidRPr="00133E4D" w14:paraId="774B6875" w14:textId="77777777">
        <w:tc>
          <w:tcPr>
            <w:tcW w:w="4561" w:type="dxa"/>
          </w:tcPr>
          <w:p w14:paraId="6CA072AA" w14:textId="77777777" w:rsidR="00E14366" w:rsidRPr="00133E4D" w:rsidRDefault="00000000" w:rsidP="00133E4D">
            <w:pPr>
              <w:spacing w:after="40" w:line="360" w:lineRule="auto"/>
              <w:rPr>
                <w:rFonts w:ascii="Arial" w:hAnsi="Arial" w:cs="Arial"/>
              </w:rPr>
            </w:pPr>
            <w:r w:rsidRPr="00133E4D">
              <w:rPr>
                <w:rFonts w:ascii="Arial" w:hAnsi="Arial" w:cs="Arial"/>
              </w:rPr>
              <w:t>Opportunity</w:t>
            </w:r>
          </w:p>
        </w:tc>
        <w:tc>
          <w:tcPr>
            <w:tcW w:w="4561" w:type="dxa"/>
          </w:tcPr>
          <w:p w14:paraId="625BD01A" w14:textId="77777777" w:rsidR="00E14366" w:rsidRPr="00133E4D" w:rsidRDefault="00000000" w:rsidP="00133E4D">
            <w:pPr>
              <w:spacing w:after="40" w:line="360" w:lineRule="auto"/>
              <w:rPr>
                <w:rFonts w:ascii="Arial" w:hAnsi="Arial" w:cs="Arial"/>
              </w:rPr>
            </w:pPr>
            <w:r w:rsidRPr="00133E4D">
              <w:rPr>
                <w:rFonts w:ascii="Arial" w:hAnsi="Arial" w:cs="Arial"/>
              </w:rPr>
              <w:t>Standalone 5G expansion and rural market development</w:t>
            </w:r>
          </w:p>
        </w:tc>
      </w:tr>
      <w:tr w:rsidR="00E14366" w:rsidRPr="00133E4D" w14:paraId="19F0D3E6" w14:textId="77777777">
        <w:tc>
          <w:tcPr>
            <w:tcW w:w="4561" w:type="dxa"/>
          </w:tcPr>
          <w:p w14:paraId="22F349BD" w14:textId="77777777" w:rsidR="00E14366" w:rsidRPr="00133E4D" w:rsidRDefault="00000000" w:rsidP="00133E4D">
            <w:pPr>
              <w:spacing w:after="40" w:line="360" w:lineRule="auto"/>
              <w:rPr>
                <w:rFonts w:ascii="Arial" w:hAnsi="Arial" w:cs="Arial"/>
              </w:rPr>
            </w:pPr>
            <w:r w:rsidRPr="00133E4D">
              <w:rPr>
                <w:rFonts w:ascii="Arial" w:hAnsi="Arial" w:cs="Arial"/>
              </w:rPr>
              <w:t>Opportunity</w:t>
            </w:r>
          </w:p>
        </w:tc>
        <w:tc>
          <w:tcPr>
            <w:tcW w:w="4561" w:type="dxa"/>
          </w:tcPr>
          <w:p w14:paraId="6A60AD9A" w14:textId="77777777" w:rsidR="00E14366" w:rsidRPr="00133E4D" w:rsidRDefault="00000000" w:rsidP="00133E4D">
            <w:pPr>
              <w:spacing w:after="40" w:line="360" w:lineRule="auto"/>
              <w:rPr>
                <w:rFonts w:ascii="Arial" w:hAnsi="Arial" w:cs="Arial"/>
              </w:rPr>
            </w:pPr>
            <w:r w:rsidRPr="00133E4D">
              <w:rPr>
                <w:rFonts w:ascii="Arial" w:hAnsi="Arial" w:cs="Arial"/>
              </w:rPr>
              <w:t>Ageing population digital inclusion market</w:t>
            </w:r>
          </w:p>
        </w:tc>
      </w:tr>
      <w:tr w:rsidR="00E14366" w:rsidRPr="00133E4D" w14:paraId="7803F902" w14:textId="77777777">
        <w:tc>
          <w:tcPr>
            <w:tcW w:w="4561" w:type="dxa"/>
          </w:tcPr>
          <w:p w14:paraId="46FDE80F" w14:textId="77777777" w:rsidR="00E14366" w:rsidRPr="00133E4D" w:rsidRDefault="00000000" w:rsidP="00133E4D">
            <w:pPr>
              <w:spacing w:after="40" w:line="360" w:lineRule="auto"/>
              <w:rPr>
                <w:rFonts w:ascii="Arial" w:hAnsi="Arial" w:cs="Arial"/>
              </w:rPr>
            </w:pPr>
            <w:r w:rsidRPr="00133E4D">
              <w:rPr>
                <w:rFonts w:ascii="Arial" w:hAnsi="Arial" w:cs="Arial"/>
              </w:rPr>
              <w:t>Threat</w:t>
            </w:r>
          </w:p>
        </w:tc>
        <w:tc>
          <w:tcPr>
            <w:tcW w:w="4561" w:type="dxa"/>
          </w:tcPr>
          <w:p w14:paraId="15BC688F" w14:textId="77777777" w:rsidR="00E14366" w:rsidRPr="00133E4D" w:rsidRDefault="00000000" w:rsidP="00133E4D">
            <w:pPr>
              <w:spacing w:after="40" w:line="360" w:lineRule="auto"/>
              <w:rPr>
                <w:rFonts w:ascii="Arial" w:hAnsi="Arial" w:cs="Arial"/>
              </w:rPr>
            </w:pPr>
            <w:r w:rsidRPr="00133E4D">
              <w:rPr>
                <w:rFonts w:ascii="Arial" w:hAnsi="Arial" w:cs="Arial"/>
              </w:rPr>
              <w:t>Intense rivalry from EE and Virgin Media O2</w:t>
            </w:r>
          </w:p>
        </w:tc>
      </w:tr>
      <w:tr w:rsidR="00E14366" w:rsidRPr="00133E4D" w14:paraId="6B7BDCA5" w14:textId="77777777">
        <w:tc>
          <w:tcPr>
            <w:tcW w:w="4561" w:type="dxa"/>
          </w:tcPr>
          <w:p w14:paraId="4B74B15F" w14:textId="77777777" w:rsidR="00E14366" w:rsidRPr="00133E4D" w:rsidRDefault="00000000" w:rsidP="00133E4D">
            <w:pPr>
              <w:spacing w:after="40" w:line="360" w:lineRule="auto"/>
              <w:rPr>
                <w:rFonts w:ascii="Arial" w:hAnsi="Arial" w:cs="Arial"/>
              </w:rPr>
            </w:pPr>
            <w:r w:rsidRPr="00133E4D">
              <w:rPr>
                <w:rFonts w:ascii="Arial" w:hAnsi="Arial" w:cs="Arial"/>
              </w:rPr>
              <w:t>Threat</w:t>
            </w:r>
          </w:p>
        </w:tc>
        <w:tc>
          <w:tcPr>
            <w:tcW w:w="4561" w:type="dxa"/>
          </w:tcPr>
          <w:p w14:paraId="56C555DD" w14:textId="77777777" w:rsidR="00E14366" w:rsidRPr="00133E4D" w:rsidRDefault="00000000" w:rsidP="00133E4D">
            <w:pPr>
              <w:spacing w:after="40" w:line="360" w:lineRule="auto"/>
              <w:rPr>
                <w:rFonts w:ascii="Arial" w:hAnsi="Arial" w:cs="Arial"/>
              </w:rPr>
            </w:pPr>
            <w:r w:rsidRPr="00133E4D">
              <w:rPr>
                <w:rFonts w:ascii="Arial" w:hAnsi="Arial" w:cs="Arial"/>
              </w:rPr>
              <w:t>Cybersecurity and data protection risks</w:t>
            </w:r>
          </w:p>
        </w:tc>
      </w:tr>
      <w:tr w:rsidR="00E14366" w:rsidRPr="00133E4D" w14:paraId="419F12A0" w14:textId="77777777">
        <w:tc>
          <w:tcPr>
            <w:tcW w:w="4561" w:type="dxa"/>
          </w:tcPr>
          <w:p w14:paraId="09CC8C39" w14:textId="77777777" w:rsidR="00E14366" w:rsidRPr="00133E4D" w:rsidRDefault="00000000" w:rsidP="00133E4D">
            <w:pPr>
              <w:spacing w:after="40" w:line="360" w:lineRule="auto"/>
              <w:rPr>
                <w:rFonts w:ascii="Arial" w:hAnsi="Arial" w:cs="Arial"/>
              </w:rPr>
            </w:pPr>
            <w:r w:rsidRPr="00133E4D">
              <w:rPr>
                <w:rFonts w:ascii="Arial" w:hAnsi="Arial" w:cs="Arial"/>
              </w:rPr>
              <w:t>Threat</w:t>
            </w:r>
          </w:p>
        </w:tc>
        <w:tc>
          <w:tcPr>
            <w:tcW w:w="4561" w:type="dxa"/>
          </w:tcPr>
          <w:p w14:paraId="072C17F0" w14:textId="77777777" w:rsidR="00E14366" w:rsidRPr="00133E4D" w:rsidRDefault="00000000" w:rsidP="00133E4D">
            <w:pPr>
              <w:spacing w:after="40" w:line="360" w:lineRule="auto"/>
              <w:rPr>
                <w:rFonts w:ascii="Arial" w:hAnsi="Arial" w:cs="Arial"/>
              </w:rPr>
            </w:pPr>
            <w:r w:rsidRPr="00133E4D">
              <w:rPr>
                <w:rFonts w:ascii="Arial" w:hAnsi="Arial" w:cs="Arial"/>
              </w:rPr>
              <w:t>Regulatory intervention by CMA and Ofcom</w:t>
            </w:r>
          </w:p>
        </w:tc>
      </w:tr>
      <w:tr w:rsidR="00E14366" w:rsidRPr="00133E4D" w14:paraId="38655B00" w14:textId="77777777">
        <w:tc>
          <w:tcPr>
            <w:tcW w:w="4561" w:type="dxa"/>
          </w:tcPr>
          <w:p w14:paraId="0E9A660F" w14:textId="77777777" w:rsidR="00E14366" w:rsidRPr="00133E4D" w:rsidRDefault="00000000" w:rsidP="00133E4D">
            <w:pPr>
              <w:spacing w:after="40" w:line="360" w:lineRule="auto"/>
              <w:rPr>
                <w:rFonts w:ascii="Arial" w:hAnsi="Arial" w:cs="Arial"/>
              </w:rPr>
            </w:pPr>
            <w:r w:rsidRPr="00133E4D">
              <w:rPr>
                <w:rFonts w:ascii="Arial" w:hAnsi="Arial" w:cs="Arial"/>
              </w:rPr>
              <w:t>Threat</w:t>
            </w:r>
          </w:p>
        </w:tc>
        <w:tc>
          <w:tcPr>
            <w:tcW w:w="4561" w:type="dxa"/>
          </w:tcPr>
          <w:p w14:paraId="544A106F" w14:textId="77777777" w:rsidR="00E14366" w:rsidRPr="00133E4D" w:rsidRDefault="00000000" w:rsidP="00133E4D">
            <w:pPr>
              <w:spacing w:after="40" w:line="360" w:lineRule="auto"/>
              <w:rPr>
                <w:rFonts w:ascii="Arial" w:hAnsi="Arial" w:cs="Arial"/>
              </w:rPr>
            </w:pPr>
            <w:r w:rsidRPr="00133E4D">
              <w:rPr>
                <w:rFonts w:ascii="Arial" w:hAnsi="Arial" w:cs="Arial"/>
              </w:rPr>
              <w:t>Price competition from MVNOs; OTT substitute services</w:t>
            </w:r>
          </w:p>
        </w:tc>
      </w:tr>
    </w:tbl>
    <w:p w14:paraId="2360DF53" w14:textId="77777777" w:rsidR="00E14366" w:rsidRPr="00133E4D" w:rsidRDefault="00E14366" w:rsidP="00133E4D">
      <w:pPr>
        <w:spacing w:line="360" w:lineRule="auto"/>
        <w:rPr>
          <w:rFonts w:ascii="Arial" w:hAnsi="Arial" w:cs="Arial"/>
        </w:rPr>
      </w:pPr>
    </w:p>
    <w:p w14:paraId="56644233" w14:textId="77777777" w:rsidR="00E14366" w:rsidRPr="00133E4D" w:rsidRDefault="00000000" w:rsidP="00133E4D">
      <w:pPr>
        <w:pStyle w:val="Heading2"/>
        <w:spacing w:line="360" w:lineRule="auto"/>
        <w:rPr>
          <w:rFonts w:ascii="Arial" w:hAnsi="Arial" w:cs="Arial"/>
          <w:sz w:val="22"/>
          <w:szCs w:val="22"/>
        </w:rPr>
      </w:pPr>
      <w:bookmarkStart w:id="33" w:name="_Toc234790841"/>
      <w:r w:rsidRPr="00133E4D">
        <w:rPr>
          <w:rFonts w:ascii="Arial" w:hAnsi="Arial" w:cs="Arial"/>
          <w:sz w:val="22"/>
          <w:szCs w:val="22"/>
        </w:rPr>
        <w:t>Table A2. TOWS Matrix</w:t>
      </w:r>
      <w:bookmarkEnd w:id="33"/>
    </w:p>
    <w:p w14:paraId="5F4C9091" w14:textId="77777777" w:rsidR="00E14366" w:rsidRPr="00133E4D" w:rsidRDefault="00000000" w:rsidP="00133E4D">
      <w:pPr>
        <w:spacing w:after="80" w:line="360" w:lineRule="auto"/>
        <w:rPr>
          <w:rFonts w:ascii="Arial" w:hAnsi="Arial" w:cs="Arial"/>
        </w:rPr>
      </w:pPr>
      <w:r w:rsidRPr="00133E4D">
        <w:rPr>
          <w:rFonts w:ascii="Arial" w:hAnsi="Arial" w:cs="Arial"/>
          <w:i/>
        </w:rPr>
        <w:t>Source: Barney (1991), Porter (1980), Ofcom (2024), Competition and Markets Authority (2024) and Vodafone Group Plc (2025).</w:t>
      </w:r>
    </w:p>
    <w:tbl>
      <w:tblPr>
        <w:tblStyle w:val="TableGrid"/>
        <w:tblW w:w="0" w:type="auto"/>
        <w:tblLook w:val="04A0" w:firstRow="1" w:lastRow="0" w:firstColumn="1" w:lastColumn="0" w:noHBand="0" w:noVBand="1"/>
      </w:tblPr>
      <w:tblGrid>
        <w:gridCol w:w="4561"/>
        <w:gridCol w:w="4561"/>
      </w:tblGrid>
      <w:tr w:rsidR="00E14366" w:rsidRPr="00133E4D" w14:paraId="377836EE" w14:textId="77777777">
        <w:tc>
          <w:tcPr>
            <w:tcW w:w="4561" w:type="dxa"/>
            <w:shd w:val="clear" w:color="auto" w:fill="D9D9D9"/>
          </w:tcPr>
          <w:p w14:paraId="1752F60D" w14:textId="77777777" w:rsidR="00E14366" w:rsidRPr="00133E4D" w:rsidRDefault="00000000" w:rsidP="00133E4D">
            <w:pPr>
              <w:spacing w:after="40" w:line="360" w:lineRule="auto"/>
              <w:rPr>
                <w:rFonts w:ascii="Arial" w:hAnsi="Arial" w:cs="Arial"/>
              </w:rPr>
            </w:pPr>
            <w:r w:rsidRPr="00133E4D">
              <w:rPr>
                <w:rFonts w:ascii="Arial" w:hAnsi="Arial" w:cs="Arial"/>
                <w:b/>
              </w:rPr>
              <w:t>Strategy</w:t>
            </w:r>
          </w:p>
        </w:tc>
        <w:tc>
          <w:tcPr>
            <w:tcW w:w="4561" w:type="dxa"/>
            <w:shd w:val="clear" w:color="auto" w:fill="D9D9D9"/>
          </w:tcPr>
          <w:p w14:paraId="64B60F5C" w14:textId="77777777" w:rsidR="00E14366" w:rsidRPr="00133E4D" w:rsidRDefault="00000000" w:rsidP="00133E4D">
            <w:pPr>
              <w:spacing w:after="40" w:line="360" w:lineRule="auto"/>
              <w:rPr>
                <w:rFonts w:ascii="Arial" w:hAnsi="Arial" w:cs="Arial"/>
              </w:rPr>
            </w:pPr>
            <w:r w:rsidRPr="00133E4D">
              <w:rPr>
                <w:rFonts w:ascii="Arial" w:hAnsi="Arial" w:cs="Arial"/>
                <w:b/>
              </w:rPr>
              <w:t xml:space="preserve">Application to </w:t>
            </w:r>
            <w:proofErr w:type="spellStart"/>
            <w:r w:rsidRPr="00133E4D">
              <w:rPr>
                <w:rFonts w:ascii="Arial" w:hAnsi="Arial" w:cs="Arial"/>
                <w:b/>
              </w:rPr>
              <w:t>VodafoneThree</w:t>
            </w:r>
            <w:proofErr w:type="spellEnd"/>
          </w:p>
        </w:tc>
      </w:tr>
      <w:tr w:rsidR="00E14366" w:rsidRPr="00133E4D" w14:paraId="581B9B50" w14:textId="77777777">
        <w:tc>
          <w:tcPr>
            <w:tcW w:w="4561" w:type="dxa"/>
          </w:tcPr>
          <w:p w14:paraId="19E021A1" w14:textId="77777777" w:rsidR="00E14366" w:rsidRPr="00133E4D" w:rsidRDefault="00000000" w:rsidP="00133E4D">
            <w:pPr>
              <w:spacing w:after="40" w:line="360" w:lineRule="auto"/>
              <w:rPr>
                <w:rFonts w:ascii="Arial" w:hAnsi="Arial" w:cs="Arial"/>
              </w:rPr>
            </w:pPr>
            <w:r w:rsidRPr="00133E4D">
              <w:rPr>
                <w:rFonts w:ascii="Arial" w:hAnsi="Arial" w:cs="Arial"/>
              </w:rPr>
              <w:lastRenderedPageBreak/>
              <w:t>SO (Strengths–Opportunities)</w:t>
            </w:r>
          </w:p>
        </w:tc>
        <w:tc>
          <w:tcPr>
            <w:tcW w:w="4561" w:type="dxa"/>
          </w:tcPr>
          <w:p w14:paraId="4676D6CF" w14:textId="77777777" w:rsidR="00E14366" w:rsidRPr="00133E4D" w:rsidRDefault="00000000" w:rsidP="00133E4D">
            <w:pPr>
              <w:spacing w:after="40" w:line="360" w:lineRule="auto"/>
              <w:rPr>
                <w:rFonts w:ascii="Arial" w:hAnsi="Arial" w:cs="Arial"/>
              </w:rPr>
            </w:pPr>
            <w:r w:rsidRPr="00133E4D">
              <w:rPr>
                <w:rFonts w:ascii="Arial" w:hAnsi="Arial" w:cs="Arial"/>
              </w:rPr>
              <w:t>Use merged 5G network and financial resources to expand AI, IoT and enterprise digital services.</w:t>
            </w:r>
          </w:p>
        </w:tc>
      </w:tr>
      <w:tr w:rsidR="00E14366" w:rsidRPr="00133E4D" w14:paraId="3CC9E822" w14:textId="77777777">
        <w:tc>
          <w:tcPr>
            <w:tcW w:w="4561" w:type="dxa"/>
          </w:tcPr>
          <w:p w14:paraId="36223D48" w14:textId="77777777" w:rsidR="00E14366" w:rsidRPr="00133E4D" w:rsidRDefault="00000000" w:rsidP="00133E4D">
            <w:pPr>
              <w:spacing w:after="40" w:line="360" w:lineRule="auto"/>
              <w:rPr>
                <w:rFonts w:ascii="Arial" w:hAnsi="Arial" w:cs="Arial"/>
              </w:rPr>
            </w:pPr>
            <w:r w:rsidRPr="00133E4D">
              <w:rPr>
                <w:rFonts w:ascii="Arial" w:hAnsi="Arial" w:cs="Arial"/>
              </w:rPr>
              <w:t>WO (Weaknesses–Opportunities)</w:t>
            </w:r>
          </w:p>
        </w:tc>
        <w:tc>
          <w:tcPr>
            <w:tcW w:w="4561" w:type="dxa"/>
          </w:tcPr>
          <w:p w14:paraId="5A95B83D"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Improve post-merger integration through employee training, </w:t>
            </w:r>
            <w:proofErr w:type="spellStart"/>
            <w:r w:rsidRPr="00133E4D">
              <w:rPr>
                <w:rFonts w:ascii="Arial" w:hAnsi="Arial" w:cs="Arial"/>
              </w:rPr>
              <w:t>organisational</w:t>
            </w:r>
            <w:proofErr w:type="spellEnd"/>
            <w:r w:rsidRPr="00133E4D">
              <w:rPr>
                <w:rFonts w:ascii="Arial" w:hAnsi="Arial" w:cs="Arial"/>
              </w:rPr>
              <w:t xml:space="preserve"> change and customer communication.</w:t>
            </w:r>
          </w:p>
        </w:tc>
      </w:tr>
      <w:tr w:rsidR="00E14366" w:rsidRPr="00133E4D" w14:paraId="35723AAC" w14:textId="77777777">
        <w:tc>
          <w:tcPr>
            <w:tcW w:w="4561" w:type="dxa"/>
          </w:tcPr>
          <w:p w14:paraId="28DB3060" w14:textId="77777777" w:rsidR="00E14366" w:rsidRPr="00133E4D" w:rsidRDefault="00000000" w:rsidP="00133E4D">
            <w:pPr>
              <w:spacing w:after="40" w:line="360" w:lineRule="auto"/>
              <w:rPr>
                <w:rFonts w:ascii="Arial" w:hAnsi="Arial" w:cs="Arial"/>
              </w:rPr>
            </w:pPr>
            <w:r w:rsidRPr="00133E4D">
              <w:rPr>
                <w:rFonts w:ascii="Arial" w:hAnsi="Arial" w:cs="Arial"/>
              </w:rPr>
              <w:t>ST (Strengths–Threats)</w:t>
            </w:r>
          </w:p>
        </w:tc>
        <w:tc>
          <w:tcPr>
            <w:tcW w:w="4561" w:type="dxa"/>
          </w:tcPr>
          <w:p w14:paraId="7BDBAC69" w14:textId="77777777" w:rsidR="00E14366" w:rsidRPr="00133E4D" w:rsidRDefault="00000000" w:rsidP="00133E4D">
            <w:pPr>
              <w:spacing w:after="40" w:line="360" w:lineRule="auto"/>
              <w:rPr>
                <w:rFonts w:ascii="Arial" w:hAnsi="Arial" w:cs="Arial"/>
              </w:rPr>
            </w:pPr>
            <w:r w:rsidRPr="00133E4D">
              <w:rPr>
                <w:rFonts w:ascii="Arial" w:hAnsi="Arial" w:cs="Arial"/>
              </w:rPr>
              <w:t>Differentiate through network quality, cybersecurity and innovation rather than competing on price with EE and Virgin Media O2.</w:t>
            </w:r>
          </w:p>
        </w:tc>
      </w:tr>
      <w:tr w:rsidR="00E14366" w:rsidRPr="00133E4D" w14:paraId="7D93678D" w14:textId="77777777">
        <w:tc>
          <w:tcPr>
            <w:tcW w:w="4561" w:type="dxa"/>
          </w:tcPr>
          <w:p w14:paraId="7A419C24" w14:textId="77777777" w:rsidR="00E14366" w:rsidRPr="00133E4D" w:rsidRDefault="00000000" w:rsidP="00133E4D">
            <w:pPr>
              <w:spacing w:after="40" w:line="360" w:lineRule="auto"/>
              <w:rPr>
                <w:rFonts w:ascii="Arial" w:hAnsi="Arial" w:cs="Arial"/>
              </w:rPr>
            </w:pPr>
            <w:r w:rsidRPr="00133E4D">
              <w:rPr>
                <w:rFonts w:ascii="Arial" w:hAnsi="Arial" w:cs="Arial"/>
              </w:rPr>
              <w:t>WT (Weaknesses–Threats)</w:t>
            </w:r>
          </w:p>
        </w:tc>
        <w:tc>
          <w:tcPr>
            <w:tcW w:w="4561" w:type="dxa"/>
          </w:tcPr>
          <w:p w14:paraId="4210121B" w14:textId="77777777" w:rsidR="00E14366" w:rsidRPr="00133E4D" w:rsidRDefault="00000000" w:rsidP="00133E4D">
            <w:pPr>
              <w:spacing w:after="40" w:line="360" w:lineRule="auto"/>
              <w:rPr>
                <w:rFonts w:ascii="Arial" w:hAnsi="Arial" w:cs="Arial"/>
              </w:rPr>
            </w:pPr>
            <w:proofErr w:type="spellStart"/>
            <w:r w:rsidRPr="00133E4D">
              <w:rPr>
                <w:rFonts w:ascii="Arial" w:hAnsi="Arial" w:cs="Arial"/>
              </w:rPr>
              <w:t>Minimise</w:t>
            </w:r>
            <w:proofErr w:type="spellEnd"/>
            <w:r w:rsidRPr="00133E4D">
              <w:rPr>
                <w:rFonts w:ascii="Arial" w:hAnsi="Arial" w:cs="Arial"/>
              </w:rPr>
              <w:t xml:space="preserve"> integration risks through phased implementation, regulatory compliance and continuous performance monitoring.</w:t>
            </w:r>
          </w:p>
        </w:tc>
      </w:tr>
    </w:tbl>
    <w:p w14:paraId="1AF892F2" w14:textId="77777777" w:rsidR="00E14366" w:rsidRPr="00133E4D" w:rsidRDefault="00E14366" w:rsidP="00133E4D">
      <w:pPr>
        <w:spacing w:line="360" w:lineRule="auto"/>
        <w:rPr>
          <w:rFonts w:ascii="Arial" w:hAnsi="Arial" w:cs="Arial"/>
        </w:rPr>
      </w:pPr>
    </w:p>
    <w:p w14:paraId="4D2A182B" w14:textId="77777777" w:rsidR="00E14366" w:rsidRPr="00133E4D" w:rsidRDefault="00000000" w:rsidP="00133E4D">
      <w:pPr>
        <w:pStyle w:val="Heading2"/>
        <w:spacing w:line="360" w:lineRule="auto"/>
        <w:rPr>
          <w:rFonts w:ascii="Arial" w:hAnsi="Arial" w:cs="Arial"/>
          <w:sz w:val="22"/>
          <w:szCs w:val="22"/>
        </w:rPr>
      </w:pPr>
      <w:bookmarkStart w:id="34" w:name="_Toc234790842"/>
      <w:r w:rsidRPr="00133E4D">
        <w:rPr>
          <w:rFonts w:ascii="Arial" w:hAnsi="Arial" w:cs="Arial"/>
          <w:sz w:val="22"/>
          <w:szCs w:val="22"/>
        </w:rPr>
        <w:t>Table A3. Comparison of Strategic Growth Options</w:t>
      </w:r>
      <w:bookmarkEnd w:id="34"/>
    </w:p>
    <w:p w14:paraId="62EE03AF" w14:textId="77777777" w:rsidR="00E14366" w:rsidRPr="00133E4D" w:rsidRDefault="00000000" w:rsidP="00133E4D">
      <w:pPr>
        <w:spacing w:after="80" w:line="360" w:lineRule="auto"/>
        <w:rPr>
          <w:rFonts w:ascii="Arial" w:hAnsi="Arial" w:cs="Arial"/>
        </w:rPr>
      </w:pPr>
      <w:r w:rsidRPr="00133E4D">
        <w:rPr>
          <w:rFonts w:ascii="Arial" w:hAnsi="Arial" w:cs="Arial"/>
          <w:i/>
        </w:rPr>
        <w:t>Source: Ansoff (1957), Porter (1985), Vodafone Group Plc (2025), Ofcom (2024) and Competition and Markets Authority (2024).</w:t>
      </w:r>
    </w:p>
    <w:tbl>
      <w:tblPr>
        <w:tblStyle w:val="TableGrid"/>
        <w:tblW w:w="0" w:type="auto"/>
        <w:tblLook w:val="04A0" w:firstRow="1" w:lastRow="0" w:firstColumn="1" w:lastColumn="0" w:noHBand="0" w:noVBand="1"/>
      </w:tblPr>
      <w:tblGrid>
        <w:gridCol w:w="2280"/>
        <w:gridCol w:w="2280"/>
        <w:gridCol w:w="2280"/>
        <w:gridCol w:w="2280"/>
      </w:tblGrid>
      <w:tr w:rsidR="00E14366" w:rsidRPr="00133E4D" w14:paraId="67A699F7" w14:textId="77777777">
        <w:tc>
          <w:tcPr>
            <w:tcW w:w="2280" w:type="dxa"/>
            <w:shd w:val="clear" w:color="auto" w:fill="D9D9D9"/>
          </w:tcPr>
          <w:p w14:paraId="60103726" w14:textId="77777777" w:rsidR="00E14366" w:rsidRPr="00133E4D" w:rsidRDefault="00000000" w:rsidP="00133E4D">
            <w:pPr>
              <w:spacing w:after="40" w:line="360" w:lineRule="auto"/>
              <w:rPr>
                <w:rFonts w:ascii="Arial" w:hAnsi="Arial" w:cs="Arial"/>
              </w:rPr>
            </w:pPr>
            <w:r w:rsidRPr="00133E4D">
              <w:rPr>
                <w:rFonts w:ascii="Arial" w:hAnsi="Arial" w:cs="Arial"/>
                <w:b/>
              </w:rPr>
              <w:t>Strategic Option</w:t>
            </w:r>
          </w:p>
        </w:tc>
        <w:tc>
          <w:tcPr>
            <w:tcW w:w="2280" w:type="dxa"/>
            <w:shd w:val="clear" w:color="auto" w:fill="D9D9D9"/>
          </w:tcPr>
          <w:p w14:paraId="6920A031" w14:textId="77777777" w:rsidR="00E14366" w:rsidRPr="00133E4D" w:rsidRDefault="00000000" w:rsidP="00133E4D">
            <w:pPr>
              <w:spacing w:after="40" w:line="360" w:lineRule="auto"/>
              <w:rPr>
                <w:rFonts w:ascii="Arial" w:hAnsi="Arial" w:cs="Arial"/>
              </w:rPr>
            </w:pPr>
            <w:r w:rsidRPr="00133E4D">
              <w:rPr>
                <w:rFonts w:ascii="Arial" w:hAnsi="Arial" w:cs="Arial"/>
                <w:b/>
              </w:rPr>
              <w:t>Advantages</w:t>
            </w:r>
          </w:p>
        </w:tc>
        <w:tc>
          <w:tcPr>
            <w:tcW w:w="2280" w:type="dxa"/>
            <w:shd w:val="clear" w:color="auto" w:fill="D9D9D9"/>
          </w:tcPr>
          <w:p w14:paraId="23AE6D84" w14:textId="77777777" w:rsidR="00E14366" w:rsidRPr="00133E4D" w:rsidRDefault="00000000" w:rsidP="00133E4D">
            <w:pPr>
              <w:spacing w:after="40" w:line="360" w:lineRule="auto"/>
              <w:rPr>
                <w:rFonts w:ascii="Arial" w:hAnsi="Arial" w:cs="Arial"/>
              </w:rPr>
            </w:pPr>
            <w:r w:rsidRPr="00133E4D">
              <w:rPr>
                <w:rFonts w:ascii="Arial" w:hAnsi="Arial" w:cs="Arial"/>
                <w:b/>
              </w:rPr>
              <w:t>Limitations</w:t>
            </w:r>
          </w:p>
        </w:tc>
        <w:tc>
          <w:tcPr>
            <w:tcW w:w="2280" w:type="dxa"/>
            <w:shd w:val="clear" w:color="auto" w:fill="D9D9D9"/>
          </w:tcPr>
          <w:p w14:paraId="75AC2223" w14:textId="77777777" w:rsidR="00E14366" w:rsidRPr="00133E4D" w:rsidRDefault="00000000" w:rsidP="00133E4D">
            <w:pPr>
              <w:spacing w:after="40" w:line="360" w:lineRule="auto"/>
              <w:rPr>
                <w:rFonts w:ascii="Arial" w:hAnsi="Arial" w:cs="Arial"/>
              </w:rPr>
            </w:pPr>
            <w:r w:rsidRPr="00133E4D">
              <w:rPr>
                <w:rFonts w:ascii="Arial" w:hAnsi="Arial" w:cs="Arial"/>
                <w:b/>
              </w:rPr>
              <w:t>Recommendation</w:t>
            </w:r>
          </w:p>
        </w:tc>
      </w:tr>
      <w:tr w:rsidR="00E14366" w:rsidRPr="00133E4D" w14:paraId="41D97A7E" w14:textId="77777777">
        <w:tc>
          <w:tcPr>
            <w:tcW w:w="2280" w:type="dxa"/>
          </w:tcPr>
          <w:p w14:paraId="7D6D7F4E" w14:textId="77777777" w:rsidR="00E14366" w:rsidRPr="00133E4D" w:rsidRDefault="00000000" w:rsidP="00133E4D">
            <w:pPr>
              <w:spacing w:after="40" w:line="360" w:lineRule="auto"/>
              <w:rPr>
                <w:rFonts w:ascii="Arial" w:hAnsi="Arial" w:cs="Arial"/>
              </w:rPr>
            </w:pPr>
            <w:r w:rsidRPr="00133E4D">
              <w:rPr>
                <w:rFonts w:ascii="Arial" w:hAnsi="Arial" w:cs="Arial"/>
              </w:rPr>
              <w:t>Technology-led differentiation</w:t>
            </w:r>
          </w:p>
        </w:tc>
        <w:tc>
          <w:tcPr>
            <w:tcW w:w="2280" w:type="dxa"/>
          </w:tcPr>
          <w:p w14:paraId="6CB9C6B9" w14:textId="77777777" w:rsidR="00E14366" w:rsidRPr="00133E4D" w:rsidRDefault="00000000" w:rsidP="00133E4D">
            <w:pPr>
              <w:spacing w:after="40" w:line="360" w:lineRule="auto"/>
              <w:rPr>
                <w:rFonts w:ascii="Arial" w:hAnsi="Arial" w:cs="Arial"/>
              </w:rPr>
            </w:pPr>
            <w:r w:rsidRPr="00133E4D">
              <w:rPr>
                <w:rFonts w:ascii="Arial" w:hAnsi="Arial" w:cs="Arial"/>
              </w:rPr>
              <w:t>Innovation; stronger customer experience; 5G leadership; AI differentiation</w:t>
            </w:r>
          </w:p>
        </w:tc>
        <w:tc>
          <w:tcPr>
            <w:tcW w:w="2280" w:type="dxa"/>
          </w:tcPr>
          <w:p w14:paraId="2E099CEC" w14:textId="77777777" w:rsidR="00E14366" w:rsidRPr="00133E4D" w:rsidRDefault="00000000" w:rsidP="00133E4D">
            <w:pPr>
              <w:spacing w:after="40" w:line="360" w:lineRule="auto"/>
              <w:rPr>
                <w:rFonts w:ascii="Arial" w:hAnsi="Arial" w:cs="Arial"/>
              </w:rPr>
            </w:pPr>
            <w:r w:rsidRPr="00133E4D">
              <w:rPr>
                <w:rFonts w:ascii="Arial" w:hAnsi="Arial" w:cs="Arial"/>
              </w:rPr>
              <w:t>High capital investment requirements</w:t>
            </w:r>
          </w:p>
        </w:tc>
        <w:tc>
          <w:tcPr>
            <w:tcW w:w="2280" w:type="dxa"/>
          </w:tcPr>
          <w:p w14:paraId="41D5CAFF" w14:textId="77777777" w:rsidR="00E14366" w:rsidRPr="00133E4D" w:rsidRDefault="00000000" w:rsidP="00133E4D">
            <w:pPr>
              <w:spacing w:after="40" w:line="360" w:lineRule="auto"/>
              <w:rPr>
                <w:rFonts w:ascii="Arial" w:hAnsi="Arial" w:cs="Arial"/>
              </w:rPr>
            </w:pPr>
            <w:r w:rsidRPr="00133E4D">
              <w:rPr>
                <w:rFonts w:ascii="Arial" w:hAnsi="Arial" w:cs="Arial"/>
              </w:rPr>
              <w:t>Recommended</w:t>
            </w:r>
          </w:p>
        </w:tc>
      </w:tr>
      <w:tr w:rsidR="00E14366" w:rsidRPr="00133E4D" w14:paraId="0F695EE3" w14:textId="77777777">
        <w:tc>
          <w:tcPr>
            <w:tcW w:w="2280" w:type="dxa"/>
          </w:tcPr>
          <w:p w14:paraId="4F3D1627" w14:textId="77777777" w:rsidR="00E14366" w:rsidRPr="00133E4D" w:rsidRDefault="00000000" w:rsidP="00133E4D">
            <w:pPr>
              <w:spacing w:after="40" w:line="360" w:lineRule="auto"/>
              <w:rPr>
                <w:rFonts w:ascii="Arial" w:hAnsi="Arial" w:cs="Arial"/>
              </w:rPr>
            </w:pPr>
            <w:r w:rsidRPr="00133E4D">
              <w:rPr>
                <w:rFonts w:ascii="Arial" w:hAnsi="Arial" w:cs="Arial"/>
              </w:rPr>
              <w:t>Market development</w:t>
            </w:r>
          </w:p>
        </w:tc>
        <w:tc>
          <w:tcPr>
            <w:tcW w:w="2280" w:type="dxa"/>
          </w:tcPr>
          <w:p w14:paraId="7587C2F6" w14:textId="77777777" w:rsidR="00E14366" w:rsidRPr="00133E4D" w:rsidRDefault="00000000" w:rsidP="00133E4D">
            <w:pPr>
              <w:spacing w:after="40" w:line="360" w:lineRule="auto"/>
              <w:rPr>
                <w:rFonts w:ascii="Arial" w:hAnsi="Arial" w:cs="Arial"/>
              </w:rPr>
            </w:pPr>
            <w:r w:rsidRPr="00133E4D">
              <w:rPr>
                <w:rFonts w:ascii="Arial" w:hAnsi="Arial" w:cs="Arial"/>
              </w:rPr>
              <w:t>Rural expansion; digital inclusion; business growth</w:t>
            </w:r>
          </w:p>
        </w:tc>
        <w:tc>
          <w:tcPr>
            <w:tcW w:w="2280" w:type="dxa"/>
          </w:tcPr>
          <w:p w14:paraId="744F4DAD" w14:textId="77777777" w:rsidR="00E14366" w:rsidRPr="00133E4D" w:rsidRDefault="00000000" w:rsidP="00133E4D">
            <w:pPr>
              <w:spacing w:after="40" w:line="360" w:lineRule="auto"/>
              <w:rPr>
                <w:rFonts w:ascii="Arial" w:hAnsi="Arial" w:cs="Arial"/>
              </w:rPr>
            </w:pPr>
            <w:r w:rsidRPr="00133E4D">
              <w:rPr>
                <w:rFonts w:ascii="Arial" w:hAnsi="Arial" w:cs="Arial"/>
              </w:rPr>
              <w:t>Slow return on investment; geographically limited</w:t>
            </w:r>
          </w:p>
        </w:tc>
        <w:tc>
          <w:tcPr>
            <w:tcW w:w="2280" w:type="dxa"/>
          </w:tcPr>
          <w:p w14:paraId="2163DEDC" w14:textId="77777777" w:rsidR="00E14366" w:rsidRPr="00133E4D" w:rsidRDefault="00000000" w:rsidP="00133E4D">
            <w:pPr>
              <w:spacing w:after="40" w:line="360" w:lineRule="auto"/>
              <w:rPr>
                <w:rFonts w:ascii="Arial" w:hAnsi="Arial" w:cs="Arial"/>
              </w:rPr>
            </w:pPr>
            <w:r w:rsidRPr="00133E4D">
              <w:rPr>
                <w:rFonts w:ascii="Arial" w:hAnsi="Arial" w:cs="Arial"/>
              </w:rPr>
              <w:t>Suitable</w:t>
            </w:r>
          </w:p>
        </w:tc>
      </w:tr>
      <w:tr w:rsidR="00E14366" w:rsidRPr="00133E4D" w14:paraId="1ADE4399" w14:textId="77777777">
        <w:tc>
          <w:tcPr>
            <w:tcW w:w="2280" w:type="dxa"/>
          </w:tcPr>
          <w:p w14:paraId="5869F072" w14:textId="77777777" w:rsidR="00E14366" w:rsidRPr="00133E4D" w:rsidRDefault="00000000" w:rsidP="00133E4D">
            <w:pPr>
              <w:spacing w:after="40" w:line="360" w:lineRule="auto"/>
              <w:rPr>
                <w:rFonts w:ascii="Arial" w:hAnsi="Arial" w:cs="Arial"/>
              </w:rPr>
            </w:pPr>
            <w:r w:rsidRPr="00133E4D">
              <w:rPr>
                <w:rFonts w:ascii="Arial" w:hAnsi="Arial" w:cs="Arial"/>
              </w:rPr>
              <w:t>Cost leadership</w:t>
            </w:r>
          </w:p>
        </w:tc>
        <w:tc>
          <w:tcPr>
            <w:tcW w:w="2280" w:type="dxa"/>
          </w:tcPr>
          <w:p w14:paraId="733A3847" w14:textId="77777777" w:rsidR="00E14366" w:rsidRPr="00133E4D" w:rsidRDefault="00000000" w:rsidP="00133E4D">
            <w:pPr>
              <w:spacing w:after="40" w:line="360" w:lineRule="auto"/>
              <w:rPr>
                <w:rFonts w:ascii="Arial" w:hAnsi="Arial" w:cs="Arial"/>
              </w:rPr>
            </w:pPr>
            <w:r w:rsidRPr="00133E4D">
              <w:rPr>
                <w:rFonts w:ascii="Arial" w:hAnsi="Arial" w:cs="Arial"/>
              </w:rPr>
              <w:t>Lower operating costs; merger synergies</w:t>
            </w:r>
          </w:p>
        </w:tc>
        <w:tc>
          <w:tcPr>
            <w:tcW w:w="2280" w:type="dxa"/>
          </w:tcPr>
          <w:p w14:paraId="1B8DE718" w14:textId="77777777" w:rsidR="00E14366" w:rsidRPr="00133E4D" w:rsidRDefault="00000000" w:rsidP="00133E4D">
            <w:pPr>
              <w:spacing w:after="40" w:line="360" w:lineRule="auto"/>
              <w:rPr>
                <w:rFonts w:ascii="Arial" w:hAnsi="Arial" w:cs="Arial"/>
              </w:rPr>
            </w:pPr>
            <w:r w:rsidRPr="00133E4D">
              <w:rPr>
                <w:rFonts w:ascii="Arial" w:hAnsi="Arial" w:cs="Arial"/>
              </w:rPr>
              <w:t>Easy to imitate; risks eroding quality premium</w:t>
            </w:r>
          </w:p>
        </w:tc>
        <w:tc>
          <w:tcPr>
            <w:tcW w:w="2280" w:type="dxa"/>
          </w:tcPr>
          <w:p w14:paraId="2DE73B64" w14:textId="77777777" w:rsidR="00E14366" w:rsidRPr="00133E4D" w:rsidRDefault="00000000" w:rsidP="00133E4D">
            <w:pPr>
              <w:spacing w:after="40" w:line="360" w:lineRule="auto"/>
              <w:rPr>
                <w:rFonts w:ascii="Arial" w:hAnsi="Arial" w:cs="Arial"/>
              </w:rPr>
            </w:pPr>
            <w:r w:rsidRPr="00133E4D">
              <w:rPr>
                <w:rFonts w:ascii="Arial" w:hAnsi="Arial" w:cs="Arial"/>
              </w:rPr>
              <w:t>Less suitable</w:t>
            </w:r>
          </w:p>
        </w:tc>
      </w:tr>
    </w:tbl>
    <w:p w14:paraId="5BD3F702" w14:textId="77777777" w:rsidR="00E14366" w:rsidRPr="00133E4D" w:rsidRDefault="00E14366" w:rsidP="00133E4D">
      <w:pPr>
        <w:spacing w:line="360" w:lineRule="auto"/>
        <w:rPr>
          <w:rFonts w:ascii="Arial" w:hAnsi="Arial" w:cs="Arial"/>
        </w:rPr>
      </w:pPr>
    </w:p>
    <w:p w14:paraId="6DB7EAEE" w14:textId="77777777" w:rsidR="00E14366" w:rsidRPr="00133E4D" w:rsidRDefault="00000000" w:rsidP="00133E4D">
      <w:pPr>
        <w:pStyle w:val="Heading2"/>
        <w:spacing w:line="360" w:lineRule="auto"/>
        <w:rPr>
          <w:rFonts w:ascii="Arial" w:hAnsi="Arial" w:cs="Arial"/>
          <w:sz w:val="22"/>
          <w:szCs w:val="22"/>
        </w:rPr>
      </w:pPr>
      <w:bookmarkStart w:id="35" w:name="_Toc234790843"/>
      <w:r w:rsidRPr="00133E4D">
        <w:rPr>
          <w:rFonts w:ascii="Arial" w:hAnsi="Arial" w:cs="Arial"/>
          <w:sz w:val="22"/>
          <w:szCs w:val="22"/>
        </w:rPr>
        <w:lastRenderedPageBreak/>
        <w:t>Table A4. SFA Evaluation</w:t>
      </w:r>
      <w:bookmarkEnd w:id="35"/>
    </w:p>
    <w:p w14:paraId="43BC992F" w14:textId="77777777" w:rsidR="00E14366" w:rsidRPr="00133E4D" w:rsidRDefault="00000000" w:rsidP="00133E4D">
      <w:pPr>
        <w:spacing w:after="80" w:line="360" w:lineRule="auto"/>
        <w:rPr>
          <w:rFonts w:ascii="Arial" w:hAnsi="Arial" w:cs="Arial"/>
        </w:rPr>
      </w:pPr>
      <w:r w:rsidRPr="00133E4D">
        <w:rPr>
          <w:rFonts w:ascii="Arial" w:hAnsi="Arial" w:cs="Arial"/>
          <w:i/>
        </w:rPr>
        <w:t>Source: Johnson, Scholes and Whittington (2023); Vodafone Group Plc (2025); Competition and Markets Authority (2024); Ofcom (2024).</w:t>
      </w:r>
    </w:p>
    <w:tbl>
      <w:tblPr>
        <w:tblStyle w:val="TableGrid"/>
        <w:tblW w:w="0" w:type="auto"/>
        <w:tblLook w:val="04A0" w:firstRow="1" w:lastRow="0" w:firstColumn="1" w:lastColumn="0" w:noHBand="0" w:noVBand="1"/>
      </w:tblPr>
      <w:tblGrid>
        <w:gridCol w:w="2280"/>
        <w:gridCol w:w="2280"/>
        <w:gridCol w:w="2280"/>
        <w:gridCol w:w="2280"/>
      </w:tblGrid>
      <w:tr w:rsidR="00E14366" w:rsidRPr="00133E4D" w14:paraId="26286A08" w14:textId="77777777">
        <w:tc>
          <w:tcPr>
            <w:tcW w:w="2280" w:type="dxa"/>
            <w:shd w:val="clear" w:color="auto" w:fill="D9D9D9"/>
          </w:tcPr>
          <w:p w14:paraId="354D6921" w14:textId="77777777" w:rsidR="00E14366" w:rsidRPr="00133E4D" w:rsidRDefault="00000000" w:rsidP="00133E4D">
            <w:pPr>
              <w:spacing w:after="40" w:line="360" w:lineRule="auto"/>
              <w:rPr>
                <w:rFonts w:ascii="Arial" w:hAnsi="Arial" w:cs="Arial"/>
              </w:rPr>
            </w:pPr>
            <w:r w:rsidRPr="00133E4D">
              <w:rPr>
                <w:rFonts w:ascii="Arial" w:hAnsi="Arial" w:cs="Arial"/>
                <w:b/>
              </w:rPr>
              <w:t>Criteria</w:t>
            </w:r>
          </w:p>
        </w:tc>
        <w:tc>
          <w:tcPr>
            <w:tcW w:w="2280" w:type="dxa"/>
            <w:shd w:val="clear" w:color="auto" w:fill="D9D9D9"/>
          </w:tcPr>
          <w:p w14:paraId="75C6F4A5" w14:textId="77777777" w:rsidR="00E14366" w:rsidRPr="00133E4D" w:rsidRDefault="00000000" w:rsidP="00133E4D">
            <w:pPr>
              <w:spacing w:after="40" w:line="360" w:lineRule="auto"/>
              <w:rPr>
                <w:rFonts w:ascii="Arial" w:hAnsi="Arial" w:cs="Arial"/>
              </w:rPr>
            </w:pPr>
            <w:r w:rsidRPr="00133E4D">
              <w:rPr>
                <w:rFonts w:ascii="Arial" w:hAnsi="Arial" w:cs="Arial"/>
                <w:b/>
              </w:rPr>
              <w:t>Technology-led Differentiation</w:t>
            </w:r>
          </w:p>
        </w:tc>
        <w:tc>
          <w:tcPr>
            <w:tcW w:w="2280" w:type="dxa"/>
            <w:shd w:val="clear" w:color="auto" w:fill="D9D9D9"/>
          </w:tcPr>
          <w:p w14:paraId="6CA46017" w14:textId="77777777" w:rsidR="00E14366" w:rsidRPr="00133E4D" w:rsidRDefault="00000000" w:rsidP="00133E4D">
            <w:pPr>
              <w:spacing w:after="40" w:line="360" w:lineRule="auto"/>
              <w:rPr>
                <w:rFonts w:ascii="Arial" w:hAnsi="Arial" w:cs="Arial"/>
              </w:rPr>
            </w:pPr>
            <w:r w:rsidRPr="00133E4D">
              <w:rPr>
                <w:rFonts w:ascii="Arial" w:hAnsi="Arial" w:cs="Arial"/>
                <w:b/>
              </w:rPr>
              <w:t>Market Development</w:t>
            </w:r>
          </w:p>
        </w:tc>
        <w:tc>
          <w:tcPr>
            <w:tcW w:w="2280" w:type="dxa"/>
            <w:shd w:val="clear" w:color="auto" w:fill="D9D9D9"/>
          </w:tcPr>
          <w:p w14:paraId="79073FD3" w14:textId="77777777" w:rsidR="00E14366" w:rsidRPr="00133E4D" w:rsidRDefault="00000000" w:rsidP="00133E4D">
            <w:pPr>
              <w:spacing w:after="40" w:line="360" w:lineRule="auto"/>
              <w:rPr>
                <w:rFonts w:ascii="Arial" w:hAnsi="Arial" w:cs="Arial"/>
              </w:rPr>
            </w:pPr>
            <w:r w:rsidRPr="00133E4D">
              <w:rPr>
                <w:rFonts w:ascii="Arial" w:hAnsi="Arial" w:cs="Arial"/>
                <w:b/>
              </w:rPr>
              <w:t>Cost Leadership</w:t>
            </w:r>
          </w:p>
        </w:tc>
      </w:tr>
      <w:tr w:rsidR="00E14366" w:rsidRPr="00133E4D" w14:paraId="65ACBBDF" w14:textId="77777777">
        <w:tc>
          <w:tcPr>
            <w:tcW w:w="2280" w:type="dxa"/>
          </w:tcPr>
          <w:p w14:paraId="7778696E" w14:textId="77777777" w:rsidR="00E14366" w:rsidRPr="00133E4D" w:rsidRDefault="00000000" w:rsidP="00133E4D">
            <w:pPr>
              <w:spacing w:after="40" w:line="360" w:lineRule="auto"/>
              <w:rPr>
                <w:rFonts w:ascii="Arial" w:hAnsi="Arial" w:cs="Arial"/>
              </w:rPr>
            </w:pPr>
            <w:r w:rsidRPr="00133E4D">
              <w:rPr>
                <w:rFonts w:ascii="Arial" w:hAnsi="Arial" w:cs="Arial"/>
              </w:rPr>
              <w:t>Suitability</w:t>
            </w:r>
          </w:p>
        </w:tc>
        <w:tc>
          <w:tcPr>
            <w:tcW w:w="2280" w:type="dxa"/>
          </w:tcPr>
          <w:p w14:paraId="61718776"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2280" w:type="dxa"/>
          </w:tcPr>
          <w:p w14:paraId="5B66A649"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c>
          <w:tcPr>
            <w:tcW w:w="2280" w:type="dxa"/>
          </w:tcPr>
          <w:p w14:paraId="0C06385B"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r>
      <w:tr w:rsidR="00E14366" w:rsidRPr="00133E4D" w14:paraId="0F9EAB30" w14:textId="77777777">
        <w:tc>
          <w:tcPr>
            <w:tcW w:w="2280" w:type="dxa"/>
          </w:tcPr>
          <w:p w14:paraId="2EB0386C" w14:textId="77777777" w:rsidR="00E14366" w:rsidRPr="00133E4D" w:rsidRDefault="00000000" w:rsidP="00133E4D">
            <w:pPr>
              <w:spacing w:after="40" w:line="360" w:lineRule="auto"/>
              <w:rPr>
                <w:rFonts w:ascii="Arial" w:hAnsi="Arial" w:cs="Arial"/>
              </w:rPr>
            </w:pPr>
            <w:r w:rsidRPr="00133E4D">
              <w:rPr>
                <w:rFonts w:ascii="Arial" w:hAnsi="Arial" w:cs="Arial"/>
              </w:rPr>
              <w:t>Feasibility</w:t>
            </w:r>
          </w:p>
        </w:tc>
        <w:tc>
          <w:tcPr>
            <w:tcW w:w="2280" w:type="dxa"/>
          </w:tcPr>
          <w:p w14:paraId="39715BFB"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2280" w:type="dxa"/>
          </w:tcPr>
          <w:p w14:paraId="4CE2705E"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c>
          <w:tcPr>
            <w:tcW w:w="2280" w:type="dxa"/>
          </w:tcPr>
          <w:p w14:paraId="25FDAB3B"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r>
      <w:tr w:rsidR="00E14366" w:rsidRPr="00133E4D" w14:paraId="4C2ECF1F" w14:textId="77777777">
        <w:tc>
          <w:tcPr>
            <w:tcW w:w="2280" w:type="dxa"/>
          </w:tcPr>
          <w:p w14:paraId="5519FF1E" w14:textId="77777777" w:rsidR="00E14366" w:rsidRPr="00133E4D" w:rsidRDefault="00000000" w:rsidP="00133E4D">
            <w:pPr>
              <w:spacing w:after="40" w:line="360" w:lineRule="auto"/>
              <w:rPr>
                <w:rFonts w:ascii="Arial" w:hAnsi="Arial" w:cs="Arial"/>
              </w:rPr>
            </w:pPr>
            <w:r w:rsidRPr="00133E4D">
              <w:rPr>
                <w:rFonts w:ascii="Arial" w:hAnsi="Arial" w:cs="Arial"/>
              </w:rPr>
              <w:t>Acceptability</w:t>
            </w:r>
          </w:p>
        </w:tc>
        <w:tc>
          <w:tcPr>
            <w:tcW w:w="2280" w:type="dxa"/>
          </w:tcPr>
          <w:p w14:paraId="615D01F4"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2280" w:type="dxa"/>
          </w:tcPr>
          <w:p w14:paraId="4820E899"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c>
          <w:tcPr>
            <w:tcW w:w="2280" w:type="dxa"/>
          </w:tcPr>
          <w:p w14:paraId="31881232"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r>
      <w:tr w:rsidR="00E14366" w:rsidRPr="00133E4D" w14:paraId="6BC00F81" w14:textId="77777777">
        <w:tc>
          <w:tcPr>
            <w:tcW w:w="2280" w:type="dxa"/>
          </w:tcPr>
          <w:p w14:paraId="3ACCB2A0" w14:textId="77777777" w:rsidR="00E14366" w:rsidRPr="00133E4D" w:rsidRDefault="00000000" w:rsidP="00133E4D">
            <w:pPr>
              <w:spacing w:after="40" w:line="360" w:lineRule="auto"/>
              <w:rPr>
                <w:rFonts w:ascii="Arial" w:hAnsi="Arial" w:cs="Arial"/>
              </w:rPr>
            </w:pPr>
            <w:r w:rsidRPr="00133E4D">
              <w:rPr>
                <w:rFonts w:ascii="Arial" w:hAnsi="Arial" w:cs="Arial"/>
              </w:rPr>
              <w:t>Overall Assessment</w:t>
            </w:r>
          </w:p>
        </w:tc>
        <w:tc>
          <w:tcPr>
            <w:tcW w:w="2280" w:type="dxa"/>
          </w:tcPr>
          <w:p w14:paraId="59ED8036" w14:textId="77777777" w:rsidR="00E14366" w:rsidRPr="00133E4D" w:rsidRDefault="00000000" w:rsidP="00133E4D">
            <w:pPr>
              <w:spacing w:after="40" w:line="360" w:lineRule="auto"/>
              <w:rPr>
                <w:rFonts w:ascii="Arial" w:hAnsi="Arial" w:cs="Arial"/>
              </w:rPr>
            </w:pPr>
            <w:r w:rsidRPr="00133E4D">
              <w:rPr>
                <w:rFonts w:ascii="Arial" w:hAnsi="Arial" w:cs="Arial"/>
              </w:rPr>
              <w:t>Recommended</w:t>
            </w:r>
          </w:p>
        </w:tc>
        <w:tc>
          <w:tcPr>
            <w:tcW w:w="2280" w:type="dxa"/>
          </w:tcPr>
          <w:p w14:paraId="075C7A87" w14:textId="77777777" w:rsidR="00E14366" w:rsidRPr="00133E4D" w:rsidRDefault="00000000" w:rsidP="00133E4D">
            <w:pPr>
              <w:spacing w:after="40" w:line="360" w:lineRule="auto"/>
              <w:rPr>
                <w:rFonts w:ascii="Arial" w:hAnsi="Arial" w:cs="Arial"/>
              </w:rPr>
            </w:pPr>
            <w:r w:rsidRPr="00133E4D">
              <w:rPr>
                <w:rFonts w:ascii="Arial" w:hAnsi="Arial" w:cs="Arial"/>
              </w:rPr>
              <w:t>Suitable</w:t>
            </w:r>
          </w:p>
        </w:tc>
        <w:tc>
          <w:tcPr>
            <w:tcW w:w="2280" w:type="dxa"/>
          </w:tcPr>
          <w:p w14:paraId="01D53788" w14:textId="77777777" w:rsidR="00E14366" w:rsidRPr="00133E4D" w:rsidRDefault="00000000" w:rsidP="00133E4D">
            <w:pPr>
              <w:spacing w:after="40" w:line="360" w:lineRule="auto"/>
              <w:rPr>
                <w:rFonts w:ascii="Arial" w:hAnsi="Arial" w:cs="Arial"/>
              </w:rPr>
            </w:pPr>
            <w:r w:rsidRPr="00133E4D">
              <w:rPr>
                <w:rFonts w:ascii="Arial" w:hAnsi="Arial" w:cs="Arial"/>
              </w:rPr>
              <w:t>Less Suitable</w:t>
            </w:r>
          </w:p>
        </w:tc>
      </w:tr>
    </w:tbl>
    <w:p w14:paraId="421FC36C" w14:textId="77777777" w:rsidR="00E14366" w:rsidRPr="00133E4D" w:rsidRDefault="00E14366" w:rsidP="00133E4D">
      <w:pPr>
        <w:spacing w:line="360" w:lineRule="auto"/>
        <w:rPr>
          <w:rFonts w:ascii="Arial" w:hAnsi="Arial" w:cs="Arial"/>
        </w:rPr>
      </w:pPr>
    </w:p>
    <w:p w14:paraId="5798E4DE" w14:textId="77777777" w:rsidR="00E14366" w:rsidRPr="00133E4D" w:rsidRDefault="00000000" w:rsidP="00133E4D">
      <w:pPr>
        <w:pStyle w:val="Heading2"/>
        <w:spacing w:line="360" w:lineRule="auto"/>
        <w:rPr>
          <w:rFonts w:ascii="Arial" w:hAnsi="Arial" w:cs="Arial"/>
          <w:sz w:val="22"/>
          <w:szCs w:val="22"/>
        </w:rPr>
      </w:pPr>
      <w:bookmarkStart w:id="36" w:name="_Toc234790844"/>
      <w:r w:rsidRPr="00133E4D">
        <w:rPr>
          <w:rFonts w:ascii="Arial" w:hAnsi="Arial" w:cs="Arial"/>
          <w:sz w:val="22"/>
          <w:szCs w:val="22"/>
        </w:rPr>
        <w:t>Figure A3. Mendelow's Power–Interest Matrix</w:t>
      </w:r>
      <w:bookmarkEnd w:id="36"/>
    </w:p>
    <w:p w14:paraId="1F91024D" w14:textId="77777777" w:rsidR="00E14366" w:rsidRPr="00133E4D" w:rsidRDefault="00000000" w:rsidP="00133E4D">
      <w:pPr>
        <w:spacing w:after="80" w:line="360" w:lineRule="auto"/>
        <w:rPr>
          <w:rFonts w:ascii="Arial" w:hAnsi="Arial" w:cs="Arial"/>
        </w:rPr>
      </w:pPr>
      <w:r w:rsidRPr="00133E4D">
        <w:rPr>
          <w:rFonts w:ascii="Arial" w:hAnsi="Arial" w:cs="Arial"/>
          <w:i/>
        </w:rPr>
        <w:t>Source: Adapted from Mendelow (1991), using stakeholder categories from Freeman (1984). [Original diagram from submission reproduced here.]</w:t>
      </w:r>
    </w:p>
    <w:tbl>
      <w:tblPr>
        <w:tblStyle w:val="TableGrid"/>
        <w:tblW w:w="0" w:type="auto"/>
        <w:tblLook w:val="04A0" w:firstRow="1" w:lastRow="0" w:firstColumn="1" w:lastColumn="0" w:noHBand="0" w:noVBand="1"/>
      </w:tblPr>
      <w:tblGrid>
        <w:gridCol w:w="1824"/>
        <w:gridCol w:w="1824"/>
        <w:gridCol w:w="1824"/>
        <w:gridCol w:w="1824"/>
        <w:gridCol w:w="1855"/>
      </w:tblGrid>
      <w:tr w:rsidR="00E14366" w:rsidRPr="00133E4D" w14:paraId="0F0BA71F" w14:textId="77777777">
        <w:tc>
          <w:tcPr>
            <w:tcW w:w="1824" w:type="dxa"/>
            <w:shd w:val="clear" w:color="auto" w:fill="D9D9D9"/>
          </w:tcPr>
          <w:p w14:paraId="1911FBCC" w14:textId="77777777" w:rsidR="00E14366" w:rsidRPr="00133E4D" w:rsidRDefault="00000000" w:rsidP="00133E4D">
            <w:pPr>
              <w:spacing w:after="40" w:line="360" w:lineRule="auto"/>
              <w:rPr>
                <w:rFonts w:ascii="Arial" w:hAnsi="Arial" w:cs="Arial"/>
              </w:rPr>
            </w:pPr>
            <w:r w:rsidRPr="00133E4D">
              <w:rPr>
                <w:rFonts w:ascii="Arial" w:hAnsi="Arial" w:cs="Arial"/>
                <w:b/>
              </w:rPr>
              <w:t>Stakeholder</w:t>
            </w:r>
          </w:p>
        </w:tc>
        <w:tc>
          <w:tcPr>
            <w:tcW w:w="1824" w:type="dxa"/>
            <w:shd w:val="clear" w:color="auto" w:fill="D9D9D9"/>
          </w:tcPr>
          <w:p w14:paraId="61F580F2" w14:textId="77777777" w:rsidR="00E14366" w:rsidRPr="00133E4D" w:rsidRDefault="00000000" w:rsidP="00133E4D">
            <w:pPr>
              <w:spacing w:after="40" w:line="360" w:lineRule="auto"/>
              <w:rPr>
                <w:rFonts w:ascii="Arial" w:hAnsi="Arial" w:cs="Arial"/>
              </w:rPr>
            </w:pPr>
            <w:r w:rsidRPr="00133E4D">
              <w:rPr>
                <w:rFonts w:ascii="Arial" w:hAnsi="Arial" w:cs="Arial"/>
                <w:b/>
              </w:rPr>
              <w:t>Power</w:t>
            </w:r>
          </w:p>
        </w:tc>
        <w:tc>
          <w:tcPr>
            <w:tcW w:w="1824" w:type="dxa"/>
            <w:shd w:val="clear" w:color="auto" w:fill="D9D9D9"/>
          </w:tcPr>
          <w:p w14:paraId="2260BAD4" w14:textId="77777777" w:rsidR="00E14366" w:rsidRPr="00133E4D" w:rsidRDefault="00000000" w:rsidP="00133E4D">
            <w:pPr>
              <w:spacing w:after="40" w:line="360" w:lineRule="auto"/>
              <w:rPr>
                <w:rFonts w:ascii="Arial" w:hAnsi="Arial" w:cs="Arial"/>
              </w:rPr>
            </w:pPr>
            <w:r w:rsidRPr="00133E4D">
              <w:rPr>
                <w:rFonts w:ascii="Arial" w:hAnsi="Arial" w:cs="Arial"/>
                <w:b/>
              </w:rPr>
              <w:t>Interest</w:t>
            </w:r>
          </w:p>
        </w:tc>
        <w:tc>
          <w:tcPr>
            <w:tcW w:w="1824" w:type="dxa"/>
            <w:shd w:val="clear" w:color="auto" w:fill="D9D9D9"/>
          </w:tcPr>
          <w:p w14:paraId="73EC149B" w14:textId="77777777" w:rsidR="00E14366" w:rsidRPr="00133E4D" w:rsidRDefault="00000000" w:rsidP="00133E4D">
            <w:pPr>
              <w:spacing w:after="40" w:line="360" w:lineRule="auto"/>
              <w:rPr>
                <w:rFonts w:ascii="Arial" w:hAnsi="Arial" w:cs="Arial"/>
              </w:rPr>
            </w:pPr>
            <w:r w:rsidRPr="00133E4D">
              <w:rPr>
                <w:rFonts w:ascii="Arial" w:hAnsi="Arial" w:cs="Arial"/>
                <w:b/>
              </w:rPr>
              <w:t>Matrix Quadrant</w:t>
            </w:r>
          </w:p>
        </w:tc>
        <w:tc>
          <w:tcPr>
            <w:tcW w:w="1824" w:type="dxa"/>
            <w:shd w:val="clear" w:color="auto" w:fill="D9D9D9"/>
          </w:tcPr>
          <w:p w14:paraId="42DF63FD" w14:textId="77777777" w:rsidR="00E14366" w:rsidRPr="00133E4D" w:rsidRDefault="00000000" w:rsidP="00133E4D">
            <w:pPr>
              <w:spacing w:after="40" w:line="360" w:lineRule="auto"/>
              <w:rPr>
                <w:rFonts w:ascii="Arial" w:hAnsi="Arial" w:cs="Arial"/>
              </w:rPr>
            </w:pPr>
            <w:r w:rsidRPr="00133E4D">
              <w:rPr>
                <w:rFonts w:ascii="Arial" w:hAnsi="Arial" w:cs="Arial"/>
                <w:b/>
              </w:rPr>
              <w:t>Management Approach</w:t>
            </w:r>
          </w:p>
        </w:tc>
      </w:tr>
      <w:tr w:rsidR="00E14366" w:rsidRPr="00133E4D" w14:paraId="3A379C87" w14:textId="77777777">
        <w:tc>
          <w:tcPr>
            <w:tcW w:w="1824" w:type="dxa"/>
          </w:tcPr>
          <w:p w14:paraId="4D170B4E" w14:textId="77777777" w:rsidR="00E14366" w:rsidRPr="00133E4D" w:rsidRDefault="00000000" w:rsidP="00133E4D">
            <w:pPr>
              <w:spacing w:after="40" w:line="360" w:lineRule="auto"/>
              <w:rPr>
                <w:rFonts w:ascii="Arial" w:hAnsi="Arial" w:cs="Arial"/>
              </w:rPr>
            </w:pPr>
            <w:r w:rsidRPr="00133E4D">
              <w:rPr>
                <w:rFonts w:ascii="Arial" w:hAnsi="Arial" w:cs="Arial"/>
              </w:rPr>
              <w:t>Regulators (CMA, Ofcom)</w:t>
            </w:r>
          </w:p>
        </w:tc>
        <w:tc>
          <w:tcPr>
            <w:tcW w:w="1824" w:type="dxa"/>
          </w:tcPr>
          <w:p w14:paraId="08198E46"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5773CC39"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106E9AC6" w14:textId="77777777" w:rsidR="00E14366" w:rsidRPr="00133E4D" w:rsidRDefault="00000000" w:rsidP="00133E4D">
            <w:pPr>
              <w:spacing w:after="40" w:line="360" w:lineRule="auto"/>
              <w:rPr>
                <w:rFonts w:ascii="Arial" w:hAnsi="Arial" w:cs="Arial"/>
              </w:rPr>
            </w:pPr>
            <w:r w:rsidRPr="00133E4D">
              <w:rPr>
                <w:rFonts w:ascii="Arial" w:hAnsi="Arial" w:cs="Arial"/>
              </w:rPr>
              <w:t>Manage Closely</w:t>
            </w:r>
          </w:p>
        </w:tc>
        <w:tc>
          <w:tcPr>
            <w:tcW w:w="1824" w:type="dxa"/>
          </w:tcPr>
          <w:p w14:paraId="7E345F44" w14:textId="77777777" w:rsidR="00E14366" w:rsidRPr="00133E4D" w:rsidRDefault="00000000" w:rsidP="00133E4D">
            <w:pPr>
              <w:spacing w:after="40" w:line="360" w:lineRule="auto"/>
              <w:rPr>
                <w:rFonts w:ascii="Arial" w:hAnsi="Arial" w:cs="Arial"/>
              </w:rPr>
            </w:pPr>
            <w:r w:rsidRPr="00133E4D">
              <w:rPr>
                <w:rFonts w:ascii="Arial" w:hAnsi="Arial" w:cs="Arial"/>
              </w:rPr>
              <w:t>Quarterly formal compliance reporting</w:t>
            </w:r>
          </w:p>
        </w:tc>
      </w:tr>
      <w:tr w:rsidR="00E14366" w:rsidRPr="00133E4D" w14:paraId="6CBCB7CC" w14:textId="77777777">
        <w:tc>
          <w:tcPr>
            <w:tcW w:w="1824" w:type="dxa"/>
          </w:tcPr>
          <w:p w14:paraId="027CC562" w14:textId="77777777" w:rsidR="00E14366" w:rsidRPr="00133E4D" w:rsidRDefault="00000000" w:rsidP="00133E4D">
            <w:pPr>
              <w:spacing w:after="40" w:line="360" w:lineRule="auto"/>
              <w:rPr>
                <w:rFonts w:ascii="Arial" w:hAnsi="Arial" w:cs="Arial"/>
              </w:rPr>
            </w:pPr>
            <w:r w:rsidRPr="00133E4D">
              <w:rPr>
                <w:rFonts w:ascii="Arial" w:hAnsi="Arial" w:cs="Arial"/>
              </w:rPr>
              <w:t>Shareholders (Vodafone Group)</w:t>
            </w:r>
          </w:p>
        </w:tc>
        <w:tc>
          <w:tcPr>
            <w:tcW w:w="1824" w:type="dxa"/>
          </w:tcPr>
          <w:p w14:paraId="07ACE805"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0F4DA9C4"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3176732D" w14:textId="77777777" w:rsidR="00E14366" w:rsidRPr="00133E4D" w:rsidRDefault="00000000" w:rsidP="00133E4D">
            <w:pPr>
              <w:spacing w:after="40" w:line="360" w:lineRule="auto"/>
              <w:rPr>
                <w:rFonts w:ascii="Arial" w:hAnsi="Arial" w:cs="Arial"/>
              </w:rPr>
            </w:pPr>
            <w:r w:rsidRPr="00133E4D">
              <w:rPr>
                <w:rFonts w:ascii="Arial" w:hAnsi="Arial" w:cs="Arial"/>
              </w:rPr>
              <w:t>Manage Closely</w:t>
            </w:r>
          </w:p>
        </w:tc>
        <w:tc>
          <w:tcPr>
            <w:tcW w:w="1824" w:type="dxa"/>
          </w:tcPr>
          <w:p w14:paraId="282D4BAB" w14:textId="77777777" w:rsidR="00E14366" w:rsidRPr="00133E4D" w:rsidRDefault="00000000" w:rsidP="00133E4D">
            <w:pPr>
              <w:spacing w:after="40" w:line="360" w:lineRule="auto"/>
              <w:rPr>
                <w:rFonts w:ascii="Arial" w:hAnsi="Arial" w:cs="Arial"/>
              </w:rPr>
            </w:pPr>
            <w:r w:rsidRPr="00133E4D">
              <w:rPr>
                <w:rFonts w:ascii="Arial" w:hAnsi="Arial" w:cs="Arial"/>
              </w:rPr>
              <w:t>Quarterly financial/synergy reporting</w:t>
            </w:r>
          </w:p>
        </w:tc>
      </w:tr>
      <w:tr w:rsidR="00E14366" w:rsidRPr="00133E4D" w14:paraId="568978CC" w14:textId="77777777">
        <w:tc>
          <w:tcPr>
            <w:tcW w:w="1824" w:type="dxa"/>
          </w:tcPr>
          <w:p w14:paraId="1EE3F90C" w14:textId="77777777" w:rsidR="00E14366" w:rsidRPr="00133E4D" w:rsidRDefault="00000000" w:rsidP="00133E4D">
            <w:pPr>
              <w:spacing w:after="40" w:line="360" w:lineRule="auto"/>
              <w:rPr>
                <w:rFonts w:ascii="Arial" w:hAnsi="Arial" w:cs="Arial"/>
              </w:rPr>
            </w:pPr>
            <w:r w:rsidRPr="00133E4D">
              <w:rPr>
                <w:rFonts w:ascii="Arial" w:hAnsi="Arial" w:cs="Arial"/>
              </w:rPr>
              <w:t>Employees and unions</w:t>
            </w:r>
          </w:p>
        </w:tc>
        <w:tc>
          <w:tcPr>
            <w:tcW w:w="1824" w:type="dxa"/>
          </w:tcPr>
          <w:p w14:paraId="2AD5FAD5"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c>
          <w:tcPr>
            <w:tcW w:w="1824" w:type="dxa"/>
          </w:tcPr>
          <w:p w14:paraId="6E047D11"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3D3EDE27" w14:textId="77777777" w:rsidR="00E14366" w:rsidRPr="00133E4D" w:rsidRDefault="00000000" w:rsidP="00133E4D">
            <w:pPr>
              <w:spacing w:after="40" w:line="360" w:lineRule="auto"/>
              <w:rPr>
                <w:rFonts w:ascii="Arial" w:hAnsi="Arial" w:cs="Arial"/>
              </w:rPr>
            </w:pPr>
            <w:r w:rsidRPr="00133E4D">
              <w:rPr>
                <w:rFonts w:ascii="Arial" w:hAnsi="Arial" w:cs="Arial"/>
              </w:rPr>
              <w:t>Keep Informed</w:t>
            </w:r>
          </w:p>
        </w:tc>
        <w:tc>
          <w:tcPr>
            <w:tcW w:w="1824" w:type="dxa"/>
          </w:tcPr>
          <w:p w14:paraId="2FDD4414" w14:textId="77777777" w:rsidR="00E14366" w:rsidRPr="00133E4D" w:rsidRDefault="00000000" w:rsidP="00133E4D">
            <w:pPr>
              <w:spacing w:after="40" w:line="360" w:lineRule="auto"/>
              <w:rPr>
                <w:rFonts w:ascii="Arial" w:hAnsi="Arial" w:cs="Arial"/>
              </w:rPr>
            </w:pPr>
            <w:r w:rsidRPr="00133E4D">
              <w:rPr>
                <w:rFonts w:ascii="Arial" w:hAnsi="Arial" w:cs="Arial"/>
              </w:rPr>
              <w:t>Monthly change-management briefings</w:t>
            </w:r>
          </w:p>
        </w:tc>
      </w:tr>
      <w:tr w:rsidR="00E14366" w:rsidRPr="00133E4D" w14:paraId="708FF66D" w14:textId="77777777">
        <w:tc>
          <w:tcPr>
            <w:tcW w:w="1824" w:type="dxa"/>
          </w:tcPr>
          <w:p w14:paraId="72EC1986" w14:textId="77777777" w:rsidR="00E14366" w:rsidRPr="00133E4D" w:rsidRDefault="00000000" w:rsidP="00133E4D">
            <w:pPr>
              <w:spacing w:after="40" w:line="360" w:lineRule="auto"/>
              <w:rPr>
                <w:rFonts w:ascii="Arial" w:hAnsi="Arial" w:cs="Arial"/>
              </w:rPr>
            </w:pPr>
            <w:r w:rsidRPr="00133E4D">
              <w:rPr>
                <w:rFonts w:ascii="Arial" w:hAnsi="Arial" w:cs="Arial"/>
              </w:rPr>
              <w:t>Customers</w:t>
            </w:r>
          </w:p>
        </w:tc>
        <w:tc>
          <w:tcPr>
            <w:tcW w:w="1824" w:type="dxa"/>
          </w:tcPr>
          <w:p w14:paraId="669C2DB4" w14:textId="77777777" w:rsidR="00E14366" w:rsidRPr="00133E4D" w:rsidRDefault="00000000" w:rsidP="00133E4D">
            <w:pPr>
              <w:spacing w:after="40" w:line="360" w:lineRule="auto"/>
              <w:rPr>
                <w:rFonts w:ascii="Arial" w:hAnsi="Arial" w:cs="Arial"/>
              </w:rPr>
            </w:pPr>
            <w:r w:rsidRPr="00133E4D">
              <w:rPr>
                <w:rFonts w:ascii="Arial" w:hAnsi="Arial" w:cs="Arial"/>
              </w:rPr>
              <w:t>Low</w:t>
            </w:r>
          </w:p>
        </w:tc>
        <w:tc>
          <w:tcPr>
            <w:tcW w:w="1824" w:type="dxa"/>
          </w:tcPr>
          <w:p w14:paraId="10922E55"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5308217C" w14:textId="77777777" w:rsidR="00E14366" w:rsidRPr="00133E4D" w:rsidRDefault="00000000" w:rsidP="00133E4D">
            <w:pPr>
              <w:spacing w:after="40" w:line="360" w:lineRule="auto"/>
              <w:rPr>
                <w:rFonts w:ascii="Arial" w:hAnsi="Arial" w:cs="Arial"/>
              </w:rPr>
            </w:pPr>
            <w:r w:rsidRPr="00133E4D">
              <w:rPr>
                <w:rFonts w:ascii="Arial" w:hAnsi="Arial" w:cs="Arial"/>
              </w:rPr>
              <w:t>Keep Informed</w:t>
            </w:r>
          </w:p>
        </w:tc>
        <w:tc>
          <w:tcPr>
            <w:tcW w:w="1824" w:type="dxa"/>
          </w:tcPr>
          <w:p w14:paraId="79F96B22" w14:textId="77777777" w:rsidR="00E14366" w:rsidRPr="00133E4D" w:rsidRDefault="00000000" w:rsidP="00133E4D">
            <w:pPr>
              <w:spacing w:after="40" w:line="360" w:lineRule="auto"/>
              <w:rPr>
                <w:rFonts w:ascii="Arial" w:hAnsi="Arial" w:cs="Arial"/>
              </w:rPr>
            </w:pPr>
            <w:r w:rsidRPr="00133E4D">
              <w:rPr>
                <w:rFonts w:ascii="Arial" w:hAnsi="Arial" w:cs="Arial"/>
              </w:rPr>
              <w:t>Continuous service updates, transparent pricing</w:t>
            </w:r>
          </w:p>
        </w:tc>
      </w:tr>
      <w:tr w:rsidR="00E14366" w:rsidRPr="00133E4D" w14:paraId="38354129" w14:textId="77777777">
        <w:tc>
          <w:tcPr>
            <w:tcW w:w="1824" w:type="dxa"/>
          </w:tcPr>
          <w:p w14:paraId="5DEDB632" w14:textId="77777777" w:rsidR="00E14366" w:rsidRPr="00133E4D" w:rsidRDefault="00000000" w:rsidP="00133E4D">
            <w:pPr>
              <w:spacing w:after="40" w:line="360" w:lineRule="auto"/>
              <w:rPr>
                <w:rFonts w:ascii="Arial" w:hAnsi="Arial" w:cs="Arial"/>
              </w:rPr>
            </w:pPr>
            <w:r w:rsidRPr="00133E4D">
              <w:rPr>
                <w:rFonts w:ascii="Arial" w:hAnsi="Arial" w:cs="Arial"/>
              </w:rPr>
              <w:t>Suppliers (Ericsson, Nokia)</w:t>
            </w:r>
          </w:p>
        </w:tc>
        <w:tc>
          <w:tcPr>
            <w:tcW w:w="1824" w:type="dxa"/>
          </w:tcPr>
          <w:p w14:paraId="03738D16"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c>
          <w:tcPr>
            <w:tcW w:w="1824" w:type="dxa"/>
          </w:tcPr>
          <w:p w14:paraId="02F82E35" w14:textId="77777777" w:rsidR="00E14366" w:rsidRPr="00133E4D" w:rsidRDefault="00000000" w:rsidP="00133E4D">
            <w:pPr>
              <w:spacing w:after="40" w:line="360" w:lineRule="auto"/>
              <w:rPr>
                <w:rFonts w:ascii="Arial" w:hAnsi="Arial" w:cs="Arial"/>
              </w:rPr>
            </w:pPr>
            <w:r w:rsidRPr="00133E4D">
              <w:rPr>
                <w:rFonts w:ascii="Arial" w:hAnsi="Arial" w:cs="Arial"/>
              </w:rPr>
              <w:t>Medium</w:t>
            </w:r>
          </w:p>
        </w:tc>
        <w:tc>
          <w:tcPr>
            <w:tcW w:w="1824" w:type="dxa"/>
          </w:tcPr>
          <w:p w14:paraId="061156FD" w14:textId="77777777" w:rsidR="00E14366" w:rsidRPr="00133E4D" w:rsidRDefault="00000000" w:rsidP="00133E4D">
            <w:pPr>
              <w:spacing w:after="40" w:line="360" w:lineRule="auto"/>
              <w:rPr>
                <w:rFonts w:ascii="Arial" w:hAnsi="Arial" w:cs="Arial"/>
              </w:rPr>
            </w:pPr>
            <w:r w:rsidRPr="00133E4D">
              <w:rPr>
                <w:rFonts w:ascii="Arial" w:hAnsi="Arial" w:cs="Arial"/>
              </w:rPr>
              <w:t>Keep Satisfied</w:t>
            </w:r>
          </w:p>
        </w:tc>
        <w:tc>
          <w:tcPr>
            <w:tcW w:w="1824" w:type="dxa"/>
          </w:tcPr>
          <w:p w14:paraId="6242D013"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Quarterly partnership and ESG </w:t>
            </w:r>
            <w:r w:rsidRPr="00133E4D">
              <w:rPr>
                <w:rFonts w:ascii="Arial" w:hAnsi="Arial" w:cs="Arial"/>
              </w:rPr>
              <w:lastRenderedPageBreak/>
              <w:t>governance</w:t>
            </w:r>
          </w:p>
        </w:tc>
      </w:tr>
      <w:tr w:rsidR="00E14366" w:rsidRPr="00133E4D" w14:paraId="20BA3873" w14:textId="77777777">
        <w:tc>
          <w:tcPr>
            <w:tcW w:w="1824" w:type="dxa"/>
          </w:tcPr>
          <w:p w14:paraId="6E118B66" w14:textId="77777777" w:rsidR="00E14366" w:rsidRPr="00133E4D" w:rsidRDefault="00000000" w:rsidP="00133E4D">
            <w:pPr>
              <w:spacing w:after="40" w:line="360" w:lineRule="auto"/>
              <w:rPr>
                <w:rFonts w:ascii="Arial" w:hAnsi="Arial" w:cs="Arial"/>
              </w:rPr>
            </w:pPr>
            <w:r w:rsidRPr="00133E4D">
              <w:rPr>
                <w:rFonts w:ascii="Arial" w:hAnsi="Arial" w:cs="Arial"/>
              </w:rPr>
              <w:lastRenderedPageBreak/>
              <w:t xml:space="preserve">Local communities / emergency </w:t>
            </w:r>
            <w:proofErr w:type="spellStart"/>
            <w:r w:rsidRPr="00133E4D">
              <w:rPr>
                <w:rFonts w:ascii="Arial" w:hAnsi="Arial" w:cs="Arial"/>
              </w:rPr>
              <w:t>svcs</w:t>
            </w:r>
            <w:proofErr w:type="spellEnd"/>
          </w:p>
        </w:tc>
        <w:tc>
          <w:tcPr>
            <w:tcW w:w="1824" w:type="dxa"/>
          </w:tcPr>
          <w:p w14:paraId="321DA92A" w14:textId="77777777" w:rsidR="00E14366" w:rsidRPr="00133E4D" w:rsidRDefault="00000000" w:rsidP="00133E4D">
            <w:pPr>
              <w:spacing w:after="40" w:line="360" w:lineRule="auto"/>
              <w:rPr>
                <w:rFonts w:ascii="Arial" w:hAnsi="Arial" w:cs="Arial"/>
              </w:rPr>
            </w:pPr>
            <w:r w:rsidRPr="00133E4D">
              <w:rPr>
                <w:rFonts w:ascii="Arial" w:hAnsi="Arial" w:cs="Arial"/>
              </w:rPr>
              <w:t>Low</w:t>
            </w:r>
          </w:p>
        </w:tc>
        <w:tc>
          <w:tcPr>
            <w:tcW w:w="1824" w:type="dxa"/>
          </w:tcPr>
          <w:p w14:paraId="36EF7352" w14:textId="77777777" w:rsidR="00E14366" w:rsidRPr="00133E4D" w:rsidRDefault="00000000" w:rsidP="00133E4D">
            <w:pPr>
              <w:spacing w:after="40" w:line="360" w:lineRule="auto"/>
              <w:rPr>
                <w:rFonts w:ascii="Arial" w:hAnsi="Arial" w:cs="Arial"/>
              </w:rPr>
            </w:pPr>
            <w:r w:rsidRPr="00133E4D">
              <w:rPr>
                <w:rFonts w:ascii="Arial" w:hAnsi="Arial" w:cs="Arial"/>
              </w:rPr>
              <w:t>High</w:t>
            </w:r>
          </w:p>
        </w:tc>
        <w:tc>
          <w:tcPr>
            <w:tcW w:w="1824" w:type="dxa"/>
          </w:tcPr>
          <w:p w14:paraId="1B27DA12" w14:textId="77777777" w:rsidR="00E14366" w:rsidRPr="00133E4D" w:rsidRDefault="00000000" w:rsidP="00133E4D">
            <w:pPr>
              <w:spacing w:after="40" w:line="360" w:lineRule="auto"/>
              <w:rPr>
                <w:rFonts w:ascii="Arial" w:hAnsi="Arial" w:cs="Arial"/>
              </w:rPr>
            </w:pPr>
            <w:r w:rsidRPr="00133E4D">
              <w:rPr>
                <w:rFonts w:ascii="Arial" w:hAnsi="Arial" w:cs="Arial"/>
              </w:rPr>
              <w:t>Keep Informed</w:t>
            </w:r>
          </w:p>
        </w:tc>
        <w:tc>
          <w:tcPr>
            <w:tcW w:w="1824" w:type="dxa"/>
          </w:tcPr>
          <w:p w14:paraId="62E5B0BD" w14:textId="77777777" w:rsidR="00E14366" w:rsidRPr="00133E4D" w:rsidRDefault="00000000" w:rsidP="00133E4D">
            <w:pPr>
              <w:spacing w:after="40" w:line="360" w:lineRule="auto"/>
              <w:rPr>
                <w:rFonts w:ascii="Arial" w:hAnsi="Arial" w:cs="Arial"/>
              </w:rPr>
            </w:pPr>
            <w:r w:rsidRPr="00133E4D">
              <w:rPr>
                <w:rFonts w:ascii="Arial" w:hAnsi="Arial" w:cs="Arial"/>
              </w:rPr>
              <w:t>Ongoing rollout communication</w:t>
            </w:r>
          </w:p>
        </w:tc>
      </w:tr>
    </w:tbl>
    <w:p w14:paraId="23145BEF" w14:textId="77777777" w:rsidR="00E14366" w:rsidRPr="00133E4D" w:rsidRDefault="00E14366" w:rsidP="00133E4D">
      <w:pPr>
        <w:spacing w:line="360" w:lineRule="auto"/>
        <w:rPr>
          <w:rFonts w:ascii="Arial" w:hAnsi="Arial" w:cs="Arial"/>
        </w:rPr>
      </w:pPr>
    </w:p>
    <w:p w14:paraId="5F17B697" w14:textId="77777777" w:rsidR="00E14366" w:rsidRPr="00133E4D" w:rsidRDefault="00000000" w:rsidP="00133E4D">
      <w:pPr>
        <w:pStyle w:val="Heading2"/>
        <w:spacing w:line="360" w:lineRule="auto"/>
        <w:rPr>
          <w:rFonts w:ascii="Arial" w:hAnsi="Arial" w:cs="Arial"/>
          <w:sz w:val="22"/>
          <w:szCs w:val="22"/>
        </w:rPr>
      </w:pPr>
      <w:bookmarkStart w:id="37" w:name="_Toc234790845"/>
      <w:r w:rsidRPr="00133E4D">
        <w:rPr>
          <w:rFonts w:ascii="Arial" w:hAnsi="Arial" w:cs="Arial"/>
          <w:sz w:val="22"/>
          <w:szCs w:val="22"/>
        </w:rPr>
        <w:t>Table A5. Stakeholder Engagement Plan</w:t>
      </w:r>
      <w:bookmarkEnd w:id="37"/>
    </w:p>
    <w:p w14:paraId="2BC4A5BC" w14:textId="77777777" w:rsidR="00E14366" w:rsidRPr="00133E4D" w:rsidRDefault="00000000" w:rsidP="00133E4D">
      <w:pPr>
        <w:spacing w:after="80" w:line="360" w:lineRule="auto"/>
        <w:rPr>
          <w:rFonts w:ascii="Arial" w:hAnsi="Arial" w:cs="Arial"/>
        </w:rPr>
      </w:pPr>
      <w:r w:rsidRPr="00133E4D">
        <w:rPr>
          <w:rFonts w:ascii="Arial" w:hAnsi="Arial" w:cs="Arial"/>
          <w:i/>
        </w:rPr>
        <w:t>Source: Mendelow (1991); Freeman (1984).</w:t>
      </w:r>
    </w:p>
    <w:tbl>
      <w:tblPr>
        <w:tblStyle w:val="TableGrid"/>
        <w:tblW w:w="0" w:type="auto"/>
        <w:tblLook w:val="04A0" w:firstRow="1" w:lastRow="0" w:firstColumn="1" w:lastColumn="0" w:noHBand="0" w:noVBand="1"/>
      </w:tblPr>
      <w:tblGrid>
        <w:gridCol w:w="2280"/>
        <w:gridCol w:w="2280"/>
        <w:gridCol w:w="2280"/>
        <w:gridCol w:w="2280"/>
      </w:tblGrid>
      <w:tr w:rsidR="00E14366" w:rsidRPr="00133E4D" w14:paraId="72FD8383" w14:textId="77777777">
        <w:tc>
          <w:tcPr>
            <w:tcW w:w="2280" w:type="dxa"/>
            <w:shd w:val="clear" w:color="auto" w:fill="D9D9D9"/>
          </w:tcPr>
          <w:p w14:paraId="3216DFD6" w14:textId="77777777" w:rsidR="00E14366" w:rsidRPr="00133E4D" w:rsidRDefault="00000000" w:rsidP="00133E4D">
            <w:pPr>
              <w:spacing w:after="40" w:line="360" w:lineRule="auto"/>
              <w:rPr>
                <w:rFonts w:ascii="Arial" w:hAnsi="Arial" w:cs="Arial"/>
              </w:rPr>
            </w:pPr>
            <w:r w:rsidRPr="00133E4D">
              <w:rPr>
                <w:rFonts w:ascii="Arial" w:hAnsi="Arial" w:cs="Arial"/>
                <w:b/>
              </w:rPr>
              <w:t>Stakeholder</w:t>
            </w:r>
          </w:p>
        </w:tc>
        <w:tc>
          <w:tcPr>
            <w:tcW w:w="2280" w:type="dxa"/>
            <w:shd w:val="clear" w:color="auto" w:fill="D9D9D9"/>
          </w:tcPr>
          <w:p w14:paraId="3295D39C" w14:textId="77777777" w:rsidR="00E14366" w:rsidRPr="00133E4D" w:rsidRDefault="00000000" w:rsidP="00133E4D">
            <w:pPr>
              <w:spacing w:after="40" w:line="360" w:lineRule="auto"/>
              <w:rPr>
                <w:rFonts w:ascii="Arial" w:hAnsi="Arial" w:cs="Arial"/>
              </w:rPr>
            </w:pPr>
            <w:r w:rsidRPr="00133E4D">
              <w:rPr>
                <w:rFonts w:ascii="Arial" w:hAnsi="Arial" w:cs="Arial"/>
                <w:b/>
              </w:rPr>
              <w:t>Power / Interest</w:t>
            </w:r>
          </w:p>
        </w:tc>
        <w:tc>
          <w:tcPr>
            <w:tcW w:w="2280" w:type="dxa"/>
            <w:shd w:val="clear" w:color="auto" w:fill="D9D9D9"/>
          </w:tcPr>
          <w:p w14:paraId="38E3CA5C" w14:textId="77777777" w:rsidR="00E14366" w:rsidRPr="00133E4D" w:rsidRDefault="00000000" w:rsidP="00133E4D">
            <w:pPr>
              <w:spacing w:after="40" w:line="360" w:lineRule="auto"/>
              <w:rPr>
                <w:rFonts w:ascii="Arial" w:hAnsi="Arial" w:cs="Arial"/>
              </w:rPr>
            </w:pPr>
            <w:r w:rsidRPr="00133E4D">
              <w:rPr>
                <w:rFonts w:ascii="Arial" w:hAnsi="Arial" w:cs="Arial"/>
                <w:b/>
              </w:rPr>
              <w:t>Engagement Approach</w:t>
            </w:r>
          </w:p>
        </w:tc>
        <w:tc>
          <w:tcPr>
            <w:tcW w:w="2280" w:type="dxa"/>
            <w:shd w:val="clear" w:color="auto" w:fill="D9D9D9"/>
          </w:tcPr>
          <w:p w14:paraId="15D6F83A" w14:textId="77777777" w:rsidR="00E14366" w:rsidRPr="00133E4D" w:rsidRDefault="00000000" w:rsidP="00133E4D">
            <w:pPr>
              <w:spacing w:after="40" w:line="360" w:lineRule="auto"/>
              <w:rPr>
                <w:rFonts w:ascii="Arial" w:hAnsi="Arial" w:cs="Arial"/>
              </w:rPr>
            </w:pPr>
            <w:r w:rsidRPr="00133E4D">
              <w:rPr>
                <w:rFonts w:ascii="Arial" w:hAnsi="Arial" w:cs="Arial"/>
                <w:b/>
              </w:rPr>
              <w:t>Frequency</w:t>
            </w:r>
          </w:p>
        </w:tc>
      </w:tr>
      <w:tr w:rsidR="00E14366" w:rsidRPr="00133E4D" w14:paraId="008F094A" w14:textId="77777777">
        <w:tc>
          <w:tcPr>
            <w:tcW w:w="2280" w:type="dxa"/>
          </w:tcPr>
          <w:p w14:paraId="02AB2C82" w14:textId="77777777" w:rsidR="00E14366" w:rsidRPr="00133E4D" w:rsidRDefault="00000000" w:rsidP="00133E4D">
            <w:pPr>
              <w:spacing w:after="40" w:line="360" w:lineRule="auto"/>
              <w:rPr>
                <w:rFonts w:ascii="Arial" w:hAnsi="Arial" w:cs="Arial"/>
              </w:rPr>
            </w:pPr>
            <w:r w:rsidRPr="00133E4D">
              <w:rPr>
                <w:rFonts w:ascii="Arial" w:hAnsi="Arial" w:cs="Arial"/>
              </w:rPr>
              <w:t>Regulators (CMA, Ofcom)</w:t>
            </w:r>
          </w:p>
        </w:tc>
        <w:tc>
          <w:tcPr>
            <w:tcW w:w="2280" w:type="dxa"/>
          </w:tcPr>
          <w:p w14:paraId="7BD72AB3" w14:textId="77777777" w:rsidR="00E14366" w:rsidRPr="00133E4D" w:rsidRDefault="00000000" w:rsidP="00133E4D">
            <w:pPr>
              <w:spacing w:after="40" w:line="360" w:lineRule="auto"/>
              <w:rPr>
                <w:rFonts w:ascii="Arial" w:hAnsi="Arial" w:cs="Arial"/>
              </w:rPr>
            </w:pPr>
            <w:r w:rsidRPr="00133E4D">
              <w:rPr>
                <w:rFonts w:ascii="Arial" w:hAnsi="Arial" w:cs="Arial"/>
              </w:rPr>
              <w:t>High / High</w:t>
            </w:r>
          </w:p>
        </w:tc>
        <w:tc>
          <w:tcPr>
            <w:tcW w:w="2280" w:type="dxa"/>
          </w:tcPr>
          <w:p w14:paraId="088E0D12" w14:textId="77777777" w:rsidR="00E14366" w:rsidRPr="00133E4D" w:rsidRDefault="00000000" w:rsidP="00133E4D">
            <w:pPr>
              <w:spacing w:after="40" w:line="360" w:lineRule="auto"/>
              <w:rPr>
                <w:rFonts w:ascii="Arial" w:hAnsi="Arial" w:cs="Arial"/>
              </w:rPr>
            </w:pPr>
            <w:r w:rsidRPr="00133E4D">
              <w:rPr>
                <w:rFonts w:ascii="Arial" w:hAnsi="Arial" w:cs="Arial"/>
              </w:rPr>
              <w:t>Formal compliance reporting on investment undertakings and price caps</w:t>
            </w:r>
          </w:p>
        </w:tc>
        <w:tc>
          <w:tcPr>
            <w:tcW w:w="2280" w:type="dxa"/>
          </w:tcPr>
          <w:p w14:paraId="4C980F48" w14:textId="77777777" w:rsidR="00E14366" w:rsidRPr="00133E4D" w:rsidRDefault="00000000" w:rsidP="00133E4D">
            <w:pPr>
              <w:spacing w:after="40" w:line="360" w:lineRule="auto"/>
              <w:rPr>
                <w:rFonts w:ascii="Arial" w:hAnsi="Arial" w:cs="Arial"/>
              </w:rPr>
            </w:pPr>
            <w:r w:rsidRPr="00133E4D">
              <w:rPr>
                <w:rFonts w:ascii="Arial" w:hAnsi="Arial" w:cs="Arial"/>
              </w:rPr>
              <w:t>Quarterly</w:t>
            </w:r>
          </w:p>
        </w:tc>
      </w:tr>
      <w:tr w:rsidR="00E14366" w:rsidRPr="00133E4D" w14:paraId="35299D5A" w14:textId="77777777">
        <w:tc>
          <w:tcPr>
            <w:tcW w:w="2280" w:type="dxa"/>
          </w:tcPr>
          <w:p w14:paraId="0A63FDFB" w14:textId="77777777" w:rsidR="00E14366" w:rsidRPr="00133E4D" w:rsidRDefault="00000000" w:rsidP="00133E4D">
            <w:pPr>
              <w:spacing w:after="40" w:line="360" w:lineRule="auto"/>
              <w:rPr>
                <w:rFonts w:ascii="Arial" w:hAnsi="Arial" w:cs="Arial"/>
              </w:rPr>
            </w:pPr>
            <w:r w:rsidRPr="00133E4D">
              <w:rPr>
                <w:rFonts w:ascii="Arial" w:hAnsi="Arial" w:cs="Arial"/>
              </w:rPr>
              <w:t>Shareholders (Vodafone Group)</w:t>
            </w:r>
          </w:p>
        </w:tc>
        <w:tc>
          <w:tcPr>
            <w:tcW w:w="2280" w:type="dxa"/>
          </w:tcPr>
          <w:p w14:paraId="39132C19" w14:textId="77777777" w:rsidR="00E14366" w:rsidRPr="00133E4D" w:rsidRDefault="00000000" w:rsidP="00133E4D">
            <w:pPr>
              <w:spacing w:after="40" w:line="360" w:lineRule="auto"/>
              <w:rPr>
                <w:rFonts w:ascii="Arial" w:hAnsi="Arial" w:cs="Arial"/>
              </w:rPr>
            </w:pPr>
            <w:r w:rsidRPr="00133E4D">
              <w:rPr>
                <w:rFonts w:ascii="Arial" w:hAnsi="Arial" w:cs="Arial"/>
              </w:rPr>
              <w:t>High / High</w:t>
            </w:r>
          </w:p>
        </w:tc>
        <w:tc>
          <w:tcPr>
            <w:tcW w:w="2280" w:type="dxa"/>
          </w:tcPr>
          <w:p w14:paraId="2F8F9CFA" w14:textId="77777777" w:rsidR="00E14366" w:rsidRPr="00133E4D" w:rsidRDefault="00000000" w:rsidP="00133E4D">
            <w:pPr>
              <w:spacing w:after="40" w:line="360" w:lineRule="auto"/>
              <w:rPr>
                <w:rFonts w:ascii="Arial" w:hAnsi="Arial" w:cs="Arial"/>
              </w:rPr>
            </w:pPr>
            <w:r w:rsidRPr="00133E4D">
              <w:rPr>
                <w:rFonts w:ascii="Arial" w:hAnsi="Arial" w:cs="Arial"/>
              </w:rPr>
              <w:t>Financial reporting and synergy tracking</w:t>
            </w:r>
          </w:p>
        </w:tc>
        <w:tc>
          <w:tcPr>
            <w:tcW w:w="2280" w:type="dxa"/>
          </w:tcPr>
          <w:p w14:paraId="3385F58B" w14:textId="77777777" w:rsidR="00E14366" w:rsidRPr="00133E4D" w:rsidRDefault="00000000" w:rsidP="00133E4D">
            <w:pPr>
              <w:spacing w:after="40" w:line="360" w:lineRule="auto"/>
              <w:rPr>
                <w:rFonts w:ascii="Arial" w:hAnsi="Arial" w:cs="Arial"/>
              </w:rPr>
            </w:pPr>
            <w:r w:rsidRPr="00133E4D">
              <w:rPr>
                <w:rFonts w:ascii="Arial" w:hAnsi="Arial" w:cs="Arial"/>
              </w:rPr>
              <w:t>Quarterly</w:t>
            </w:r>
          </w:p>
        </w:tc>
      </w:tr>
      <w:tr w:rsidR="00E14366" w:rsidRPr="00133E4D" w14:paraId="544BB613" w14:textId="77777777">
        <w:tc>
          <w:tcPr>
            <w:tcW w:w="2280" w:type="dxa"/>
          </w:tcPr>
          <w:p w14:paraId="188666F4" w14:textId="77777777" w:rsidR="00E14366" w:rsidRPr="00133E4D" w:rsidRDefault="00000000" w:rsidP="00133E4D">
            <w:pPr>
              <w:spacing w:after="40" w:line="360" w:lineRule="auto"/>
              <w:rPr>
                <w:rFonts w:ascii="Arial" w:hAnsi="Arial" w:cs="Arial"/>
              </w:rPr>
            </w:pPr>
            <w:r w:rsidRPr="00133E4D">
              <w:rPr>
                <w:rFonts w:ascii="Arial" w:hAnsi="Arial" w:cs="Arial"/>
              </w:rPr>
              <w:t>Employees and unions</w:t>
            </w:r>
          </w:p>
        </w:tc>
        <w:tc>
          <w:tcPr>
            <w:tcW w:w="2280" w:type="dxa"/>
          </w:tcPr>
          <w:p w14:paraId="77286FA3" w14:textId="77777777" w:rsidR="00E14366" w:rsidRPr="00133E4D" w:rsidRDefault="00000000" w:rsidP="00133E4D">
            <w:pPr>
              <w:spacing w:after="40" w:line="360" w:lineRule="auto"/>
              <w:rPr>
                <w:rFonts w:ascii="Arial" w:hAnsi="Arial" w:cs="Arial"/>
              </w:rPr>
            </w:pPr>
            <w:r w:rsidRPr="00133E4D">
              <w:rPr>
                <w:rFonts w:ascii="Arial" w:hAnsi="Arial" w:cs="Arial"/>
              </w:rPr>
              <w:t>Medium / High</w:t>
            </w:r>
          </w:p>
        </w:tc>
        <w:tc>
          <w:tcPr>
            <w:tcW w:w="2280" w:type="dxa"/>
          </w:tcPr>
          <w:p w14:paraId="654FA79D" w14:textId="77777777" w:rsidR="00E14366" w:rsidRPr="00133E4D" w:rsidRDefault="00000000" w:rsidP="00133E4D">
            <w:pPr>
              <w:spacing w:after="40" w:line="360" w:lineRule="auto"/>
              <w:rPr>
                <w:rFonts w:ascii="Arial" w:hAnsi="Arial" w:cs="Arial"/>
              </w:rPr>
            </w:pPr>
            <w:r w:rsidRPr="00133E4D">
              <w:rPr>
                <w:rFonts w:ascii="Arial" w:hAnsi="Arial" w:cs="Arial"/>
              </w:rPr>
              <w:t>Change-management briefings and engagement surveys</w:t>
            </w:r>
          </w:p>
        </w:tc>
        <w:tc>
          <w:tcPr>
            <w:tcW w:w="2280" w:type="dxa"/>
          </w:tcPr>
          <w:p w14:paraId="3BDE255A" w14:textId="77777777" w:rsidR="00E14366" w:rsidRPr="00133E4D" w:rsidRDefault="00000000" w:rsidP="00133E4D">
            <w:pPr>
              <w:spacing w:after="40" w:line="360" w:lineRule="auto"/>
              <w:rPr>
                <w:rFonts w:ascii="Arial" w:hAnsi="Arial" w:cs="Arial"/>
              </w:rPr>
            </w:pPr>
            <w:r w:rsidRPr="00133E4D">
              <w:rPr>
                <w:rFonts w:ascii="Arial" w:hAnsi="Arial" w:cs="Arial"/>
              </w:rPr>
              <w:t>Monthly</w:t>
            </w:r>
          </w:p>
        </w:tc>
      </w:tr>
      <w:tr w:rsidR="00E14366" w:rsidRPr="00133E4D" w14:paraId="111765A4" w14:textId="77777777">
        <w:tc>
          <w:tcPr>
            <w:tcW w:w="2280" w:type="dxa"/>
          </w:tcPr>
          <w:p w14:paraId="7794E292" w14:textId="77777777" w:rsidR="00E14366" w:rsidRPr="00133E4D" w:rsidRDefault="00000000" w:rsidP="00133E4D">
            <w:pPr>
              <w:spacing w:after="40" w:line="360" w:lineRule="auto"/>
              <w:rPr>
                <w:rFonts w:ascii="Arial" w:hAnsi="Arial" w:cs="Arial"/>
              </w:rPr>
            </w:pPr>
            <w:r w:rsidRPr="00133E4D">
              <w:rPr>
                <w:rFonts w:ascii="Arial" w:hAnsi="Arial" w:cs="Arial"/>
              </w:rPr>
              <w:t>Customers</w:t>
            </w:r>
          </w:p>
        </w:tc>
        <w:tc>
          <w:tcPr>
            <w:tcW w:w="2280" w:type="dxa"/>
          </w:tcPr>
          <w:p w14:paraId="25C4FBEB" w14:textId="77777777" w:rsidR="00E14366" w:rsidRPr="00133E4D" w:rsidRDefault="00000000" w:rsidP="00133E4D">
            <w:pPr>
              <w:spacing w:after="40" w:line="360" w:lineRule="auto"/>
              <w:rPr>
                <w:rFonts w:ascii="Arial" w:hAnsi="Arial" w:cs="Arial"/>
              </w:rPr>
            </w:pPr>
            <w:r w:rsidRPr="00133E4D">
              <w:rPr>
                <w:rFonts w:ascii="Arial" w:hAnsi="Arial" w:cs="Arial"/>
              </w:rPr>
              <w:t>Low / High</w:t>
            </w:r>
          </w:p>
        </w:tc>
        <w:tc>
          <w:tcPr>
            <w:tcW w:w="2280" w:type="dxa"/>
          </w:tcPr>
          <w:p w14:paraId="11012A09" w14:textId="77777777" w:rsidR="00E14366" w:rsidRPr="00133E4D" w:rsidRDefault="00000000" w:rsidP="00133E4D">
            <w:pPr>
              <w:spacing w:after="40" w:line="360" w:lineRule="auto"/>
              <w:rPr>
                <w:rFonts w:ascii="Arial" w:hAnsi="Arial" w:cs="Arial"/>
              </w:rPr>
            </w:pPr>
            <w:r w:rsidRPr="00133E4D">
              <w:rPr>
                <w:rFonts w:ascii="Arial" w:hAnsi="Arial" w:cs="Arial"/>
              </w:rPr>
              <w:t>Service updates, transparent pricing and coverage checkers</w:t>
            </w:r>
          </w:p>
        </w:tc>
        <w:tc>
          <w:tcPr>
            <w:tcW w:w="2280" w:type="dxa"/>
          </w:tcPr>
          <w:p w14:paraId="74B64F91" w14:textId="77777777" w:rsidR="00E14366" w:rsidRPr="00133E4D" w:rsidRDefault="00000000" w:rsidP="00133E4D">
            <w:pPr>
              <w:spacing w:after="40" w:line="360" w:lineRule="auto"/>
              <w:rPr>
                <w:rFonts w:ascii="Arial" w:hAnsi="Arial" w:cs="Arial"/>
              </w:rPr>
            </w:pPr>
            <w:r w:rsidRPr="00133E4D">
              <w:rPr>
                <w:rFonts w:ascii="Arial" w:hAnsi="Arial" w:cs="Arial"/>
              </w:rPr>
              <w:t>Continuous</w:t>
            </w:r>
          </w:p>
        </w:tc>
      </w:tr>
      <w:tr w:rsidR="00E14366" w:rsidRPr="00133E4D" w14:paraId="1F5C01F8" w14:textId="77777777">
        <w:tc>
          <w:tcPr>
            <w:tcW w:w="2280" w:type="dxa"/>
          </w:tcPr>
          <w:p w14:paraId="49A2F0B6" w14:textId="77777777" w:rsidR="00E14366" w:rsidRPr="00133E4D" w:rsidRDefault="00000000" w:rsidP="00133E4D">
            <w:pPr>
              <w:spacing w:after="40" w:line="360" w:lineRule="auto"/>
              <w:rPr>
                <w:rFonts w:ascii="Arial" w:hAnsi="Arial" w:cs="Arial"/>
              </w:rPr>
            </w:pPr>
            <w:r w:rsidRPr="00133E4D">
              <w:rPr>
                <w:rFonts w:ascii="Arial" w:hAnsi="Arial" w:cs="Arial"/>
              </w:rPr>
              <w:t>Suppliers (Ericsson, Nokia)</w:t>
            </w:r>
          </w:p>
        </w:tc>
        <w:tc>
          <w:tcPr>
            <w:tcW w:w="2280" w:type="dxa"/>
          </w:tcPr>
          <w:p w14:paraId="0AF94F6F" w14:textId="77777777" w:rsidR="00E14366" w:rsidRPr="00133E4D" w:rsidRDefault="00000000" w:rsidP="00133E4D">
            <w:pPr>
              <w:spacing w:after="40" w:line="360" w:lineRule="auto"/>
              <w:rPr>
                <w:rFonts w:ascii="Arial" w:hAnsi="Arial" w:cs="Arial"/>
              </w:rPr>
            </w:pPr>
            <w:r w:rsidRPr="00133E4D">
              <w:rPr>
                <w:rFonts w:ascii="Arial" w:hAnsi="Arial" w:cs="Arial"/>
              </w:rPr>
              <w:t>Medium / Medium</w:t>
            </w:r>
          </w:p>
        </w:tc>
        <w:tc>
          <w:tcPr>
            <w:tcW w:w="2280" w:type="dxa"/>
          </w:tcPr>
          <w:p w14:paraId="19691C95" w14:textId="77777777" w:rsidR="00E14366" w:rsidRPr="00133E4D" w:rsidRDefault="00000000" w:rsidP="00133E4D">
            <w:pPr>
              <w:spacing w:after="40" w:line="360" w:lineRule="auto"/>
              <w:rPr>
                <w:rFonts w:ascii="Arial" w:hAnsi="Arial" w:cs="Arial"/>
              </w:rPr>
            </w:pPr>
            <w:r w:rsidRPr="00133E4D">
              <w:rPr>
                <w:rFonts w:ascii="Arial" w:hAnsi="Arial" w:cs="Arial"/>
              </w:rPr>
              <w:t>Partnership governance and ESG audits</w:t>
            </w:r>
          </w:p>
        </w:tc>
        <w:tc>
          <w:tcPr>
            <w:tcW w:w="2280" w:type="dxa"/>
          </w:tcPr>
          <w:p w14:paraId="707A5000" w14:textId="77777777" w:rsidR="00E14366" w:rsidRPr="00133E4D" w:rsidRDefault="00000000" w:rsidP="00133E4D">
            <w:pPr>
              <w:spacing w:after="40" w:line="360" w:lineRule="auto"/>
              <w:rPr>
                <w:rFonts w:ascii="Arial" w:hAnsi="Arial" w:cs="Arial"/>
              </w:rPr>
            </w:pPr>
            <w:r w:rsidRPr="00133E4D">
              <w:rPr>
                <w:rFonts w:ascii="Arial" w:hAnsi="Arial" w:cs="Arial"/>
              </w:rPr>
              <w:t>Quarterly</w:t>
            </w:r>
          </w:p>
        </w:tc>
      </w:tr>
      <w:tr w:rsidR="00E14366" w:rsidRPr="00133E4D" w14:paraId="0390544B" w14:textId="77777777">
        <w:tc>
          <w:tcPr>
            <w:tcW w:w="2280" w:type="dxa"/>
          </w:tcPr>
          <w:p w14:paraId="27C44536"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Local communities / emergency </w:t>
            </w:r>
            <w:proofErr w:type="spellStart"/>
            <w:r w:rsidRPr="00133E4D">
              <w:rPr>
                <w:rFonts w:ascii="Arial" w:hAnsi="Arial" w:cs="Arial"/>
              </w:rPr>
              <w:t>svcs</w:t>
            </w:r>
            <w:proofErr w:type="spellEnd"/>
          </w:p>
        </w:tc>
        <w:tc>
          <w:tcPr>
            <w:tcW w:w="2280" w:type="dxa"/>
          </w:tcPr>
          <w:p w14:paraId="2F9FF259" w14:textId="77777777" w:rsidR="00E14366" w:rsidRPr="00133E4D" w:rsidRDefault="00000000" w:rsidP="00133E4D">
            <w:pPr>
              <w:spacing w:after="40" w:line="360" w:lineRule="auto"/>
              <w:rPr>
                <w:rFonts w:ascii="Arial" w:hAnsi="Arial" w:cs="Arial"/>
              </w:rPr>
            </w:pPr>
            <w:r w:rsidRPr="00133E4D">
              <w:rPr>
                <w:rFonts w:ascii="Arial" w:hAnsi="Arial" w:cs="Arial"/>
              </w:rPr>
              <w:t>Low / High</w:t>
            </w:r>
          </w:p>
        </w:tc>
        <w:tc>
          <w:tcPr>
            <w:tcW w:w="2280" w:type="dxa"/>
          </w:tcPr>
          <w:p w14:paraId="26210FFC" w14:textId="77777777" w:rsidR="00E14366" w:rsidRPr="00133E4D" w:rsidRDefault="00000000" w:rsidP="00133E4D">
            <w:pPr>
              <w:spacing w:after="40" w:line="360" w:lineRule="auto"/>
              <w:rPr>
                <w:rFonts w:ascii="Arial" w:hAnsi="Arial" w:cs="Arial"/>
              </w:rPr>
            </w:pPr>
            <w:r w:rsidRPr="00133E4D">
              <w:rPr>
                <w:rFonts w:ascii="Arial" w:hAnsi="Arial" w:cs="Arial"/>
              </w:rPr>
              <w:t>Rollout communication and resilience assurance</w:t>
            </w:r>
          </w:p>
        </w:tc>
        <w:tc>
          <w:tcPr>
            <w:tcW w:w="2280" w:type="dxa"/>
          </w:tcPr>
          <w:p w14:paraId="5D6EED3E" w14:textId="77777777" w:rsidR="00E14366" w:rsidRPr="00133E4D" w:rsidRDefault="00000000" w:rsidP="00133E4D">
            <w:pPr>
              <w:spacing w:after="40" w:line="360" w:lineRule="auto"/>
              <w:rPr>
                <w:rFonts w:ascii="Arial" w:hAnsi="Arial" w:cs="Arial"/>
              </w:rPr>
            </w:pPr>
            <w:r w:rsidRPr="00133E4D">
              <w:rPr>
                <w:rFonts w:ascii="Arial" w:hAnsi="Arial" w:cs="Arial"/>
              </w:rPr>
              <w:t>Ongoing</w:t>
            </w:r>
          </w:p>
        </w:tc>
      </w:tr>
    </w:tbl>
    <w:p w14:paraId="52FE82E2" w14:textId="77777777" w:rsidR="00E14366" w:rsidRPr="00133E4D" w:rsidRDefault="00E14366" w:rsidP="00133E4D">
      <w:pPr>
        <w:spacing w:line="360" w:lineRule="auto"/>
        <w:rPr>
          <w:rFonts w:ascii="Arial" w:hAnsi="Arial" w:cs="Arial"/>
        </w:rPr>
      </w:pPr>
    </w:p>
    <w:p w14:paraId="08EFF671" w14:textId="77777777" w:rsidR="00E14366" w:rsidRPr="00133E4D" w:rsidRDefault="00000000" w:rsidP="00133E4D">
      <w:pPr>
        <w:pStyle w:val="Heading2"/>
        <w:spacing w:line="360" w:lineRule="auto"/>
        <w:rPr>
          <w:rFonts w:ascii="Arial" w:hAnsi="Arial" w:cs="Arial"/>
          <w:sz w:val="22"/>
          <w:szCs w:val="22"/>
        </w:rPr>
      </w:pPr>
      <w:bookmarkStart w:id="38" w:name="_Toc234790846"/>
      <w:r w:rsidRPr="00133E4D">
        <w:rPr>
          <w:rFonts w:ascii="Arial" w:hAnsi="Arial" w:cs="Arial"/>
          <w:sz w:val="22"/>
          <w:szCs w:val="22"/>
        </w:rPr>
        <w:lastRenderedPageBreak/>
        <w:t>Table A6. Implementation Plan</w:t>
      </w:r>
      <w:bookmarkEnd w:id="38"/>
    </w:p>
    <w:p w14:paraId="78CDF476" w14:textId="77777777" w:rsidR="00E14366" w:rsidRPr="00133E4D" w:rsidRDefault="00000000" w:rsidP="00133E4D">
      <w:pPr>
        <w:spacing w:after="80" w:line="360" w:lineRule="auto"/>
        <w:rPr>
          <w:rFonts w:ascii="Arial" w:hAnsi="Arial" w:cs="Arial"/>
        </w:rPr>
      </w:pPr>
      <w:r w:rsidRPr="00133E4D">
        <w:rPr>
          <w:rFonts w:ascii="Arial" w:hAnsi="Arial" w:cs="Arial"/>
          <w:i/>
        </w:rPr>
        <w:t>Source: Kaplan and Norton (1996) and Vodafone Group Plc (2025).</w:t>
      </w:r>
    </w:p>
    <w:tbl>
      <w:tblPr>
        <w:tblStyle w:val="TableGrid"/>
        <w:tblW w:w="0" w:type="auto"/>
        <w:tblLook w:val="04A0" w:firstRow="1" w:lastRow="0" w:firstColumn="1" w:lastColumn="0" w:noHBand="0" w:noVBand="1"/>
      </w:tblPr>
      <w:tblGrid>
        <w:gridCol w:w="3041"/>
        <w:gridCol w:w="3041"/>
        <w:gridCol w:w="3041"/>
      </w:tblGrid>
      <w:tr w:rsidR="00E14366" w:rsidRPr="00133E4D" w14:paraId="62380565" w14:textId="77777777">
        <w:tc>
          <w:tcPr>
            <w:tcW w:w="3041" w:type="dxa"/>
            <w:shd w:val="clear" w:color="auto" w:fill="D9D9D9"/>
          </w:tcPr>
          <w:p w14:paraId="1028418A" w14:textId="77777777" w:rsidR="00E14366" w:rsidRPr="00133E4D" w:rsidRDefault="00000000" w:rsidP="00133E4D">
            <w:pPr>
              <w:spacing w:after="40" w:line="360" w:lineRule="auto"/>
              <w:rPr>
                <w:rFonts w:ascii="Arial" w:hAnsi="Arial" w:cs="Arial"/>
              </w:rPr>
            </w:pPr>
            <w:r w:rsidRPr="00133E4D">
              <w:rPr>
                <w:rFonts w:ascii="Arial" w:hAnsi="Arial" w:cs="Arial"/>
                <w:b/>
              </w:rPr>
              <w:t>Action</w:t>
            </w:r>
          </w:p>
        </w:tc>
        <w:tc>
          <w:tcPr>
            <w:tcW w:w="3041" w:type="dxa"/>
            <w:shd w:val="clear" w:color="auto" w:fill="D9D9D9"/>
          </w:tcPr>
          <w:p w14:paraId="7367098C" w14:textId="77777777" w:rsidR="00E14366" w:rsidRPr="00133E4D" w:rsidRDefault="00000000" w:rsidP="00133E4D">
            <w:pPr>
              <w:spacing w:after="40" w:line="360" w:lineRule="auto"/>
              <w:rPr>
                <w:rFonts w:ascii="Arial" w:hAnsi="Arial" w:cs="Arial"/>
              </w:rPr>
            </w:pPr>
            <w:r w:rsidRPr="00133E4D">
              <w:rPr>
                <w:rFonts w:ascii="Arial" w:hAnsi="Arial" w:cs="Arial"/>
                <w:b/>
              </w:rPr>
              <w:t>Timeline</w:t>
            </w:r>
          </w:p>
        </w:tc>
        <w:tc>
          <w:tcPr>
            <w:tcW w:w="3041" w:type="dxa"/>
            <w:shd w:val="clear" w:color="auto" w:fill="D9D9D9"/>
          </w:tcPr>
          <w:p w14:paraId="52E62576" w14:textId="77777777" w:rsidR="00E14366" w:rsidRPr="00133E4D" w:rsidRDefault="00000000" w:rsidP="00133E4D">
            <w:pPr>
              <w:spacing w:after="40" w:line="360" w:lineRule="auto"/>
              <w:rPr>
                <w:rFonts w:ascii="Arial" w:hAnsi="Arial" w:cs="Arial"/>
              </w:rPr>
            </w:pPr>
            <w:r w:rsidRPr="00133E4D">
              <w:rPr>
                <w:rFonts w:ascii="Arial" w:hAnsi="Arial" w:cs="Arial"/>
                <w:b/>
              </w:rPr>
              <w:t>Measure of Success</w:t>
            </w:r>
          </w:p>
        </w:tc>
      </w:tr>
      <w:tr w:rsidR="00E14366" w:rsidRPr="00133E4D" w14:paraId="68A23C07" w14:textId="77777777">
        <w:tc>
          <w:tcPr>
            <w:tcW w:w="3041" w:type="dxa"/>
          </w:tcPr>
          <w:p w14:paraId="1A33D241" w14:textId="77777777" w:rsidR="00E14366" w:rsidRPr="00133E4D" w:rsidRDefault="00000000" w:rsidP="00133E4D">
            <w:pPr>
              <w:spacing w:after="40" w:line="360" w:lineRule="auto"/>
              <w:rPr>
                <w:rFonts w:ascii="Arial" w:hAnsi="Arial" w:cs="Arial"/>
              </w:rPr>
            </w:pPr>
            <w:r w:rsidRPr="00133E4D">
              <w:rPr>
                <w:rFonts w:ascii="Arial" w:hAnsi="Arial" w:cs="Arial"/>
              </w:rPr>
              <w:t>Integrate Vodafone and Three network operations</w:t>
            </w:r>
          </w:p>
        </w:tc>
        <w:tc>
          <w:tcPr>
            <w:tcW w:w="3041" w:type="dxa"/>
          </w:tcPr>
          <w:p w14:paraId="5115C3EE" w14:textId="77777777" w:rsidR="00E14366" w:rsidRPr="00133E4D" w:rsidRDefault="00000000" w:rsidP="00133E4D">
            <w:pPr>
              <w:spacing w:after="40" w:line="360" w:lineRule="auto"/>
              <w:rPr>
                <w:rFonts w:ascii="Arial" w:hAnsi="Arial" w:cs="Arial"/>
              </w:rPr>
            </w:pPr>
            <w:r w:rsidRPr="00133E4D">
              <w:rPr>
                <w:rFonts w:ascii="Arial" w:hAnsi="Arial" w:cs="Arial"/>
              </w:rPr>
              <w:t>Short term (by 2028)</w:t>
            </w:r>
          </w:p>
        </w:tc>
        <w:tc>
          <w:tcPr>
            <w:tcW w:w="3041" w:type="dxa"/>
          </w:tcPr>
          <w:p w14:paraId="4B0A63C4" w14:textId="77777777" w:rsidR="00E14366" w:rsidRPr="00133E4D" w:rsidRDefault="00000000" w:rsidP="00133E4D">
            <w:pPr>
              <w:spacing w:after="40" w:line="360" w:lineRule="auto"/>
              <w:rPr>
                <w:rFonts w:ascii="Arial" w:hAnsi="Arial" w:cs="Arial"/>
              </w:rPr>
            </w:pPr>
            <w:r w:rsidRPr="00133E4D">
              <w:rPr>
                <w:rFonts w:ascii="Arial" w:hAnsi="Arial" w:cs="Arial"/>
              </w:rPr>
              <w:t>£700m annual synergy target achieved; integration milestones met</w:t>
            </w:r>
          </w:p>
        </w:tc>
      </w:tr>
      <w:tr w:rsidR="00E14366" w:rsidRPr="00133E4D" w14:paraId="01788FB9" w14:textId="77777777">
        <w:tc>
          <w:tcPr>
            <w:tcW w:w="3041" w:type="dxa"/>
          </w:tcPr>
          <w:p w14:paraId="32E5D2FA" w14:textId="77777777" w:rsidR="00E14366" w:rsidRPr="00133E4D" w:rsidRDefault="00000000" w:rsidP="00133E4D">
            <w:pPr>
              <w:spacing w:after="40" w:line="360" w:lineRule="auto"/>
              <w:rPr>
                <w:rFonts w:ascii="Arial" w:hAnsi="Arial" w:cs="Arial"/>
              </w:rPr>
            </w:pPr>
            <w:r w:rsidRPr="00133E4D">
              <w:rPr>
                <w:rFonts w:ascii="Arial" w:hAnsi="Arial" w:cs="Arial"/>
              </w:rPr>
              <w:t>Expand standalone 5G coverage</w:t>
            </w:r>
          </w:p>
        </w:tc>
        <w:tc>
          <w:tcPr>
            <w:tcW w:w="3041" w:type="dxa"/>
          </w:tcPr>
          <w:p w14:paraId="35DB9305" w14:textId="77777777" w:rsidR="00E14366" w:rsidRPr="00133E4D" w:rsidRDefault="00000000" w:rsidP="00133E4D">
            <w:pPr>
              <w:spacing w:after="40" w:line="360" w:lineRule="auto"/>
              <w:rPr>
                <w:rFonts w:ascii="Arial" w:hAnsi="Arial" w:cs="Arial"/>
              </w:rPr>
            </w:pPr>
            <w:r w:rsidRPr="00133E4D">
              <w:rPr>
                <w:rFonts w:ascii="Arial" w:hAnsi="Arial" w:cs="Arial"/>
              </w:rPr>
              <w:t>Medium term (to 2034)</w:t>
            </w:r>
          </w:p>
        </w:tc>
        <w:tc>
          <w:tcPr>
            <w:tcW w:w="3041" w:type="dxa"/>
          </w:tcPr>
          <w:p w14:paraId="43A3E442" w14:textId="77777777" w:rsidR="00E14366" w:rsidRPr="00133E4D" w:rsidRDefault="00000000" w:rsidP="00133E4D">
            <w:pPr>
              <w:spacing w:after="40" w:line="360" w:lineRule="auto"/>
              <w:rPr>
                <w:rFonts w:ascii="Arial" w:hAnsi="Arial" w:cs="Arial"/>
              </w:rPr>
            </w:pPr>
            <w:r w:rsidRPr="00133E4D">
              <w:rPr>
                <w:rFonts w:ascii="Arial" w:hAnsi="Arial" w:cs="Arial"/>
              </w:rPr>
              <w:t>Increased UK population coverage toward 99.95%</w:t>
            </w:r>
          </w:p>
        </w:tc>
      </w:tr>
      <w:tr w:rsidR="00E14366" w:rsidRPr="00133E4D" w14:paraId="59301F1B" w14:textId="77777777">
        <w:tc>
          <w:tcPr>
            <w:tcW w:w="3041" w:type="dxa"/>
          </w:tcPr>
          <w:p w14:paraId="092E5439" w14:textId="77777777" w:rsidR="00E14366" w:rsidRPr="00133E4D" w:rsidRDefault="00000000" w:rsidP="00133E4D">
            <w:pPr>
              <w:spacing w:after="40" w:line="360" w:lineRule="auto"/>
              <w:rPr>
                <w:rFonts w:ascii="Arial" w:hAnsi="Arial" w:cs="Arial"/>
              </w:rPr>
            </w:pPr>
            <w:r w:rsidRPr="00133E4D">
              <w:rPr>
                <w:rFonts w:ascii="Arial" w:hAnsi="Arial" w:cs="Arial"/>
              </w:rPr>
              <w:t>Deploy AI-enabled digital and IoT services</w:t>
            </w:r>
          </w:p>
        </w:tc>
        <w:tc>
          <w:tcPr>
            <w:tcW w:w="3041" w:type="dxa"/>
          </w:tcPr>
          <w:p w14:paraId="5161C209" w14:textId="77777777" w:rsidR="00E14366" w:rsidRPr="00133E4D" w:rsidRDefault="00000000" w:rsidP="00133E4D">
            <w:pPr>
              <w:spacing w:after="40" w:line="360" w:lineRule="auto"/>
              <w:rPr>
                <w:rFonts w:ascii="Arial" w:hAnsi="Arial" w:cs="Arial"/>
              </w:rPr>
            </w:pPr>
            <w:r w:rsidRPr="00133E4D">
              <w:rPr>
                <w:rFonts w:ascii="Arial" w:hAnsi="Arial" w:cs="Arial"/>
              </w:rPr>
              <w:t>Medium term (2026–2029)</w:t>
            </w:r>
          </w:p>
        </w:tc>
        <w:tc>
          <w:tcPr>
            <w:tcW w:w="3041" w:type="dxa"/>
          </w:tcPr>
          <w:p w14:paraId="2E5DA282" w14:textId="77777777" w:rsidR="00E14366" w:rsidRPr="00133E4D" w:rsidRDefault="00000000" w:rsidP="00133E4D">
            <w:pPr>
              <w:spacing w:after="40" w:line="360" w:lineRule="auto"/>
              <w:rPr>
                <w:rFonts w:ascii="Arial" w:hAnsi="Arial" w:cs="Arial"/>
              </w:rPr>
            </w:pPr>
            <w:r w:rsidRPr="00133E4D">
              <w:rPr>
                <w:rFonts w:ascii="Arial" w:hAnsi="Arial" w:cs="Arial"/>
              </w:rPr>
              <w:t>Growth in digital revenue; improved NPS</w:t>
            </w:r>
          </w:p>
        </w:tc>
      </w:tr>
      <w:tr w:rsidR="00E14366" w:rsidRPr="00133E4D" w14:paraId="526760FB" w14:textId="77777777">
        <w:tc>
          <w:tcPr>
            <w:tcW w:w="3041" w:type="dxa"/>
          </w:tcPr>
          <w:p w14:paraId="26262C65" w14:textId="77777777" w:rsidR="00E14366" w:rsidRPr="00133E4D" w:rsidRDefault="00000000" w:rsidP="00133E4D">
            <w:pPr>
              <w:spacing w:after="40" w:line="360" w:lineRule="auto"/>
              <w:rPr>
                <w:rFonts w:ascii="Arial" w:hAnsi="Arial" w:cs="Arial"/>
              </w:rPr>
            </w:pPr>
            <w:r w:rsidRPr="00133E4D">
              <w:rPr>
                <w:rFonts w:ascii="Arial" w:hAnsi="Arial" w:cs="Arial"/>
              </w:rPr>
              <w:t xml:space="preserve">Deliver workforce reskilling </w:t>
            </w:r>
            <w:proofErr w:type="spellStart"/>
            <w:r w:rsidRPr="00133E4D">
              <w:rPr>
                <w:rFonts w:ascii="Arial" w:hAnsi="Arial" w:cs="Arial"/>
              </w:rPr>
              <w:t>programme</w:t>
            </w:r>
            <w:proofErr w:type="spellEnd"/>
          </w:p>
        </w:tc>
        <w:tc>
          <w:tcPr>
            <w:tcW w:w="3041" w:type="dxa"/>
          </w:tcPr>
          <w:p w14:paraId="2181F383" w14:textId="77777777" w:rsidR="00E14366" w:rsidRPr="00133E4D" w:rsidRDefault="00000000" w:rsidP="00133E4D">
            <w:pPr>
              <w:spacing w:after="40" w:line="360" w:lineRule="auto"/>
              <w:rPr>
                <w:rFonts w:ascii="Arial" w:hAnsi="Arial" w:cs="Arial"/>
              </w:rPr>
            </w:pPr>
            <w:r w:rsidRPr="00133E4D">
              <w:rPr>
                <w:rFonts w:ascii="Arial" w:hAnsi="Arial" w:cs="Arial"/>
              </w:rPr>
              <w:t>Ongoing</w:t>
            </w:r>
          </w:p>
        </w:tc>
        <w:tc>
          <w:tcPr>
            <w:tcW w:w="3041" w:type="dxa"/>
          </w:tcPr>
          <w:p w14:paraId="1167B3BF" w14:textId="77777777" w:rsidR="00E14366" w:rsidRPr="00133E4D" w:rsidRDefault="00000000" w:rsidP="00133E4D">
            <w:pPr>
              <w:spacing w:after="40" w:line="360" w:lineRule="auto"/>
              <w:rPr>
                <w:rFonts w:ascii="Arial" w:hAnsi="Arial" w:cs="Arial"/>
              </w:rPr>
            </w:pPr>
            <w:r w:rsidRPr="00133E4D">
              <w:rPr>
                <w:rFonts w:ascii="Arial" w:hAnsi="Arial" w:cs="Arial"/>
              </w:rPr>
              <w:t>AI-proficient workforce; reduced voluntary attrition</w:t>
            </w:r>
          </w:p>
        </w:tc>
      </w:tr>
      <w:tr w:rsidR="00E14366" w:rsidRPr="00133E4D" w14:paraId="53AC832D" w14:textId="77777777">
        <w:tc>
          <w:tcPr>
            <w:tcW w:w="3041" w:type="dxa"/>
          </w:tcPr>
          <w:p w14:paraId="630058AB" w14:textId="77777777" w:rsidR="00E14366" w:rsidRPr="00133E4D" w:rsidRDefault="00000000" w:rsidP="00133E4D">
            <w:pPr>
              <w:spacing w:after="40" w:line="360" w:lineRule="auto"/>
              <w:rPr>
                <w:rFonts w:ascii="Arial" w:hAnsi="Arial" w:cs="Arial"/>
              </w:rPr>
            </w:pPr>
            <w:r w:rsidRPr="00133E4D">
              <w:rPr>
                <w:rFonts w:ascii="Arial" w:hAnsi="Arial" w:cs="Arial"/>
              </w:rPr>
              <w:t>Monitor KPIs via balanced scorecard</w:t>
            </w:r>
          </w:p>
        </w:tc>
        <w:tc>
          <w:tcPr>
            <w:tcW w:w="3041" w:type="dxa"/>
          </w:tcPr>
          <w:p w14:paraId="1F569002" w14:textId="77777777" w:rsidR="00E14366" w:rsidRPr="00133E4D" w:rsidRDefault="00000000" w:rsidP="00133E4D">
            <w:pPr>
              <w:spacing w:after="40" w:line="360" w:lineRule="auto"/>
              <w:rPr>
                <w:rFonts w:ascii="Arial" w:hAnsi="Arial" w:cs="Arial"/>
              </w:rPr>
            </w:pPr>
            <w:r w:rsidRPr="00133E4D">
              <w:rPr>
                <w:rFonts w:ascii="Arial" w:hAnsi="Arial" w:cs="Arial"/>
              </w:rPr>
              <w:t>Ongoing</w:t>
            </w:r>
          </w:p>
        </w:tc>
        <w:tc>
          <w:tcPr>
            <w:tcW w:w="3041" w:type="dxa"/>
          </w:tcPr>
          <w:p w14:paraId="56DF682E" w14:textId="77777777" w:rsidR="00E14366" w:rsidRPr="00133E4D" w:rsidRDefault="00000000" w:rsidP="00133E4D">
            <w:pPr>
              <w:spacing w:after="40" w:line="360" w:lineRule="auto"/>
              <w:rPr>
                <w:rFonts w:ascii="Arial" w:hAnsi="Arial" w:cs="Arial"/>
              </w:rPr>
            </w:pPr>
            <w:r w:rsidRPr="00133E4D">
              <w:rPr>
                <w:rFonts w:ascii="Arial" w:hAnsi="Arial" w:cs="Arial"/>
              </w:rPr>
              <w:t>Improved customer satisfaction; lower churn; 5G KPIs met</w:t>
            </w:r>
          </w:p>
        </w:tc>
      </w:tr>
    </w:tbl>
    <w:p w14:paraId="1C3146B7" w14:textId="77777777" w:rsidR="00E14366" w:rsidRPr="00133E4D" w:rsidRDefault="00E14366" w:rsidP="00133E4D">
      <w:pPr>
        <w:spacing w:line="360" w:lineRule="auto"/>
        <w:rPr>
          <w:rFonts w:ascii="Arial" w:hAnsi="Arial" w:cs="Arial"/>
        </w:rPr>
      </w:pPr>
    </w:p>
    <w:sectPr w:rsidR="00E14366" w:rsidRPr="00133E4D" w:rsidSect="00034616">
      <w:pgSz w:w="12240" w:h="15840"/>
      <w:pgMar w:top="1417" w:right="1417"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14254972">
    <w:abstractNumId w:val="8"/>
  </w:num>
  <w:num w:numId="2" w16cid:durableId="894974918">
    <w:abstractNumId w:val="6"/>
  </w:num>
  <w:num w:numId="3" w16cid:durableId="1514342478">
    <w:abstractNumId w:val="5"/>
  </w:num>
  <w:num w:numId="4" w16cid:durableId="347870351">
    <w:abstractNumId w:val="4"/>
  </w:num>
  <w:num w:numId="5" w16cid:durableId="1581450179">
    <w:abstractNumId w:val="7"/>
  </w:num>
  <w:num w:numId="6" w16cid:durableId="1614633648">
    <w:abstractNumId w:val="3"/>
  </w:num>
  <w:num w:numId="7" w16cid:durableId="421148979">
    <w:abstractNumId w:val="2"/>
  </w:num>
  <w:num w:numId="8" w16cid:durableId="117187917">
    <w:abstractNumId w:val="1"/>
  </w:num>
  <w:num w:numId="9" w16cid:durableId="389623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062D"/>
    <w:rsid w:val="00133E4D"/>
    <w:rsid w:val="0015074B"/>
    <w:rsid w:val="0029639D"/>
    <w:rsid w:val="00326F90"/>
    <w:rsid w:val="003A21E2"/>
    <w:rsid w:val="005B01EF"/>
    <w:rsid w:val="008E5186"/>
    <w:rsid w:val="00A2491A"/>
    <w:rsid w:val="00AA1D8D"/>
    <w:rsid w:val="00AE1946"/>
    <w:rsid w:val="00B47730"/>
    <w:rsid w:val="00BD10E9"/>
    <w:rsid w:val="00C466C3"/>
    <w:rsid w:val="00C65ACA"/>
    <w:rsid w:val="00CB0664"/>
    <w:rsid w:val="00E14366"/>
    <w:rsid w:val="00F114E7"/>
    <w:rsid w:val="00F75523"/>
    <w:rsid w:val="00FC693F"/>
    <w:rsid w:val="00FC75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C04EC1"/>
  <w14:defaultImageDpi w14:val="300"/>
  <w15:docId w15:val="{8CB3C59D-D0B4-44F4-8435-52ACBBCD3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F114E7"/>
    <w:pPr>
      <w:spacing w:after="100"/>
      <w:ind w:left="220"/>
    </w:pPr>
  </w:style>
  <w:style w:type="character" w:styleId="Hyperlink">
    <w:name w:val="Hyperlink"/>
    <w:basedOn w:val="DefaultParagraphFont"/>
    <w:uiPriority w:val="99"/>
    <w:unhideWhenUsed/>
    <w:rsid w:val="00F114E7"/>
    <w:rPr>
      <w:color w:val="0000FF" w:themeColor="hyperlink"/>
      <w:u w:val="single"/>
    </w:rPr>
  </w:style>
  <w:style w:type="character" w:styleId="UnresolvedMention">
    <w:name w:val="Unresolved Mention"/>
    <w:basedOn w:val="DefaultParagraphFont"/>
    <w:uiPriority w:val="99"/>
    <w:semiHidden/>
    <w:unhideWhenUsed/>
    <w:rsid w:val="00C65ACA"/>
    <w:rPr>
      <w:color w:val="605E5C"/>
      <w:shd w:val="clear" w:color="auto" w:fill="E1DFDD"/>
    </w:rPr>
  </w:style>
  <w:style w:type="paragraph" w:customStyle="1" w:styleId="my-2">
    <w:name w:val="my-2"/>
    <w:basedOn w:val="Normal"/>
    <w:rsid w:val="00C65ACA"/>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ext-box-trim-both">
    <w:name w:val="text-box-trim-both"/>
    <w:basedOn w:val="DefaultParagraphFont"/>
    <w:rsid w:val="00C65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7186</Words>
  <Characters>41684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48773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Lorena-Valentina Sbirnea (2329604)</cp:lastModifiedBy>
  <cp:revision>13</cp:revision>
  <dcterms:created xsi:type="dcterms:W3CDTF">2013-12-23T23:15:00Z</dcterms:created>
  <dcterms:modified xsi:type="dcterms:W3CDTF">2026-07-12T22:20:00Z</dcterms:modified>
  <cp:category/>
</cp:coreProperties>
</file>