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D8832" w14:textId="77777777" w:rsidR="001F2AFA" w:rsidRDefault="001F2AFA" w:rsidP="001F2AFA">
      <w:pPr>
        <w:jc w:val="center"/>
      </w:pPr>
      <w:r>
        <w:rPr>
          <w:noProof/>
        </w:rPr>
        <w:drawing>
          <wp:inline distT="0" distB="0" distL="0" distR="0" wp14:anchorId="5A4BE82D" wp14:editId="2D16FEE9">
            <wp:extent cx="2657903" cy="1768591"/>
            <wp:effectExtent l="0" t="0" r="9525" b="3175"/>
            <wp:docPr id="1" name="Picture 1" descr="H:\work\assignment\works\gap\2023\march\2\img\Copy-of-UW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work\assignment\works\gap\2023\march\2\img\Copy-of-UWTS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3531" cy="1785644"/>
                    </a:xfrm>
                    <a:prstGeom prst="rect">
                      <a:avLst/>
                    </a:prstGeom>
                    <a:noFill/>
                    <a:ln>
                      <a:noFill/>
                    </a:ln>
                  </pic:spPr>
                </pic:pic>
              </a:graphicData>
            </a:graphic>
          </wp:inline>
        </w:drawing>
      </w:r>
    </w:p>
    <w:p w14:paraId="3CDEDC07" w14:textId="77777777" w:rsidR="001F2AFA" w:rsidRPr="00D50A68" w:rsidRDefault="001F2AFA" w:rsidP="001F2AFA">
      <w:pPr>
        <w:jc w:val="center"/>
        <w:rPr>
          <w:b/>
          <w:bCs/>
          <w:sz w:val="32"/>
          <w:szCs w:val="28"/>
        </w:rPr>
      </w:pPr>
      <w:r w:rsidRPr="00D50A68">
        <w:rPr>
          <w:b/>
          <w:bCs/>
          <w:sz w:val="32"/>
          <w:szCs w:val="28"/>
        </w:rPr>
        <w:t>How to engage employees throughout the employee lifecycle</w:t>
      </w:r>
    </w:p>
    <w:p w14:paraId="4CABC7BE" w14:textId="1F4DDC98" w:rsidR="001F2AFA" w:rsidRDefault="001F2AFA" w:rsidP="001F2AFA">
      <w:pPr>
        <w:jc w:val="center"/>
      </w:pPr>
      <w:r>
        <w:t>Name</w:t>
      </w:r>
      <w:r w:rsidR="0077377A">
        <w:t>: Nazmeen Akhtar</w:t>
      </w:r>
    </w:p>
    <w:p w14:paraId="751A9DA2" w14:textId="271AF0F6" w:rsidR="001F2AFA" w:rsidRDefault="001F2AFA" w:rsidP="001F2AFA">
      <w:pPr>
        <w:jc w:val="center"/>
      </w:pPr>
      <w:r>
        <w:t>The module titl</w:t>
      </w:r>
      <w:r w:rsidR="0077377A">
        <w:t xml:space="preserve">e: research proposal </w:t>
      </w:r>
    </w:p>
    <w:p w14:paraId="191E5959" w14:textId="714BF04E" w:rsidR="001F2AFA" w:rsidRDefault="001F2AFA" w:rsidP="001F2AFA">
      <w:pPr>
        <w:jc w:val="center"/>
      </w:pPr>
      <w:r>
        <w:t>module code</w:t>
      </w:r>
      <w:r w:rsidR="0077377A">
        <w:t>:BMHI5005</w:t>
      </w:r>
    </w:p>
    <w:p w14:paraId="3C566ACC" w14:textId="67999DFB" w:rsidR="001F2AFA" w:rsidRDefault="001F2AFA" w:rsidP="001F2AFA">
      <w:pPr>
        <w:jc w:val="center"/>
      </w:pPr>
      <w:r>
        <w:t>Lecturer’s name</w:t>
      </w:r>
      <w:r w:rsidR="0077377A">
        <w:t>: Lisa Knight</w:t>
      </w:r>
    </w:p>
    <w:p w14:paraId="1E287CC4" w14:textId="77777777" w:rsidR="001F2AFA" w:rsidRDefault="001F2AFA">
      <w:pPr>
        <w:spacing w:after="160" w:line="259" w:lineRule="auto"/>
        <w:jc w:val="left"/>
      </w:pPr>
      <w:r>
        <w:br w:type="page"/>
      </w:r>
    </w:p>
    <w:sdt>
      <w:sdtPr>
        <w:rPr>
          <w:rFonts w:asciiTheme="minorBidi" w:eastAsiaTheme="minorHAnsi" w:hAnsiTheme="minorBidi" w:cstheme="minorBidi"/>
          <w:color w:val="auto"/>
          <w:sz w:val="24"/>
          <w:szCs w:val="22"/>
          <w:lang w:val="en-GB"/>
        </w:rPr>
        <w:id w:val="1330245837"/>
        <w:docPartObj>
          <w:docPartGallery w:val="Table of Contents"/>
          <w:docPartUnique/>
        </w:docPartObj>
      </w:sdtPr>
      <w:sdtEndPr>
        <w:rPr>
          <w:b/>
          <w:bCs/>
          <w:noProof/>
        </w:rPr>
      </w:sdtEndPr>
      <w:sdtContent>
        <w:p w14:paraId="7D79F2D1" w14:textId="58B80BAD" w:rsidR="0006738A" w:rsidRDefault="0006738A">
          <w:pPr>
            <w:pStyle w:val="TOCHeading"/>
          </w:pPr>
          <w:r>
            <w:t>Contents</w:t>
          </w:r>
        </w:p>
        <w:p w14:paraId="4EF0CBDF" w14:textId="40635B77" w:rsidR="0009012A" w:rsidRDefault="0006738A">
          <w:pPr>
            <w:pStyle w:val="TOC1"/>
            <w:tabs>
              <w:tab w:val="right" w:leader="dot" w:pos="9350"/>
            </w:tabs>
            <w:rPr>
              <w:rFonts w:asciiTheme="minorHAnsi" w:eastAsiaTheme="minorEastAsia" w:hAnsiTheme="minorHAnsi"/>
              <w:noProof/>
              <w:sz w:val="22"/>
              <w:szCs w:val="28"/>
              <w:lang w:eastAsia="en-GB" w:bidi="bn-BD"/>
            </w:rPr>
          </w:pPr>
          <w:r>
            <w:fldChar w:fldCharType="begin"/>
          </w:r>
          <w:r>
            <w:instrText xml:space="preserve"> TOC \o "1-3" \h \z \u </w:instrText>
          </w:r>
          <w:r>
            <w:fldChar w:fldCharType="separate"/>
          </w:r>
          <w:hyperlink w:anchor="_Toc128613692" w:history="1">
            <w:r w:rsidR="0009012A" w:rsidRPr="000E78CC">
              <w:rPr>
                <w:rStyle w:val="Hyperlink"/>
                <w:noProof/>
              </w:rPr>
              <w:t>Introduction</w:t>
            </w:r>
            <w:r w:rsidR="0009012A">
              <w:rPr>
                <w:noProof/>
                <w:webHidden/>
              </w:rPr>
              <w:tab/>
            </w:r>
            <w:r w:rsidR="0009012A">
              <w:rPr>
                <w:noProof/>
                <w:webHidden/>
              </w:rPr>
              <w:fldChar w:fldCharType="begin"/>
            </w:r>
            <w:r w:rsidR="0009012A">
              <w:rPr>
                <w:noProof/>
                <w:webHidden/>
              </w:rPr>
              <w:instrText xml:space="preserve"> PAGEREF _Toc128613692 \h </w:instrText>
            </w:r>
            <w:r w:rsidR="0009012A">
              <w:rPr>
                <w:noProof/>
                <w:webHidden/>
              </w:rPr>
            </w:r>
            <w:r w:rsidR="0009012A">
              <w:rPr>
                <w:noProof/>
                <w:webHidden/>
              </w:rPr>
              <w:fldChar w:fldCharType="separate"/>
            </w:r>
            <w:r w:rsidR="0009012A">
              <w:rPr>
                <w:noProof/>
                <w:webHidden/>
              </w:rPr>
              <w:t>3</w:t>
            </w:r>
            <w:r w:rsidR="0009012A">
              <w:rPr>
                <w:noProof/>
                <w:webHidden/>
              </w:rPr>
              <w:fldChar w:fldCharType="end"/>
            </w:r>
          </w:hyperlink>
        </w:p>
        <w:p w14:paraId="06CA1517" w14:textId="6C2AC1DD" w:rsidR="0009012A" w:rsidRDefault="00000000">
          <w:pPr>
            <w:pStyle w:val="TOC1"/>
            <w:tabs>
              <w:tab w:val="right" w:leader="dot" w:pos="9350"/>
            </w:tabs>
            <w:rPr>
              <w:rFonts w:asciiTheme="minorHAnsi" w:eastAsiaTheme="minorEastAsia" w:hAnsiTheme="minorHAnsi"/>
              <w:noProof/>
              <w:sz w:val="22"/>
              <w:szCs w:val="28"/>
              <w:lang w:eastAsia="en-GB" w:bidi="bn-BD"/>
            </w:rPr>
          </w:pPr>
          <w:hyperlink w:anchor="_Toc128613693" w:history="1">
            <w:r w:rsidR="0009012A" w:rsidRPr="000E78CC">
              <w:rPr>
                <w:rStyle w:val="Hyperlink"/>
                <w:noProof/>
              </w:rPr>
              <w:t>Background</w:t>
            </w:r>
            <w:r w:rsidR="0009012A">
              <w:rPr>
                <w:noProof/>
                <w:webHidden/>
              </w:rPr>
              <w:tab/>
            </w:r>
            <w:r w:rsidR="0009012A">
              <w:rPr>
                <w:noProof/>
                <w:webHidden/>
              </w:rPr>
              <w:fldChar w:fldCharType="begin"/>
            </w:r>
            <w:r w:rsidR="0009012A">
              <w:rPr>
                <w:noProof/>
                <w:webHidden/>
              </w:rPr>
              <w:instrText xml:space="preserve"> PAGEREF _Toc128613693 \h </w:instrText>
            </w:r>
            <w:r w:rsidR="0009012A">
              <w:rPr>
                <w:noProof/>
                <w:webHidden/>
              </w:rPr>
            </w:r>
            <w:r w:rsidR="0009012A">
              <w:rPr>
                <w:noProof/>
                <w:webHidden/>
              </w:rPr>
              <w:fldChar w:fldCharType="separate"/>
            </w:r>
            <w:r w:rsidR="0009012A">
              <w:rPr>
                <w:noProof/>
                <w:webHidden/>
              </w:rPr>
              <w:t>4</w:t>
            </w:r>
            <w:r w:rsidR="0009012A">
              <w:rPr>
                <w:noProof/>
                <w:webHidden/>
              </w:rPr>
              <w:fldChar w:fldCharType="end"/>
            </w:r>
          </w:hyperlink>
        </w:p>
        <w:p w14:paraId="1197B620" w14:textId="139ABDB6" w:rsidR="0009012A" w:rsidRDefault="00000000">
          <w:pPr>
            <w:pStyle w:val="TOC1"/>
            <w:tabs>
              <w:tab w:val="right" w:leader="dot" w:pos="9350"/>
            </w:tabs>
            <w:rPr>
              <w:rFonts w:asciiTheme="minorHAnsi" w:eastAsiaTheme="minorEastAsia" w:hAnsiTheme="minorHAnsi"/>
              <w:noProof/>
              <w:sz w:val="22"/>
              <w:szCs w:val="28"/>
              <w:lang w:eastAsia="en-GB" w:bidi="bn-BD"/>
            </w:rPr>
          </w:pPr>
          <w:hyperlink w:anchor="_Toc128613694" w:history="1">
            <w:r w:rsidR="0009012A" w:rsidRPr="000E78CC">
              <w:rPr>
                <w:rStyle w:val="Hyperlink"/>
                <w:noProof/>
              </w:rPr>
              <w:t>Literature</w:t>
            </w:r>
            <w:r w:rsidR="0009012A">
              <w:rPr>
                <w:noProof/>
                <w:webHidden/>
              </w:rPr>
              <w:tab/>
            </w:r>
            <w:r w:rsidR="0009012A">
              <w:rPr>
                <w:noProof/>
                <w:webHidden/>
              </w:rPr>
              <w:fldChar w:fldCharType="begin"/>
            </w:r>
            <w:r w:rsidR="0009012A">
              <w:rPr>
                <w:noProof/>
                <w:webHidden/>
              </w:rPr>
              <w:instrText xml:space="preserve"> PAGEREF _Toc128613694 \h </w:instrText>
            </w:r>
            <w:r w:rsidR="0009012A">
              <w:rPr>
                <w:noProof/>
                <w:webHidden/>
              </w:rPr>
            </w:r>
            <w:r w:rsidR="0009012A">
              <w:rPr>
                <w:noProof/>
                <w:webHidden/>
              </w:rPr>
              <w:fldChar w:fldCharType="separate"/>
            </w:r>
            <w:r w:rsidR="0009012A">
              <w:rPr>
                <w:noProof/>
                <w:webHidden/>
              </w:rPr>
              <w:t>5</w:t>
            </w:r>
            <w:r w:rsidR="0009012A">
              <w:rPr>
                <w:noProof/>
                <w:webHidden/>
              </w:rPr>
              <w:fldChar w:fldCharType="end"/>
            </w:r>
          </w:hyperlink>
        </w:p>
        <w:p w14:paraId="0432A7E5" w14:textId="1CB6FFB4" w:rsidR="0009012A" w:rsidRDefault="00000000">
          <w:pPr>
            <w:pStyle w:val="TOC1"/>
            <w:tabs>
              <w:tab w:val="right" w:leader="dot" w:pos="9350"/>
            </w:tabs>
            <w:rPr>
              <w:rFonts w:asciiTheme="minorHAnsi" w:eastAsiaTheme="minorEastAsia" w:hAnsiTheme="minorHAnsi"/>
              <w:noProof/>
              <w:sz w:val="22"/>
              <w:szCs w:val="28"/>
              <w:lang w:eastAsia="en-GB" w:bidi="bn-BD"/>
            </w:rPr>
          </w:pPr>
          <w:hyperlink w:anchor="_Toc128613695" w:history="1">
            <w:r w:rsidR="0009012A" w:rsidRPr="000E78CC">
              <w:rPr>
                <w:rStyle w:val="Hyperlink"/>
                <w:noProof/>
              </w:rPr>
              <w:t>Evaluation</w:t>
            </w:r>
            <w:r w:rsidR="0009012A">
              <w:rPr>
                <w:noProof/>
                <w:webHidden/>
              </w:rPr>
              <w:tab/>
            </w:r>
            <w:r w:rsidR="0009012A">
              <w:rPr>
                <w:noProof/>
                <w:webHidden/>
              </w:rPr>
              <w:fldChar w:fldCharType="begin"/>
            </w:r>
            <w:r w:rsidR="0009012A">
              <w:rPr>
                <w:noProof/>
                <w:webHidden/>
              </w:rPr>
              <w:instrText xml:space="preserve"> PAGEREF _Toc128613695 \h </w:instrText>
            </w:r>
            <w:r w:rsidR="0009012A">
              <w:rPr>
                <w:noProof/>
                <w:webHidden/>
              </w:rPr>
            </w:r>
            <w:r w:rsidR="0009012A">
              <w:rPr>
                <w:noProof/>
                <w:webHidden/>
              </w:rPr>
              <w:fldChar w:fldCharType="separate"/>
            </w:r>
            <w:r w:rsidR="0009012A">
              <w:rPr>
                <w:noProof/>
                <w:webHidden/>
              </w:rPr>
              <w:t>8</w:t>
            </w:r>
            <w:r w:rsidR="0009012A">
              <w:rPr>
                <w:noProof/>
                <w:webHidden/>
              </w:rPr>
              <w:fldChar w:fldCharType="end"/>
            </w:r>
          </w:hyperlink>
        </w:p>
        <w:p w14:paraId="265FAD7F" w14:textId="147A7FF0" w:rsidR="0009012A" w:rsidRDefault="00000000">
          <w:pPr>
            <w:pStyle w:val="TOC1"/>
            <w:tabs>
              <w:tab w:val="right" w:leader="dot" w:pos="9350"/>
            </w:tabs>
            <w:rPr>
              <w:rFonts w:asciiTheme="minorHAnsi" w:eastAsiaTheme="minorEastAsia" w:hAnsiTheme="minorHAnsi"/>
              <w:noProof/>
              <w:sz w:val="22"/>
              <w:szCs w:val="28"/>
              <w:lang w:eastAsia="en-GB" w:bidi="bn-BD"/>
            </w:rPr>
          </w:pPr>
          <w:hyperlink w:anchor="_Toc128613696" w:history="1">
            <w:r w:rsidR="0009012A" w:rsidRPr="000E78CC">
              <w:rPr>
                <w:rStyle w:val="Hyperlink"/>
                <w:noProof/>
              </w:rPr>
              <w:t>Conclusion</w:t>
            </w:r>
            <w:r w:rsidR="0009012A">
              <w:rPr>
                <w:noProof/>
                <w:webHidden/>
              </w:rPr>
              <w:tab/>
            </w:r>
            <w:r w:rsidR="0009012A">
              <w:rPr>
                <w:noProof/>
                <w:webHidden/>
              </w:rPr>
              <w:fldChar w:fldCharType="begin"/>
            </w:r>
            <w:r w:rsidR="0009012A">
              <w:rPr>
                <w:noProof/>
                <w:webHidden/>
              </w:rPr>
              <w:instrText xml:space="preserve"> PAGEREF _Toc128613696 \h </w:instrText>
            </w:r>
            <w:r w:rsidR="0009012A">
              <w:rPr>
                <w:noProof/>
                <w:webHidden/>
              </w:rPr>
            </w:r>
            <w:r w:rsidR="0009012A">
              <w:rPr>
                <w:noProof/>
                <w:webHidden/>
              </w:rPr>
              <w:fldChar w:fldCharType="separate"/>
            </w:r>
            <w:r w:rsidR="0009012A">
              <w:rPr>
                <w:noProof/>
                <w:webHidden/>
              </w:rPr>
              <w:t>10</w:t>
            </w:r>
            <w:r w:rsidR="0009012A">
              <w:rPr>
                <w:noProof/>
                <w:webHidden/>
              </w:rPr>
              <w:fldChar w:fldCharType="end"/>
            </w:r>
          </w:hyperlink>
        </w:p>
        <w:p w14:paraId="3F8FA88B" w14:textId="28663C03" w:rsidR="0009012A" w:rsidRDefault="00000000">
          <w:pPr>
            <w:pStyle w:val="TOC1"/>
            <w:tabs>
              <w:tab w:val="right" w:leader="dot" w:pos="9350"/>
            </w:tabs>
            <w:rPr>
              <w:rFonts w:asciiTheme="minorHAnsi" w:eastAsiaTheme="minorEastAsia" w:hAnsiTheme="minorHAnsi"/>
              <w:noProof/>
              <w:sz w:val="22"/>
              <w:szCs w:val="28"/>
              <w:lang w:eastAsia="en-GB" w:bidi="bn-BD"/>
            </w:rPr>
          </w:pPr>
          <w:hyperlink w:anchor="_Toc128613697" w:history="1">
            <w:r w:rsidR="0009012A" w:rsidRPr="000E78CC">
              <w:rPr>
                <w:rStyle w:val="Hyperlink"/>
                <w:noProof/>
              </w:rPr>
              <w:t>Reference list</w:t>
            </w:r>
            <w:r w:rsidR="0009012A">
              <w:rPr>
                <w:noProof/>
                <w:webHidden/>
              </w:rPr>
              <w:tab/>
            </w:r>
            <w:r w:rsidR="0009012A">
              <w:rPr>
                <w:noProof/>
                <w:webHidden/>
              </w:rPr>
              <w:fldChar w:fldCharType="begin"/>
            </w:r>
            <w:r w:rsidR="0009012A">
              <w:rPr>
                <w:noProof/>
                <w:webHidden/>
              </w:rPr>
              <w:instrText xml:space="preserve"> PAGEREF _Toc128613697 \h </w:instrText>
            </w:r>
            <w:r w:rsidR="0009012A">
              <w:rPr>
                <w:noProof/>
                <w:webHidden/>
              </w:rPr>
            </w:r>
            <w:r w:rsidR="0009012A">
              <w:rPr>
                <w:noProof/>
                <w:webHidden/>
              </w:rPr>
              <w:fldChar w:fldCharType="separate"/>
            </w:r>
            <w:r w:rsidR="0009012A">
              <w:rPr>
                <w:noProof/>
                <w:webHidden/>
              </w:rPr>
              <w:t>11</w:t>
            </w:r>
            <w:r w:rsidR="0009012A">
              <w:rPr>
                <w:noProof/>
                <w:webHidden/>
              </w:rPr>
              <w:fldChar w:fldCharType="end"/>
            </w:r>
          </w:hyperlink>
        </w:p>
        <w:p w14:paraId="4A654A5D" w14:textId="4E98974A" w:rsidR="0006738A" w:rsidRDefault="0006738A">
          <w:r>
            <w:rPr>
              <w:b/>
              <w:bCs/>
              <w:noProof/>
            </w:rPr>
            <w:fldChar w:fldCharType="end"/>
          </w:r>
        </w:p>
      </w:sdtContent>
    </w:sdt>
    <w:p w14:paraId="51397F4D" w14:textId="77777777" w:rsidR="001F2AFA" w:rsidRDefault="001F2AFA">
      <w:pPr>
        <w:spacing w:after="160" w:line="259" w:lineRule="auto"/>
        <w:jc w:val="left"/>
      </w:pPr>
      <w:r>
        <w:br w:type="page"/>
      </w:r>
    </w:p>
    <w:p w14:paraId="2C38D9C6" w14:textId="77777777" w:rsidR="006561D2" w:rsidRDefault="006561D2" w:rsidP="006561D2">
      <w:pPr>
        <w:pStyle w:val="Heading1"/>
      </w:pPr>
      <w:bookmarkStart w:id="0" w:name="_Toc128613692"/>
      <w:r>
        <w:lastRenderedPageBreak/>
        <w:t>Introduction</w:t>
      </w:r>
      <w:bookmarkEnd w:id="0"/>
    </w:p>
    <w:p w14:paraId="633D926C" w14:textId="02DAB5DF" w:rsidR="008539EB" w:rsidRDefault="006561D2">
      <w:r w:rsidRPr="006561D2">
        <w:t>This proposal will be sent to the General Manager of Seaham Hall, a 5-star hotel in Seaham, County Durham, United Kingdom. It is a favourite of both vacationers and business travellers due to the hotel's stunning location, elegant décor, and first-rate service. The hotel is having problems due to the extensive spread of the COVID-19 virus, which has had a significant impact on the whole hospitality industry. In the proposal, both the declining demand for hotel services and the growing unpredictability of the industry's future will be analysed as potential challenges for the hotel. The major purpose of the proposal is to address these challenges and make recommendations for increasing Seaham Hall's employee retention rates.</w:t>
      </w:r>
    </w:p>
    <w:p w14:paraId="1B7FE6D5" w14:textId="77777777" w:rsidR="008539EB" w:rsidRDefault="008539EB">
      <w:pPr>
        <w:spacing w:after="160" w:line="259" w:lineRule="auto"/>
        <w:jc w:val="left"/>
      </w:pPr>
      <w:r>
        <w:br w:type="page"/>
      </w:r>
    </w:p>
    <w:p w14:paraId="0F0E4DF4" w14:textId="3B0C559F" w:rsidR="001F2AFA" w:rsidRDefault="006561D2" w:rsidP="006561D2">
      <w:pPr>
        <w:pStyle w:val="Heading1"/>
      </w:pPr>
      <w:bookmarkStart w:id="1" w:name="_Toc128613693"/>
      <w:r>
        <w:lastRenderedPageBreak/>
        <w:t>Background</w:t>
      </w:r>
      <w:bookmarkEnd w:id="1"/>
    </w:p>
    <w:p w14:paraId="7143CFDE" w14:textId="36A962F9" w:rsidR="005741DB" w:rsidRDefault="005741DB" w:rsidP="005741DB">
      <w:r>
        <w:t>Seaham Hall is a five-star hotel located in the County Durham village of Seaham. Since its opening in 1791, the hotel has expanded and been renovated, making it a popular destination for both tourists and business travellers. Visitors may take use of the hotel's spa, restaurants, and expansive event space, among other upmarket features</w:t>
      </w:r>
      <w:r w:rsidR="008539EB">
        <w:t xml:space="preserve"> </w:t>
      </w:r>
      <w:r w:rsidR="008539EB" w:rsidRPr="008539EB">
        <w:t>(seaham, 2017)</w:t>
      </w:r>
      <w:r>
        <w:t>.</w:t>
      </w:r>
    </w:p>
    <w:p w14:paraId="479ABE26" w14:textId="38B21BAF" w:rsidR="005741DB" w:rsidRDefault="005741DB" w:rsidP="005741DB">
      <w:r>
        <w:t>Like many other hotels, Seaham Hall is experiencing difficulties due to the rapid spread of the COVID-19 virus. One of the hotel's main issues is that it may not be able to retain excellent personnel</w:t>
      </w:r>
      <w:r w:rsidR="008539EB">
        <w:t xml:space="preserve"> </w:t>
      </w:r>
      <w:r w:rsidR="008539EB" w:rsidRPr="008539EB">
        <w:t>(Polinkevych, 2021)</w:t>
      </w:r>
      <w:r>
        <w:t>. Due to a decline in revenue, hotels have had to lay off employees as a result of the outbreak. Also, they are concerned about the future of their sector. The decline in staff morale and job satisfaction might increase the likelihood that employees would abandon their positions</w:t>
      </w:r>
      <w:r w:rsidR="008539EB">
        <w:t xml:space="preserve"> </w:t>
      </w:r>
      <w:r w:rsidR="008539EB" w:rsidRPr="008539EB">
        <w:t>(Drahokoupil and Müller, 2021)</w:t>
      </w:r>
      <w:r>
        <w:t>.</w:t>
      </w:r>
    </w:p>
    <w:p w14:paraId="6C294303" w14:textId="046C9C23" w:rsidR="005741DB" w:rsidRDefault="005741DB" w:rsidP="005741DB">
      <w:r>
        <w:t>Several factors affecting Seaham Hall's capacity to retain its workers will be investigated in this proposal. Reduced demand for hotel services and more competition from other companies might result in a labour shortage. If workers do not get sufficient training and development chances, they may believe that their abilities are not being used to their full potential or that they cannot advance within the organisation. This might negatively impact retention rates. The inability of management to make workers feel valued, supported, and appreciated is another reason why people leave the organisation.</w:t>
      </w:r>
    </w:p>
    <w:p w14:paraId="747B4DD0" w14:textId="05FCCC2B" w:rsidR="006561D2" w:rsidRDefault="005741DB" w:rsidP="005741DB">
      <w:r>
        <w:t>The plan will include several recommendations for resolving these issues and attracting more guests to Seaham Hall. Possible solutions include increasing compensation and benefits, enhancing training and career progression possibilities, enhancing working conditions, and fostering a healthy workplace culture. If implemented, these suggestions might make staff happier and more inclined to remain at Seaham Hall. This would increase the profitability and stability of the firm.</w:t>
      </w:r>
    </w:p>
    <w:p w14:paraId="772C515D" w14:textId="28C85957" w:rsidR="006561D2" w:rsidRDefault="006561D2" w:rsidP="006561D2">
      <w:pPr>
        <w:pStyle w:val="Heading1"/>
      </w:pPr>
      <w:bookmarkStart w:id="2" w:name="_Toc128613694"/>
      <w:r w:rsidRPr="006561D2">
        <w:lastRenderedPageBreak/>
        <w:t>Literature</w:t>
      </w:r>
      <w:bookmarkEnd w:id="2"/>
    </w:p>
    <w:p w14:paraId="551B051D" w14:textId="1F30EE15" w:rsidR="005741DB" w:rsidRDefault="005741DB" w:rsidP="005741DB">
      <w:r w:rsidRPr="005741DB">
        <w:t>In recent years, the problem of keeping staff in the United Kingdom has escalated, causing major stress for many firms. High worker turnover rates have been an issue in several industries, particularly in the hotel sector, where they have had a negative impact on customer service quality</w:t>
      </w:r>
      <w:r w:rsidR="008539EB">
        <w:t xml:space="preserve"> </w:t>
      </w:r>
      <w:r w:rsidR="008539EB" w:rsidRPr="008539EB">
        <w:t>(Crosse, 2014)</w:t>
      </w:r>
      <w:r w:rsidRPr="005741DB">
        <w:t>.</w:t>
      </w:r>
      <w:r>
        <w:t xml:space="preserve"> The hospitality business in the United Kingdom, namely the hotel industry, has suffered for some time with a high turnover rate</w:t>
      </w:r>
      <w:r w:rsidR="008539EB">
        <w:t xml:space="preserve"> </w:t>
      </w:r>
      <w:r w:rsidR="008539EB" w:rsidRPr="008539EB">
        <w:t>(McGunnigle and Jameson, 2014)</w:t>
      </w:r>
      <w:r>
        <w:t>. The issue is exacerbated by poor earnings, long, uncomfortable hours, and limited prospects for advancement. Much research by various organisations has shed light on the reasons for the high turnover rate in the UK hotel industry.</w:t>
      </w:r>
    </w:p>
    <w:p w14:paraId="332A6C07" w14:textId="40B55920" w:rsidR="00EB5033" w:rsidRDefault="00EB5033" w:rsidP="005741DB">
      <w:r>
        <w:rPr>
          <w:noProof/>
        </w:rPr>
        <w:drawing>
          <wp:inline distT="0" distB="0" distL="0" distR="0" wp14:anchorId="541FCD78" wp14:editId="6A253BC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828F1ED" w14:textId="42A39E22" w:rsidR="00EB5033" w:rsidRDefault="00EB5033" w:rsidP="000E16AB">
      <w:pPr>
        <w:pStyle w:val="Heading2"/>
        <w:jc w:val="center"/>
        <w:rPr>
          <w:rFonts w:eastAsiaTheme="minorHAnsi" w:cstheme="minorBidi"/>
          <w:szCs w:val="22"/>
        </w:rPr>
      </w:pPr>
      <w:r>
        <w:t xml:space="preserve">Chart: </w:t>
      </w:r>
      <w:r w:rsidRPr="00EB5033">
        <w:rPr>
          <w:rFonts w:eastAsiaTheme="minorHAnsi" w:cstheme="minorBidi"/>
          <w:szCs w:val="22"/>
        </w:rPr>
        <w:t xml:space="preserve">Stuff turnover rate in </w:t>
      </w:r>
      <w:r>
        <w:t xml:space="preserve">different sectors in the hospitality field in </w:t>
      </w:r>
      <w:r w:rsidRPr="00EB5033">
        <w:rPr>
          <w:rFonts w:eastAsiaTheme="minorHAnsi" w:cstheme="minorBidi"/>
          <w:szCs w:val="22"/>
        </w:rPr>
        <w:t>the UK</w:t>
      </w:r>
    </w:p>
    <w:p w14:paraId="19F6472F" w14:textId="3880EADD" w:rsidR="00341D1D" w:rsidRPr="00341D1D" w:rsidRDefault="00341D1D" w:rsidP="0044034B">
      <w:pPr>
        <w:jc w:val="center"/>
        <w:rPr>
          <w:lang w:val="en-US"/>
        </w:rPr>
      </w:pPr>
      <w:r>
        <w:rPr>
          <w:lang w:val="en-US"/>
        </w:rPr>
        <w:t>Source: (Author)</w:t>
      </w:r>
    </w:p>
    <w:p w14:paraId="2BEFD472" w14:textId="2AB5E578" w:rsidR="00EB5033" w:rsidRDefault="005741DB" w:rsidP="005741DB">
      <w:r>
        <w:t>According to a survey performed by People 1st, an organisation devoted to workforce development in the hospitality industry, low compensation is a major reason for the high turnover rates in the United Kingdom's hotel business</w:t>
      </w:r>
      <w:r w:rsidR="008539EB">
        <w:t xml:space="preserve"> </w:t>
      </w:r>
      <w:r w:rsidR="008539EB" w:rsidRPr="008539EB">
        <w:t>(Ghani, Zada and Memon, 2022)</w:t>
      </w:r>
      <w:r>
        <w:t xml:space="preserve">. The research indicated that the hourly wages of hotel employees were much lower than </w:t>
      </w:r>
      <w:r>
        <w:lastRenderedPageBreak/>
        <w:t>the national median wage. The failure of hotels to acquire and retain sufficient permanent staff is directly tied to employee turnover.</w:t>
      </w:r>
    </w:p>
    <w:p w14:paraId="480E40A3" w14:textId="6007A866" w:rsidR="005741DB" w:rsidRDefault="005741DB" w:rsidP="005741DB">
      <w:r>
        <w:t>Lengthy and unpleasant work hours are a major cause of the high turnover rate in British hotels</w:t>
      </w:r>
      <w:r w:rsidR="008539EB">
        <w:t xml:space="preserve"> </w:t>
      </w:r>
      <w:r w:rsidR="008539EB" w:rsidRPr="008539EB">
        <w:t>(Saridakis, 2016)</w:t>
      </w:r>
      <w:r>
        <w:t>. The hotel sector is notorious for its rigorous schedules, which may encompass nights, weekends, and holidays. The chance of employee burnout and absenteeism increases if they struggle to transition between work and personal life</w:t>
      </w:r>
      <w:r w:rsidR="008539EB">
        <w:t xml:space="preserve"> </w:t>
      </w:r>
      <w:r w:rsidR="008539EB" w:rsidRPr="008539EB">
        <w:t>(Lisauskaite, 2022)</w:t>
      </w:r>
      <w:r>
        <w:t>. The Chartered Institute of Personnel and Development found that workers who feel overworked and underappreciated are more likely to quit their employment (CIPD).</w:t>
      </w:r>
    </w:p>
    <w:p w14:paraId="5918B178" w14:textId="4AF9362F" w:rsidR="005741DB" w:rsidRDefault="005741DB" w:rsidP="005741DB">
      <w:r>
        <w:t>Brexit, COVID, and inflation have also had a substantial influence on the hotel industry in the United Kingdom, particularly in terms of staff turnover rates. As a consequence of the impact of Brexit on the economy and labour market, hotels are finding it harder to hire and retain qualified staff</w:t>
      </w:r>
      <w:r w:rsidR="008539EB">
        <w:t xml:space="preserve"> </w:t>
      </w:r>
      <w:r w:rsidR="008539EB" w:rsidRPr="008539EB">
        <w:t>(Ishchy, 2018)</w:t>
      </w:r>
      <w:r>
        <w:t>. Due to the United Kingdom's vote to exit the European Union, people of other EU nations will have fewer employment opportunities in the United Kingdom. A number of European Union residents who formerly worked in hotels in the United Kingdom have quit their positions and moved on in recent years</w:t>
      </w:r>
      <w:r w:rsidR="008539EB">
        <w:t xml:space="preserve"> </w:t>
      </w:r>
      <w:r w:rsidR="008539EB" w:rsidRPr="008539EB">
        <w:t>(Vargas-Silva, 2016)</w:t>
      </w:r>
      <w:r>
        <w:t>. It is becoming more difficult for hotels to locate staff members with the necessary abilities. As foreign employment options are limited in some places, hotels have been compelled to rely on local expertise.</w:t>
      </w:r>
    </w:p>
    <w:p w14:paraId="4ABEE2CD" w14:textId="03DCFC9D" w:rsidR="005741DB" w:rsidRDefault="005741DB" w:rsidP="005741DB">
      <w:r>
        <w:t>Covid-19 has also had a substantial influence on the proportion of hotel employees who opt to stay in the United Kingdom. As a result of the decline in revenue brought on by the epidemic, hotels have been forced to lay off employees and require them to take time off</w:t>
      </w:r>
      <w:r w:rsidR="008539EB">
        <w:t xml:space="preserve"> </w:t>
      </w:r>
      <w:r w:rsidR="008539EB" w:rsidRPr="008539EB">
        <w:t>(Mehta and Panse, 2022)</w:t>
      </w:r>
      <w:r>
        <w:t>. Because so many of the individuals who were let off or placed on leave as a result of the outbreak have gone on to other roles, it is difficult for hotels to rehire qualified candidates. As a consequence of the widespread pandemic, several hotels have modified their practices. They are now either providing fewer services than normal or getting fewer visitors than usual. Both workers and employers may probably be affected by these changes in responsibilities and positions</w:t>
      </w:r>
      <w:r w:rsidR="008539EB">
        <w:t xml:space="preserve"> </w:t>
      </w:r>
      <w:r w:rsidR="008539EB" w:rsidRPr="008539EB">
        <w:t>(Alshurideh, Hassanien and Masa’deh, 2021)</w:t>
      </w:r>
      <w:r>
        <w:t>.</w:t>
      </w:r>
    </w:p>
    <w:p w14:paraId="180FB083" w14:textId="77777777" w:rsidR="005741DB" w:rsidRDefault="005741DB" w:rsidP="005741DB">
      <w:r>
        <w:lastRenderedPageBreak/>
        <w:t>As is the case in other businesses, the hotel industry in the United Kingdom is having a harder time maintaining its staff due to inflation. Due to inflation, it may be difficult for individuals to maintain their present quality of life on their income alone. This might lead to dissatisfied employees with poor morale, which in turn could increase employee turnover. Yet, inflation may result in a rise in operational expenses for hotels, which would limit their profits and the amount of money available for staff compensation and incentives.</w:t>
      </w:r>
    </w:p>
    <w:p w14:paraId="65D29656" w14:textId="0037CC82" w:rsidR="005741DB" w:rsidRDefault="005741DB" w:rsidP="005741DB">
      <w:r>
        <w:t>In the case of Brexit, Covid, or inflation, it may be more difficult for a hotel to retain its workers if it does not provide competitive wages, a pleasant work environment, and enough prospects for professional advancement. In addition, hotels must give possibilities for professional development to attract and retain the most qualified employees</w:t>
      </w:r>
      <w:r w:rsidR="008539EB">
        <w:t xml:space="preserve"> </w:t>
      </w:r>
      <w:r w:rsidR="008539EB" w:rsidRPr="008539EB">
        <w:t>(Goldstein et al., 2017)</w:t>
      </w:r>
      <w:r>
        <w:t>. To stay up with the hospitality industry's continuously changing standards, job descriptions, and business practices, hotels must be adaptable and ready to make improvements. Concentrating on these factors will likely help hotels become more competitive and retain a larger number of employees.</w:t>
      </w:r>
    </w:p>
    <w:p w14:paraId="662FDF16" w14:textId="5BEBD007" w:rsidR="005741DB" w:rsidRDefault="005741DB" w:rsidP="005741DB">
      <w:r>
        <w:t>The absence of internal advancement prospects considerably adds to the high turnover rate in UK hotels. Due to the restricted opportunities for advancement, many workers in the hospitality industry are disengaged and disillusioned. The British Hospitality Association (BHA) discovered that a lack of professional growth opportunities was a significant factor in employee turnover. If a company does not provide its top workers with opportunities to gain new skills and grow in their careers, it risks losing them to rivals.</w:t>
      </w:r>
    </w:p>
    <w:p w14:paraId="6A5E7A92" w14:textId="20E98624" w:rsidR="00017C71" w:rsidRDefault="005741DB" w:rsidP="005741DB">
      <w:r>
        <w:t xml:space="preserve">Due to high rates of employee turnover, the hotel business in the United Kingdom is challenged. </w:t>
      </w:r>
    </w:p>
    <w:tbl>
      <w:tblPr>
        <w:tblStyle w:val="TableGrid"/>
        <w:tblW w:w="9464" w:type="dxa"/>
        <w:jc w:val="center"/>
        <w:tblLook w:val="04A0" w:firstRow="1" w:lastRow="0" w:firstColumn="1" w:lastColumn="0" w:noHBand="0" w:noVBand="1"/>
      </w:tblPr>
      <w:tblGrid>
        <w:gridCol w:w="1668"/>
        <w:gridCol w:w="1701"/>
        <w:gridCol w:w="1984"/>
        <w:gridCol w:w="1985"/>
        <w:gridCol w:w="2126"/>
      </w:tblGrid>
      <w:tr w:rsidR="00017C71" w:rsidRPr="00017C71" w14:paraId="292AD96B" w14:textId="77777777" w:rsidTr="00017C71">
        <w:trPr>
          <w:trHeight w:val="300"/>
          <w:jc w:val="center"/>
        </w:trPr>
        <w:tc>
          <w:tcPr>
            <w:tcW w:w="1668" w:type="dxa"/>
            <w:noWrap/>
            <w:hideMark/>
          </w:tcPr>
          <w:p w14:paraId="594586B1" w14:textId="77777777" w:rsidR="00017C71" w:rsidRPr="00017C71" w:rsidRDefault="00017C71" w:rsidP="00017C71">
            <w:pPr>
              <w:jc w:val="center"/>
              <w:rPr>
                <w:lang w:eastAsia="en-GB" w:bidi="bn-BD"/>
              </w:rPr>
            </w:pPr>
          </w:p>
        </w:tc>
        <w:tc>
          <w:tcPr>
            <w:tcW w:w="1701" w:type="dxa"/>
            <w:noWrap/>
            <w:hideMark/>
          </w:tcPr>
          <w:p w14:paraId="0B228072" w14:textId="77777777" w:rsidR="00017C71" w:rsidRPr="00017C71" w:rsidRDefault="00017C71" w:rsidP="00017C71">
            <w:pPr>
              <w:jc w:val="center"/>
              <w:rPr>
                <w:szCs w:val="20"/>
                <w:lang w:eastAsia="en-GB" w:bidi="bn-BD"/>
              </w:rPr>
            </w:pPr>
            <w:r w:rsidRPr="00017C71">
              <w:rPr>
                <w:szCs w:val="20"/>
                <w:lang w:eastAsia="en-GB" w:bidi="bn-BD"/>
              </w:rPr>
              <w:t>2022</w:t>
            </w:r>
          </w:p>
          <w:p w14:paraId="5B4D07D9" w14:textId="0E5AD5A5" w:rsidR="00017C71" w:rsidRPr="00017C71" w:rsidRDefault="00017C71" w:rsidP="00017C71">
            <w:pPr>
              <w:jc w:val="center"/>
              <w:rPr>
                <w:szCs w:val="20"/>
                <w:lang w:eastAsia="en-GB" w:bidi="bn-BD"/>
              </w:rPr>
            </w:pPr>
            <w:r w:rsidRPr="00017C71">
              <w:rPr>
                <w:szCs w:val="20"/>
                <w:lang w:eastAsia="en-GB" w:bidi="bn-BD"/>
              </w:rPr>
              <w:t>(’000s)</w:t>
            </w:r>
          </w:p>
        </w:tc>
        <w:tc>
          <w:tcPr>
            <w:tcW w:w="1984" w:type="dxa"/>
            <w:noWrap/>
            <w:hideMark/>
          </w:tcPr>
          <w:p w14:paraId="3532EE9E" w14:textId="2C1BE7D7" w:rsidR="00017C71" w:rsidRPr="00017C71" w:rsidRDefault="00017C71" w:rsidP="00017C71">
            <w:pPr>
              <w:jc w:val="center"/>
              <w:rPr>
                <w:szCs w:val="20"/>
                <w:lang w:eastAsia="en-GB" w:bidi="bn-BD"/>
              </w:rPr>
            </w:pPr>
            <w:r w:rsidRPr="00017C71">
              <w:rPr>
                <w:szCs w:val="20"/>
                <w:lang w:eastAsia="en-GB" w:bidi="bn-BD"/>
              </w:rPr>
              <w:t>% of UK hospitality</w:t>
            </w:r>
          </w:p>
        </w:tc>
        <w:tc>
          <w:tcPr>
            <w:tcW w:w="1985" w:type="dxa"/>
            <w:noWrap/>
            <w:hideMark/>
          </w:tcPr>
          <w:p w14:paraId="7DF8F49E" w14:textId="7CBEA4B6" w:rsidR="00017C71" w:rsidRPr="00017C71" w:rsidRDefault="00017C71" w:rsidP="00017C71">
            <w:pPr>
              <w:jc w:val="center"/>
              <w:rPr>
                <w:szCs w:val="20"/>
                <w:lang w:eastAsia="en-GB" w:bidi="bn-BD"/>
              </w:rPr>
            </w:pPr>
            <w:r>
              <w:rPr>
                <w:szCs w:val="20"/>
                <w:lang w:eastAsia="en-GB" w:bidi="bn-BD"/>
              </w:rPr>
              <w:t>% of regional employment</w:t>
            </w:r>
          </w:p>
        </w:tc>
        <w:tc>
          <w:tcPr>
            <w:tcW w:w="2126" w:type="dxa"/>
            <w:noWrap/>
            <w:hideMark/>
          </w:tcPr>
          <w:p w14:paraId="52CD4DB4" w14:textId="17A4A9DD" w:rsidR="00017C71" w:rsidRPr="00017C71" w:rsidRDefault="00017C71" w:rsidP="00017C71">
            <w:pPr>
              <w:jc w:val="center"/>
              <w:rPr>
                <w:szCs w:val="20"/>
                <w:lang w:eastAsia="en-GB" w:bidi="bn-BD"/>
              </w:rPr>
            </w:pPr>
            <w:r>
              <w:rPr>
                <w:szCs w:val="20"/>
                <w:lang w:eastAsia="en-GB" w:bidi="bn-BD"/>
              </w:rPr>
              <w:t>Rank among 20 broad industry groups</w:t>
            </w:r>
          </w:p>
        </w:tc>
      </w:tr>
      <w:tr w:rsidR="00017C71" w:rsidRPr="00017C71" w14:paraId="37285565" w14:textId="77777777" w:rsidTr="00017C71">
        <w:trPr>
          <w:trHeight w:val="300"/>
          <w:jc w:val="center"/>
        </w:trPr>
        <w:tc>
          <w:tcPr>
            <w:tcW w:w="1668" w:type="dxa"/>
            <w:noWrap/>
            <w:hideMark/>
          </w:tcPr>
          <w:p w14:paraId="6BE3AE57" w14:textId="01B67ED4" w:rsidR="00017C71" w:rsidRPr="00017C71" w:rsidRDefault="00017C71" w:rsidP="00017C71">
            <w:pPr>
              <w:jc w:val="center"/>
              <w:rPr>
                <w:szCs w:val="20"/>
                <w:lang w:eastAsia="en-GB" w:bidi="bn-BD"/>
              </w:rPr>
            </w:pPr>
            <w:r w:rsidRPr="00017C71">
              <w:rPr>
                <w:szCs w:val="20"/>
                <w:lang w:eastAsia="en-GB" w:bidi="bn-BD"/>
              </w:rPr>
              <w:t>North East</w:t>
            </w:r>
          </w:p>
        </w:tc>
        <w:tc>
          <w:tcPr>
            <w:tcW w:w="1701" w:type="dxa"/>
            <w:noWrap/>
            <w:hideMark/>
          </w:tcPr>
          <w:p w14:paraId="18A442F5" w14:textId="65368145" w:rsidR="00017C71" w:rsidRPr="00017C71" w:rsidRDefault="00017C71" w:rsidP="00017C71">
            <w:pPr>
              <w:jc w:val="center"/>
              <w:rPr>
                <w:szCs w:val="20"/>
                <w:lang w:eastAsia="en-GB" w:bidi="bn-BD"/>
              </w:rPr>
            </w:pPr>
            <w:r>
              <w:rPr>
                <w:szCs w:val="20"/>
                <w:lang w:eastAsia="en-GB" w:bidi="bn-BD"/>
              </w:rPr>
              <w:t>125</w:t>
            </w:r>
          </w:p>
        </w:tc>
        <w:tc>
          <w:tcPr>
            <w:tcW w:w="1984" w:type="dxa"/>
            <w:noWrap/>
            <w:hideMark/>
          </w:tcPr>
          <w:p w14:paraId="70A97483" w14:textId="5A25B389" w:rsidR="00017C71" w:rsidRPr="00017C71" w:rsidRDefault="00017C71" w:rsidP="00017C71">
            <w:pPr>
              <w:jc w:val="center"/>
              <w:rPr>
                <w:szCs w:val="20"/>
                <w:lang w:eastAsia="en-GB" w:bidi="bn-BD"/>
              </w:rPr>
            </w:pPr>
            <w:r>
              <w:rPr>
                <w:szCs w:val="20"/>
                <w:lang w:eastAsia="en-GB" w:bidi="bn-BD"/>
              </w:rPr>
              <w:t>2%</w:t>
            </w:r>
          </w:p>
        </w:tc>
        <w:tc>
          <w:tcPr>
            <w:tcW w:w="1985" w:type="dxa"/>
            <w:noWrap/>
            <w:hideMark/>
          </w:tcPr>
          <w:p w14:paraId="2FE7B8AE" w14:textId="25E12F44" w:rsidR="00017C71" w:rsidRPr="00017C71" w:rsidRDefault="00017C71" w:rsidP="00017C71">
            <w:pPr>
              <w:jc w:val="center"/>
              <w:rPr>
                <w:szCs w:val="20"/>
                <w:lang w:eastAsia="en-GB" w:bidi="bn-BD"/>
              </w:rPr>
            </w:pPr>
            <w:r>
              <w:rPr>
                <w:szCs w:val="20"/>
                <w:lang w:eastAsia="en-GB" w:bidi="bn-BD"/>
              </w:rPr>
              <w:t>11%</w:t>
            </w:r>
          </w:p>
        </w:tc>
        <w:tc>
          <w:tcPr>
            <w:tcW w:w="2126" w:type="dxa"/>
            <w:noWrap/>
            <w:hideMark/>
          </w:tcPr>
          <w:p w14:paraId="67A4C50C" w14:textId="4ADEFD19" w:rsidR="00017C71" w:rsidRPr="00017C71" w:rsidRDefault="00017C71" w:rsidP="00017C71">
            <w:pPr>
              <w:jc w:val="center"/>
              <w:rPr>
                <w:szCs w:val="20"/>
                <w:lang w:eastAsia="en-GB" w:bidi="bn-BD"/>
              </w:rPr>
            </w:pPr>
            <w:r>
              <w:rPr>
                <w:szCs w:val="20"/>
                <w:lang w:eastAsia="en-GB" w:bidi="bn-BD"/>
              </w:rPr>
              <w:t>3</w:t>
            </w:r>
          </w:p>
        </w:tc>
      </w:tr>
      <w:tr w:rsidR="00017C71" w:rsidRPr="00017C71" w14:paraId="4EC35A79" w14:textId="77777777" w:rsidTr="00017C71">
        <w:trPr>
          <w:trHeight w:val="300"/>
          <w:jc w:val="center"/>
        </w:trPr>
        <w:tc>
          <w:tcPr>
            <w:tcW w:w="1668" w:type="dxa"/>
            <w:noWrap/>
            <w:hideMark/>
          </w:tcPr>
          <w:p w14:paraId="2160DD15" w14:textId="4DC2C38E" w:rsidR="00017C71" w:rsidRPr="00017C71" w:rsidRDefault="00017C71" w:rsidP="00017C71">
            <w:pPr>
              <w:jc w:val="center"/>
              <w:rPr>
                <w:szCs w:val="20"/>
                <w:lang w:eastAsia="en-GB" w:bidi="bn-BD"/>
              </w:rPr>
            </w:pPr>
            <w:r w:rsidRPr="00017C71">
              <w:rPr>
                <w:szCs w:val="20"/>
                <w:lang w:eastAsia="en-GB" w:bidi="bn-BD"/>
              </w:rPr>
              <w:lastRenderedPageBreak/>
              <w:t>North West</w:t>
            </w:r>
          </w:p>
        </w:tc>
        <w:tc>
          <w:tcPr>
            <w:tcW w:w="1701" w:type="dxa"/>
            <w:noWrap/>
            <w:hideMark/>
          </w:tcPr>
          <w:p w14:paraId="1C0E3CDB" w14:textId="651ABF84" w:rsidR="00017C71" w:rsidRPr="00017C71" w:rsidRDefault="00017C71" w:rsidP="00017C71">
            <w:pPr>
              <w:jc w:val="center"/>
              <w:rPr>
                <w:szCs w:val="20"/>
                <w:lang w:eastAsia="en-GB" w:bidi="bn-BD"/>
              </w:rPr>
            </w:pPr>
            <w:r>
              <w:rPr>
                <w:szCs w:val="20"/>
                <w:lang w:eastAsia="en-GB" w:bidi="bn-BD"/>
              </w:rPr>
              <w:t>360</w:t>
            </w:r>
          </w:p>
        </w:tc>
        <w:tc>
          <w:tcPr>
            <w:tcW w:w="1984" w:type="dxa"/>
            <w:noWrap/>
            <w:hideMark/>
          </w:tcPr>
          <w:p w14:paraId="6941694F" w14:textId="32BBD7F1" w:rsidR="00017C71" w:rsidRPr="00017C71" w:rsidRDefault="00017C71" w:rsidP="00017C71">
            <w:pPr>
              <w:jc w:val="center"/>
              <w:rPr>
                <w:szCs w:val="20"/>
                <w:lang w:eastAsia="en-GB" w:bidi="bn-BD"/>
              </w:rPr>
            </w:pPr>
            <w:r>
              <w:rPr>
                <w:szCs w:val="20"/>
                <w:lang w:eastAsia="en-GB" w:bidi="bn-BD"/>
              </w:rPr>
              <w:t>11%</w:t>
            </w:r>
          </w:p>
        </w:tc>
        <w:tc>
          <w:tcPr>
            <w:tcW w:w="1985" w:type="dxa"/>
            <w:noWrap/>
            <w:hideMark/>
          </w:tcPr>
          <w:p w14:paraId="0D71EE0B" w14:textId="700E6FD7" w:rsidR="00017C71" w:rsidRPr="00017C71" w:rsidRDefault="00017C71" w:rsidP="00017C71">
            <w:pPr>
              <w:jc w:val="center"/>
              <w:rPr>
                <w:szCs w:val="20"/>
                <w:lang w:eastAsia="en-GB" w:bidi="bn-BD"/>
              </w:rPr>
            </w:pPr>
            <w:r>
              <w:rPr>
                <w:szCs w:val="20"/>
                <w:lang w:eastAsia="en-GB" w:bidi="bn-BD"/>
              </w:rPr>
              <w:t>10%</w:t>
            </w:r>
          </w:p>
        </w:tc>
        <w:tc>
          <w:tcPr>
            <w:tcW w:w="2126" w:type="dxa"/>
            <w:noWrap/>
            <w:hideMark/>
          </w:tcPr>
          <w:p w14:paraId="66C5D683" w14:textId="247F7AE5" w:rsidR="00017C71" w:rsidRPr="00017C71" w:rsidRDefault="00017C71" w:rsidP="00017C71">
            <w:pPr>
              <w:jc w:val="center"/>
              <w:rPr>
                <w:szCs w:val="20"/>
                <w:lang w:eastAsia="en-GB" w:bidi="bn-BD"/>
              </w:rPr>
            </w:pPr>
            <w:r>
              <w:rPr>
                <w:szCs w:val="20"/>
                <w:lang w:eastAsia="en-GB" w:bidi="bn-BD"/>
              </w:rPr>
              <w:t>3</w:t>
            </w:r>
          </w:p>
        </w:tc>
      </w:tr>
      <w:tr w:rsidR="00017C71" w:rsidRPr="00017C71" w14:paraId="0072081C" w14:textId="77777777" w:rsidTr="00017C71">
        <w:trPr>
          <w:trHeight w:val="300"/>
          <w:jc w:val="center"/>
        </w:trPr>
        <w:tc>
          <w:tcPr>
            <w:tcW w:w="1668" w:type="dxa"/>
            <w:noWrap/>
            <w:hideMark/>
          </w:tcPr>
          <w:p w14:paraId="3772A99A" w14:textId="5F3C07FB" w:rsidR="00017C71" w:rsidRPr="00017C71" w:rsidRDefault="00017C71" w:rsidP="00017C71">
            <w:pPr>
              <w:jc w:val="center"/>
              <w:rPr>
                <w:szCs w:val="20"/>
                <w:lang w:eastAsia="en-GB" w:bidi="bn-BD"/>
              </w:rPr>
            </w:pPr>
            <w:r w:rsidRPr="00017C71">
              <w:rPr>
                <w:szCs w:val="20"/>
                <w:lang w:eastAsia="en-GB" w:bidi="bn-BD"/>
              </w:rPr>
              <w:t>Yorks &amp; Humber</w:t>
            </w:r>
          </w:p>
        </w:tc>
        <w:tc>
          <w:tcPr>
            <w:tcW w:w="1701" w:type="dxa"/>
            <w:noWrap/>
            <w:hideMark/>
          </w:tcPr>
          <w:p w14:paraId="44E14406" w14:textId="5D6715CE" w:rsidR="00017C71" w:rsidRPr="00017C71" w:rsidRDefault="00017C71" w:rsidP="00017C71">
            <w:pPr>
              <w:jc w:val="center"/>
              <w:rPr>
                <w:szCs w:val="20"/>
                <w:lang w:eastAsia="en-GB" w:bidi="bn-BD"/>
              </w:rPr>
            </w:pPr>
            <w:r>
              <w:rPr>
                <w:szCs w:val="20"/>
                <w:lang w:eastAsia="en-GB" w:bidi="bn-BD"/>
              </w:rPr>
              <w:t>210</w:t>
            </w:r>
          </w:p>
        </w:tc>
        <w:tc>
          <w:tcPr>
            <w:tcW w:w="1984" w:type="dxa"/>
            <w:noWrap/>
            <w:hideMark/>
          </w:tcPr>
          <w:p w14:paraId="10FB742C" w14:textId="16F6636A" w:rsidR="00017C71" w:rsidRPr="00017C71" w:rsidRDefault="00017C71" w:rsidP="00017C71">
            <w:pPr>
              <w:jc w:val="center"/>
              <w:rPr>
                <w:szCs w:val="20"/>
                <w:lang w:eastAsia="en-GB" w:bidi="bn-BD"/>
              </w:rPr>
            </w:pPr>
            <w:r>
              <w:rPr>
                <w:szCs w:val="20"/>
                <w:lang w:eastAsia="en-GB" w:bidi="bn-BD"/>
              </w:rPr>
              <w:t>7%</w:t>
            </w:r>
          </w:p>
        </w:tc>
        <w:tc>
          <w:tcPr>
            <w:tcW w:w="1985" w:type="dxa"/>
            <w:noWrap/>
            <w:hideMark/>
          </w:tcPr>
          <w:p w14:paraId="19A4753B" w14:textId="59570CBE" w:rsidR="00017C71" w:rsidRPr="00017C71" w:rsidRDefault="00A12652" w:rsidP="00017C71">
            <w:pPr>
              <w:jc w:val="center"/>
              <w:rPr>
                <w:szCs w:val="20"/>
                <w:lang w:eastAsia="en-GB" w:bidi="bn-BD"/>
              </w:rPr>
            </w:pPr>
            <w:r>
              <w:rPr>
                <w:szCs w:val="20"/>
                <w:lang w:eastAsia="en-GB" w:bidi="bn-BD"/>
              </w:rPr>
              <w:t>7</w:t>
            </w:r>
            <w:r w:rsidR="00017C71">
              <w:rPr>
                <w:szCs w:val="20"/>
                <w:lang w:eastAsia="en-GB" w:bidi="bn-BD"/>
              </w:rPr>
              <w:t>%</w:t>
            </w:r>
          </w:p>
        </w:tc>
        <w:tc>
          <w:tcPr>
            <w:tcW w:w="2126" w:type="dxa"/>
            <w:noWrap/>
            <w:hideMark/>
          </w:tcPr>
          <w:p w14:paraId="55322994" w14:textId="239D9CE2" w:rsidR="00017C71" w:rsidRPr="00017C71" w:rsidRDefault="00017C71" w:rsidP="00017C71">
            <w:pPr>
              <w:jc w:val="center"/>
              <w:rPr>
                <w:szCs w:val="20"/>
                <w:lang w:eastAsia="en-GB" w:bidi="bn-BD"/>
              </w:rPr>
            </w:pPr>
            <w:r>
              <w:rPr>
                <w:szCs w:val="20"/>
                <w:lang w:eastAsia="en-GB" w:bidi="bn-BD"/>
              </w:rPr>
              <w:t>6</w:t>
            </w:r>
          </w:p>
        </w:tc>
      </w:tr>
      <w:tr w:rsidR="00017C71" w:rsidRPr="00017C71" w14:paraId="0A234208" w14:textId="77777777" w:rsidTr="00017C71">
        <w:trPr>
          <w:trHeight w:val="300"/>
          <w:jc w:val="center"/>
        </w:trPr>
        <w:tc>
          <w:tcPr>
            <w:tcW w:w="1668" w:type="dxa"/>
            <w:noWrap/>
            <w:hideMark/>
          </w:tcPr>
          <w:p w14:paraId="31ADB885" w14:textId="3CF9625D" w:rsidR="00017C71" w:rsidRPr="00017C71" w:rsidRDefault="00017C71" w:rsidP="00017C71">
            <w:pPr>
              <w:jc w:val="center"/>
              <w:rPr>
                <w:szCs w:val="20"/>
                <w:lang w:eastAsia="en-GB" w:bidi="bn-BD"/>
              </w:rPr>
            </w:pPr>
            <w:r w:rsidRPr="00017C71">
              <w:rPr>
                <w:szCs w:val="20"/>
                <w:lang w:eastAsia="en-GB" w:bidi="bn-BD"/>
              </w:rPr>
              <w:t>East Midlands</w:t>
            </w:r>
          </w:p>
        </w:tc>
        <w:tc>
          <w:tcPr>
            <w:tcW w:w="1701" w:type="dxa"/>
            <w:noWrap/>
            <w:hideMark/>
          </w:tcPr>
          <w:p w14:paraId="708C8F72" w14:textId="7F9327AC" w:rsidR="00017C71" w:rsidRPr="00017C71" w:rsidRDefault="00017C71" w:rsidP="00017C71">
            <w:pPr>
              <w:jc w:val="center"/>
              <w:rPr>
                <w:szCs w:val="20"/>
                <w:lang w:eastAsia="en-GB" w:bidi="bn-BD"/>
              </w:rPr>
            </w:pPr>
            <w:r w:rsidRPr="00017C71">
              <w:rPr>
                <w:szCs w:val="20"/>
                <w:lang w:eastAsia="en-GB" w:bidi="bn-BD"/>
              </w:rPr>
              <w:t xml:space="preserve">226 </w:t>
            </w:r>
          </w:p>
        </w:tc>
        <w:tc>
          <w:tcPr>
            <w:tcW w:w="1984" w:type="dxa"/>
            <w:noWrap/>
            <w:hideMark/>
          </w:tcPr>
          <w:p w14:paraId="5B67F88B" w14:textId="32B00E54" w:rsidR="00017C71" w:rsidRPr="00017C71" w:rsidRDefault="00017C71" w:rsidP="00017C71">
            <w:pPr>
              <w:jc w:val="center"/>
              <w:rPr>
                <w:szCs w:val="20"/>
                <w:lang w:eastAsia="en-GB" w:bidi="bn-BD"/>
              </w:rPr>
            </w:pPr>
            <w:r w:rsidRPr="00017C71">
              <w:rPr>
                <w:szCs w:val="20"/>
                <w:lang w:eastAsia="en-GB" w:bidi="bn-BD"/>
              </w:rPr>
              <w:t xml:space="preserve">7% </w:t>
            </w:r>
          </w:p>
        </w:tc>
        <w:tc>
          <w:tcPr>
            <w:tcW w:w="1985" w:type="dxa"/>
            <w:noWrap/>
            <w:hideMark/>
          </w:tcPr>
          <w:p w14:paraId="3EB6D2EC" w14:textId="6F72A64B" w:rsidR="00017C71" w:rsidRPr="00017C71" w:rsidRDefault="00017C71" w:rsidP="00017C71">
            <w:pPr>
              <w:jc w:val="center"/>
              <w:rPr>
                <w:szCs w:val="20"/>
                <w:lang w:eastAsia="en-GB" w:bidi="bn-BD"/>
              </w:rPr>
            </w:pPr>
            <w:r w:rsidRPr="00017C71">
              <w:rPr>
                <w:szCs w:val="20"/>
                <w:lang w:eastAsia="en-GB" w:bidi="bn-BD"/>
              </w:rPr>
              <w:t xml:space="preserve">7% </w:t>
            </w:r>
          </w:p>
        </w:tc>
        <w:tc>
          <w:tcPr>
            <w:tcW w:w="2126" w:type="dxa"/>
            <w:noWrap/>
            <w:hideMark/>
          </w:tcPr>
          <w:p w14:paraId="06C68D31" w14:textId="1C627965" w:rsidR="00017C71" w:rsidRPr="00017C71" w:rsidRDefault="00017C71" w:rsidP="00017C71">
            <w:pPr>
              <w:jc w:val="center"/>
              <w:rPr>
                <w:szCs w:val="20"/>
                <w:lang w:eastAsia="en-GB" w:bidi="bn-BD"/>
              </w:rPr>
            </w:pPr>
            <w:r>
              <w:rPr>
                <w:szCs w:val="20"/>
                <w:lang w:eastAsia="en-GB" w:bidi="bn-BD"/>
              </w:rPr>
              <w:t>4</w:t>
            </w:r>
          </w:p>
        </w:tc>
      </w:tr>
      <w:tr w:rsidR="00017C71" w:rsidRPr="00017C71" w14:paraId="7132DE8B" w14:textId="77777777" w:rsidTr="00017C71">
        <w:trPr>
          <w:trHeight w:val="300"/>
          <w:jc w:val="center"/>
        </w:trPr>
        <w:tc>
          <w:tcPr>
            <w:tcW w:w="1668" w:type="dxa"/>
            <w:noWrap/>
            <w:hideMark/>
          </w:tcPr>
          <w:p w14:paraId="05A8ED59" w14:textId="66BEFFBC" w:rsidR="00017C71" w:rsidRPr="00017C71" w:rsidRDefault="00017C71" w:rsidP="00017C71">
            <w:pPr>
              <w:jc w:val="center"/>
              <w:rPr>
                <w:szCs w:val="20"/>
                <w:lang w:eastAsia="en-GB" w:bidi="bn-BD"/>
              </w:rPr>
            </w:pPr>
            <w:r w:rsidRPr="00017C71">
              <w:rPr>
                <w:szCs w:val="20"/>
                <w:lang w:eastAsia="en-GB" w:bidi="bn-BD"/>
              </w:rPr>
              <w:t>West Midlands</w:t>
            </w:r>
          </w:p>
        </w:tc>
        <w:tc>
          <w:tcPr>
            <w:tcW w:w="1701" w:type="dxa"/>
            <w:noWrap/>
            <w:hideMark/>
          </w:tcPr>
          <w:p w14:paraId="3CA62AE7" w14:textId="768A1FC2" w:rsidR="00017C71" w:rsidRPr="00017C71" w:rsidRDefault="00017C71" w:rsidP="00017C71">
            <w:pPr>
              <w:jc w:val="center"/>
              <w:rPr>
                <w:szCs w:val="20"/>
                <w:lang w:eastAsia="en-GB" w:bidi="bn-BD"/>
              </w:rPr>
            </w:pPr>
            <w:r>
              <w:rPr>
                <w:szCs w:val="20"/>
                <w:lang w:eastAsia="en-GB" w:bidi="bn-BD"/>
              </w:rPr>
              <w:t>241</w:t>
            </w:r>
          </w:p>
        </w:tc>
        <w:tc>
          <w:tcPr>
            <w:tcW w:w="1984" w:type="dxa"/>
            <w:noWrap/>
            <w:hideMark/>
          </w:tcPr>
          <w:p w14:paraId="4DC8A2E7" w14:textId="07F5D0AF" w:rsidR="00017C71" w:rsidRPr="00017C71" w:rsidRDefault="00017C71" w:rsidP="00017C71">
            <w:pPr>
              <w:jc w:val="center"/>
              <w:rPr>
                <w:szCs w:val="20"/>
                <w:lang w:eastAsia="en-GB" w:bidi="bn-BD"/>
              </w:rPr>
            </w:pPr>
            <w:r>
              <w:rPr>
                <w:szCs w:val="20"/>
                <w:lang w:eastAsia="en-GB" w:bidi="bn-BD"/>
              </w:rPr>
              <w:t>8%</w:t>
            </w:r>
          </w:p>
        </w:tc>
        <w:tc>
          <w:tcPr>
            <w:tcW w:w="1985" w:type="dxa"/>
            <w:noWrap/>
            <w:hideMark/>
          </w:tcPr>
          <w:p w14:paraId="251E6098" w14:textId="2B0800DA" w:rsidR="00017C71" w:rsidRPr="00017C71" w:rsidRDefault="00017C71" w:rsidP="00017C71">
            <w:pPr>
              <w:jc w:val="center"/>
              <w:rPr>
                <w:szCs w:val="20"/>
                <w:lang w:eastAsia="en-GB" w:bidi="bn-BD"/>
              </w:rPr>
            </w:pPr>
            <w:r>
              <w:rPr>
                <w:szCs w:val="20"/>
                <w:lang w:eastAsia="en-GB" w:bidi="bn-BD"/>
              </w:rPr>
              <w:t>8%</w:t>
            </w:r>
          </w:p>
        </w:tc>
        <w:tc>
          <w:tcPr>
            <w:tcW w:w="2126" w:type="dxa"/>
            <w:noWrap/>
            <w:hideMark/>
          </w:tcPr>
          <w:p w14:paraId="196C778B" w14:textId="6D15748C" w:rsidR="00017C71" w:rsidRPr="00017C71" w:rsidRDefault="00017C71" w:rsidP="00017C71">
            <w:pPr>
              <w:jc w:val="center"/>
              <w:rPr>
                <w:szCs w:val="20"/>
                <w:lang w:eastAsia="en-GB" w:bidi="bn-BD"/>
              </w:rPr>
            </w:pPr>
            <w:r>
              <w:rPr>
                <w:szCs w:val="20"/>
                <w:lang w:eastAsia="en-GB" w:bidi="bn-BD"/>
              </w:rPr>
              <w:t>6</w:t>
            </w:r>
          </w:p>
        </w:tc>
      </w:tr>
      <w:tr w:rsidR="00017C71" w:rsidRPr="00017C71" w14:paraId="2AA54A24" w14:textId="77777777" w:rsidTr="00017C71">
        <w:trPr>
          <w:trHeight w:val="300"/>
          <w:jc w:val="center"/>
        </w:trPr>
        <w:tc>
          <w:tcPr>
            <w:tcW w:w="1668" w:type="dxa"/>
            <w:noWrap/>
            <w:hideMark/>
          </w:tcPr>
          <w:p w14:paraId="47906C89" w14:textId="05806493" w:rsidR="00017C71" w:rsidRPr="00017C71" w:rsidRDefault="00017C71" w:rsidP="00017C71">
            <w:pPr>
              <w:jc w:val="center"/>
              <w:rPr>
                <w:szCs w:val="20"/>
                <w:lang w:eastAsia="en-GB" w:bidi="bn-BD"/>
              </w:rPr>
            </w:pPr>
            <w:r w:rsidRPr="00017C71">
              <w:rPr>
                <w:szCs w:val="20"/>
                <w:lang w:eastAsia="en-GB" w:bidi="bn-BD"/>
              </w:rPr>
              <w:t>East of England</w:t>
            </w:r>
          </w:p>
        </w:tc>
        <w:tc>
          <w:tcPr>
            <w:tcW w:w="1701" w:type="dxa"/>
            <w:noWrap/>
            <w:hideMark/>
          </w:tcPr>
          <w:p w14:paraId="0AA0AF4C" w14:textId="3E899BB7" w:rsidR="00017C71" w:rsidRPr="00017C71" w:rsidRDefault="00017C71" w:rsidP="00017C71">
            <w:pPr>
              <w:jc w:val="center"/>
              <w:rPr>
                <w:szCs w:val="20"/>
                <w:lang w:eastAsia="en-GB" w:bidi="bn-BD"/>
              </w:rPr>
            </w:pPr>
            <w:r>
              <w:rPr>
                <w:szCs w:val="20"/>
                <w:lang w:eastAsia="en-GB" w:bidi="bn-BD"/>
              </w:rPr>
              <w:t>246</w:t>
            </w:r>
          </w:p>
        </w:tc>
        <w:tc>
          <w:tcPr>
            <w:tcW w:w="1984" w:type="dxa"/>
            <w:noWrap/>
            <w:hideMark/>
          </w:tcPr>
          <w:p w14:paraId="51719CD2" w14:textId="5EBF40AD" w:rsidR="00017C71" w:rsidRPr="00017C71" w:rsidRDefault="00017C71" w:rsidP="00017C71">
            <w:pPr>
              <w:jc w:val="center"/>
              <w:rPr>
                <w:szCs w:val="20"/>
                <w:lang w:eastAsia="en-GB" w:bidi="bn-BD"/>
              </w:rPr>
            </w:pPr>
            <w:r>
              <w:rPr>
                <w:szCs w:val="20"/>
                <w:lang w:eastAsia="en-GB" w:bidi="bn-BD"/>
              </w:rPr>
              <w:t>8%</w:t>
            </w:r>
          </w:p>
        </w:tc>
        <w:tc>
          <w:tcPr>
            <w:tcW w:w="1985" w:type="dxa"/>
            <w:noWrap/>
            <w:hideMark/>
          </w:tcPr>
          <w:p w14:paraId="0E9A168F" w14:textId="7874673F" w:rsidR="00017C71" w:rsidRPr="00017C71" w:rsidRDefault="00A12652" w:rsidP="00017C71">
            <w:pPr>
              <w:jc w:val="center"/>
              <w:rPr>
                <w:szCs w:val="20"/>
                <w:lang w:eastAsia="en-GB" w:bidi="bn-BD"/>
              </w:rPr>
            </w:pPr>
            <w:r>
              <w:rPr>
                <w:szCs w:val="20"/>
                <w:lang w:eastAsia="en-GB" w:bidi="bn-BD"/>
              </w:rPr>
              <w:t>8%</w:t>
            </w:r>
          </w:p>
        </w:tc>
        <w:tc>
          <w:tcPr>
            <w:tcW w:w="2126" w:type="dxa"/>
            <w:noWrap/>
            <w:hideMark/>
          </w:tcPr>
          <w:p w14:paraId="48601F80" w14:textId="6B251864" w:rsidR="00017C71" w:rsidRPr="00017C71" w:rsidRDefault="00017C71" w:rsidP="00017C71">
            <w:pPr>
              <w:jc w:val="center"/>
              <w:rPr>
                <w:szCs w:val="20"/>
                <w:lang w:eastAsia="en-GB" w:bidi="bn-BD"/>
              </w:rPr>
            </w:pPr>
            <w:r>
              <w:rPr>
                <w:szCs w:val="20"/>
                <w:lang w:eastAsia="en-GB" w:bidi="bn-BD"/>
              </w:rPr>
              <w:t>7</w:t>
            </w:r>
          </w:p>
        </w:tc>
      </w:tr>
      <w:tr w:rsidR="00017C71" w:rsidRPr="00017C71" w14:paraId="6A151145" w14:textId="77777777" w:rsidTr="00017C71">
        <w:trPr>
          <w:trHeight w:val="300"/>
          <w:jc w:val="center"/>
        </w:trPr>
        <w:tc>
          <w:tcPr>
            <w:tcW w:w="1668" w:type="dxa"/>
            <w:noWrap/>
            <w:hideMark/>
          </w:tcPr>
          <w:p w14:paraId="221A1C59" w14:textId="705FB414" w:rsidR="00017C71" w:rsidRPr="00017C71" w:rsidRDefault="00017C71" w:rsidP="00017C71">
            <w:pPr>
              <w:jc w:val="center"/>
              <w:rPr>
                <w:szCs w:val="20"/>
                <w:lang w:eastAsia="en-GB" w:bidi="bn-BD"/>
              </w:rPr>
            </w:pPr>
            <w:r w:rsidRPr="00017C71">
              <w:rPr>
                <w:szCs w:val="20"/>
                <w:lang w:eastAsia="en-GB" w:bidi="bn-BD"/>
              </w:rPr>
              <w:t>London</w:t>
            </w:r>
          </w:p>
        </w:tc>
        <w:tc>
          <w:tcPr>
            <w:tcW w:w="1701" w:type="dxa"/>
            <w:noWrap/>
            <w:hideMark/>
          </w:tcPr>
          <w:p w14:paraId="5EBE50EE" w14:textId="0A25EF0D" w:rsidR="00017C71" w:rsidRPr="00017C71" w:rsidRDefault="00017C71" w:rsidP="00017C71">
            <w:pPr>
              <w:jc w:val="center"/>
              <w:rPr>
                <w:szCs w:val="20"/>
                <w:lang w:eastAsia="en-GB" w:bidi="bn-BD"/>
              </w:rPr>
            </w:pPr>
            <w:r>
              <w:rPr>
                <w:szCs w:val="20"/>
                <w:lang w:eastAsia="en-GB" w:bidi="bn-BD"/>
              </w:rPr>
              <w:t>568</w:t>
            </w:r>
          </w:p>
        </w:tc>
        <w:tc>
          <w:tcPr>
            <w:tcW w:w="1984" w:type="dxa"/>
            <w:noWrap/>
            <w:hideMark/>
          </w:tcPr>
          <w:p w14:paraId="4633A90E" w14:textId="74996365" w:rsidR="00017C71" w:rsidRPr="00017C71" w:rsidRDefault="00017C71" w:rsidP="00017C71">
            <w:pPr>
              <w:jc w:val="center"/>
              <w:rPr>
                <w:szCs w:val="20"/>
                <w:lang w:eastAsia="en-GB" w:bidi="bn-BD"/>
              </w:rPr>
            </w:pPr>
            <w:r>
              <w:rPr>
                <w:szCs w:val="20"/>
                <w:lang w:eastAsia="en-GB" w:bidi="bn-BD"/>
              </w:rPr>
              <w:t>18%</w:t>
            </w:r>
          </w:p>
        </w:tc>
        <w:tc>
          <w:tcPr>
            <w:tcW w:w="1985" w:type="dxa"/>
            <w:noWrap/>
            <w:hideMark/>
          </w:tcPr>
          <w:p w14:paraId="46E95BD2" w14:textId="77A8724D" w:rsidR="00017C71" w:rsidRPr="00017C71" w:rsidRDefault="00A12652" w:rsidP="00017C71">
            <w:pPr>
              <w:jc w:val="center"/>
              <w:rPr>
                <w:szCs w:val="20"/>
                <w:lang w:eastAsia="en-GB" w:bidi="bn-BD"/>
              </w:rPr>
            </w:pPr>
            <w:r>
              <w:rPr>
                <w:szCs w:val="20"/>
                <w:lang w:eastAsia="en-GB" w:bidi="bn-BD"/>
              </w:rPr>
              <w:t>10%</w:t>
            </w:r>
          </w:p>
        </w:tc>
        <w:tc>
          <w:tcPr>
            <w:tcW w:w="2126" w:type="dxa"/>
            <w:noWrap/>
            <w:hideMark/>
          </w:tcPr>
          <w:p w14:paraId="01746A0C" w14:textId="0925A626" w:rsidR="00017C71" w:rsidRPr="00017C71" w:rsidRDefault="00017C71" w:rsidP="00017C71">
            <w:pPr>
              <w:jc w:val="center"/>
              <w:rPr>
                <w:szCs w:val="20"/>
                <w:lang w:eastAsia="en-GB" w:bidi="bn-BD"/>
              </w:rPr>
            </w:pPr>
            <w:r>
              <w:rPr>
                <w:szCs w:val="20"/>
                <w:lang w:eastAsia="en-GB" w:bidi="bn-BD"/>
              </w:rPr>
              <w:t>5</w:t>
            </w:r>
          </w:p>
        </w:tc>
      </w:tr>
      <w:tr w:rsidR="00017C71" w:rsidRPr="00017C71" w14:paraId="04A5D750" w14:textId="77777777" w:rsidTr="00017C71">
        <w:trPr>
          <w:trHeight w:val="300"/>
          <w:jc w:val="center"/>
        </w:trPr>
        <w:tc>
          <w:tcPr>
            <w:tcW w:w="1668" w:type="dxa"/>
            <w:noWrap/>
            <w:hideMark/>
          </w:tcPr>
          <w:p w14:paraId="454465C6" w14:textId="70940A1E" w:rsidR="00017C71" w:rsidRPr="00017C71" w:rsidRDefault="00017C71" w:rsidP="00017C71">
            <w:pPr>
              <w:jc w:val="center"/>
              <w:rPr>
                <w:szCs w:val="20"/>
                <w:lang w:eastAsia="en-GB" w:bidi="bn-BD"/>
              </w:rPr>
            </w:pPr>
            <w:r w:rsidRPr="00017C71">
              <w:rPr>
                <w:szCs w:val="20"/>
                <w:lang w:eastAsia="en-GB" w:bidi="bn-BD"/>
              </w:rPr>
              <w:t>South East</w:t>
            </w:r>
          </w:p>
        </w:tc>
        <w:tc>
          <w:tcPr>
            <w:tcW w:w="1701" w:type="dxa"/>
            <w:noWrap/>
            <w:hideMark/>
          </w:tcPr>
          <w:p w14:paraId="6C013CD6" w14:textId="0CA8D605" w:rsidR="00017C71" w:rsidRPr="00017C71" w:rsidRDefault="00017C71" w:rsidP="00017C71">
            <w:pPr>
              <w:jc w:val="center"/>
              <w:rPr>
                <w:szCs w:val="20"/>
                <w:lang w:eastAsia="en-GB" w:bidi="bn-BD"/>
              </w:rPr>
            </w:pPr>
            <w:r>
              <w:rPr>
                <w:szCs w:val="20"/>
                <w:lang w:eastAsia="en-GB" w:bidi="bn-BD"/>
              </w:rPr>
              <w:t>390</w:t>
            </w:r>
          </w:p>
        </w:tc>
        <w:tc>
          <w:tcPr>
            <w:tcW w:w="1984" w:type="dxa"/>
            <w:noWrap/>
            <w:hideMark/>
          </w:tcPr>
          <w:p w14:paraId="0687CAC4" w14:textId="278B6525" w:rsidR="00017C71" w:rsidRPr="00017C71" w:rsidRDefault="00017C71" w:rsidP="00017C71">
            <w:pPr>
              <w:jc w:val="center"/>
              <w:rPr>
                <w:szCs w:val="20"/>
                <w:lang w:eastAsia="en-GB" w:bidi="bn-BD"/>
              </w:rPr>
            </w:pPr>
            <w:r>
              <w:rPr>
                <w:szCs w:val="20"/>
                <w:lang w:eastAsia="en-GB" w:bidi="bn-BD"/>
              </w:rPr>
              <w:t>12%</w:t>
            </w:r>
          </w:p>
        </w:tc>
        <w:tc>
          <w:tcPr>
            <w:tcW w:w="1985" w:type="dxa"/>
            <w:noWrap/>
            <w:hideMark/>
          </w:tcPr>
          <w:p w14:paraId="227A7FC5" w14:textId="74557A8F" w:rsidR="00017C71" w:rsidRPr="00017C71" w:rsidRDefault="00A12652" w:rsidP="00017C71">
            <w:pPr>
              <w:jc w:val="center"/>
              <w:rPr>
                <w:szCs w:val="20"/>
                <w:lang w:eastAsia="en-GB" w:bidi="bn-BD"/>
              </w:rPr>
            </w:pPr>
            <w:r>
              <w:rPr>
                <w:szCs w:val="20"/>
                <w:lang w:eastAsia="en-GB" w:bidi="bn-BD"/>
              </w:rPr>
              <w:t>8%</w:t>
            </w:r>
          </w:p>
        </w:tc>
        <w:tc>
          <w:tcPr>
            <w:tcW w:w="2126" w:type="dxa"/>
            <w:noWrap/>
            <w:hideMark/>
          </w:tcPr>
          <w:p w14:paraId="508475BE" w14:textId="0463AFFD" w:rsidR="00017C71" w:rsidRPr="00017C71" w:rsidRDefault="00017C71" w:rsidP="00017C71">
            <w:pPr>
              <w:jc w:val="center"/>
              <w:rPr>
                <w:szCs w:val="20"/>
                <w:lang w:eastAsia="en-GB" w:bidi="bn-BD"/>
              </w:rPr>
            </w:pPr>
            <w:r>
              <w:rPr>
                <w:szCs w:val="20"/>
                <w:lang w:eastAsia="en-GB" w:bidi="bn-BD"/>
              </w:rPr>
              <w:t>5</w:t>
            </w:r>
          </w:p>
        </w:tc>
      </w:tr>
      <w:tr w:rsidR="00017C71" w:rsidRPr="00017C71" w14:paraId="27B3CFEF" w14:textId="77777777" w:rsidTr="00017C71">
        <w:trPr>
          <w:trHeight w:val="300"/>
          <w:jc w:val="center"/>
        </w:trPr>
        <w:tc>
          <w:tcPr>
            <w:tcW w:w="1668" w:type="dxa"/>
            <w:noWrap/>
            <w:hideMark/>
          </w:tcPr>
          <w:p w14:paraId="6941D101" w14:textId="0ED33742" w:rsidR="00017C71" w:rsidRPr="00017C71" w:rsidRDefault="00017C71" w:rsidP="00017C71">
            <w:pPr>
              <w:jc w:val="center"/>
              <w:rPr>
                <w:szCs w:val="20"/>
                <w:lang w:eastAsia="en-GB" w:bidi="bn-BD"/>
              </w:rPr>
            </w:pPr>
            <w:r w:rsidRPr="00017C71">
              <w:rPr>
                <w:szCs w:val="20"/>
                <w:lang w:eastAsia="en-GB" w:bidi="bn-BD"/>
              </w:rPr>
              <w:t>South West</w:t>
            </w:r>
          </w:p>
        </w:tc>
        <w:tc>
          <w:tcPr>
            <w:tcW w:w="1701" w:type="dxa"/>
            <w:noWrap/>
            <w:hideMark/>
          </w:tcPr>
          <w:p w14:paraId="1CFC155E" w14:textId="6892770D" w:rsidR="00017C71" w:rsidRPr="00017C71" w:rsidRDefault="00017C71" w:rsidP="00017C71">
            <w:pPr>
              <w:jc w:val="center"/>
              <w:rPr>
                <w:szCs w:val="20"/>
                <w:lang w:eastAsia="en-GB" w:bidi="bn-BD"/>
              </w:rPr>
            </w:pPr>
            <w:r>
              <w:rPr>
                <w:szCs w:val="20"/>
                <w:lang w:eastAsia="en-GB" w:bidi="bn-BD"/>
              </w:rPr>
              <w:t>311</w:t>
            </w:r>
          </w:p>
        </w:tc>
        <w:tc>
          <w:tcPr>
            <w:tcW w:w="1984" w:type="dxa"/>
            <w:noWrap/>
            <w:hideMark/>
          </w:tcPr>
          <w:p w14:paraId="0DCC703F" w14:textId="48146B55" w:rsidR="00017C71" w:rsidRPr="00017C71" w:rsidRDefault="00017C71" w:rsidP="00017C71">
            <w:pPr>
              <w:jc w:val="center"/>
              <w:rPr>
                <w:szCs w:val="20"/>
                <w:lang w:eastAsia="en-GB" w:bidi="bn-BD"/>
              </w:rPr>
            </w:pPr>
            <w:r>
              <w:rPr>
                <w:szCs w:val="20"/>
                <w:lang w:eastAsia="en-GB" w:bidi="bn-BD"/>
              </w:rPr>
              <w:t>10%</w:t>
            </w:r>
          </w:p>
        </w:tc>
        <w:tc>
          <w:tcPr>
            <w:tcW w:w="1985" w:type="dxa"/>
            <w:noWrap/>
            <w:hideMark/>
          </w:tcPr>
          <w:p w14:paraId="76FAE418" w14:textId="61A10230" w:rsidR="00017C71" w:rsidRPr="00017C71" w:rsidRDefault="00A12652" w:rsidP="00017C71">
            <w:pPr>
              <w:jc w:val="center"/>
              <w:rPr>
                <w:szCs w:val="20"/>
                <w:lang w:eastAsia="en-GB" w:bidi="bn-BD"/>
              </w:rPr>
            </w:pPr>
            <w:r>
              <w:rPr>
                <w:szCs w:val="20"/>
                <w:lang w:eastAsia="en-GB" w:bidi="bn-BD"/>
              </w:rPr>
              <w:t>11%</w:t>
            </w:r>
          </w:p>
        </w:tc>
        <w:tc>
          <w:tcPr>
            <w:tcW w:w="2126" w:type="dxa"/>
            <w:noWrap/>
            <w:hideMark/>
          </w:tcPr>
          <w:p w14:paraId="120D6A4D" w14:textId="636A3328" w:rsidR="00017C71" w:rsidRPr="00017C71" w:rsidRDefault="00017C71" w:rsidP="00017C71">
            <w:pPr>
              <w:jc w:val="center"/>
              <w:rPr>
                <w:szCs w:val="20"/>
                <w:lang w:eastAsia="en-GB" w:bidi="bn-BD"/>
              </w:rPr>
            </w:pPr>
            <w:r>
              <w:rPr>
                <w:szCs w:val="20"/>
                <w:lang w:eastAsia="en-GB" w:bidi="bn-BD"/>
              </w:rPr>
              <w:t>3</w:t>
            </w:r>
          </w:p>
        </w:tc>
      </w:tr>
      <w:tr w:rsidR="00017C71" w:rsidRPr="00017C71" w14:paraId="78824C9A" w14:textId="77777777" w:rsidTr="00017C71">
        <w:trPr>
          <w:trHeight w:val="300"/>
          <w:jc w:val="center"/>
        </w:trPr>
        <w:tc>
          <w:tcPr>
            <w:tcW w:w="1668" w:type="dxa"/>
            <w:noWrap/>
            <w:hideMark/>
          </w:tcPr>
          <w:p w14:paraId="383CD400" w14:textId="6B0484AF" w:rsidR="00017C71" w:rsidRPr="00017C71" w:rsidRDefault="00017C71" w:rsidP="00017C71">
            <w:pPr>
              <w:jc w:val="center"/>
              <w:rPr>
                <w:szCs w:val="20"/>
                <w:lang w:eastAsia="en-GB" w:bidi="bn-BD"/>
              </w:rPr>
            </w:pPr>
            <w:r w:rsidRPr="00017C71">
              <w:rPr>
                <w:szCs w:val="20"/>
                <w:lang w:eastAsia="en-GB" w:bidi="bn-BD"/>
              </w:rPr>
              <w:t>Wales</w:t>
            </w:r>
          </w:p>
        </w:tc>
        <w:tc>
          <w:tcPr>
            <w:tcW w:w="1701" w:type="dxa"/>
            <w:noWrap/>
            <w:hideMark/>
          </w:tcPr>
          <w:p w14:paraId="109DC51E" w14:textId="3FDD7464" w:rsidR="00017C71" w:rsidRPr="00017C71" w:rsidRDefault="00017C71" w:rsidP="00017C71">
            <w:pPr>
              <w:jc w:val="center"/>
              <w:rPr>
                <w:szCs w:val="20"/>
                <w:lang w:eastAsia="en-GB" w:bidi="bn-BD"/>
              </w:rPr>
            </w:pPr>
            <w:r>
              <w:rPr>
                <w:szCs w:val="20"/>
                <w:lang w:eastAsia="en-GB" w:bidi="bn-BD"/>
              </w:rPr>
              <w:t>174</w:t>
            </w:r>
          </w:p>
        </w:tc>
        <w:tc>
          <w:tcPr>
            <w:tcW w:w="1984" w:type="dxa"/>
            <w:noWrap/>
            <w:hideMark/>
          </w:tcPr>
          <w:p w14:paraId="0F9FBD75" w14:textId="3EDEAF9A" w:rsidR="00017C71" w:rsidRPr="00017C71" w:rsidRDefault="00017C71" w:rsidP="00017C71">
            <w:pPr>
              <w:jc w:val="center"/>
              <w:rPr>
                <w:szCs w:val="20"/>
                <w:lang w:eastAsia="en-GB" w:bidi="bn-BD"/>
              </w:rPr>
            </w:pPr>
            <w:r>
              <w:rPr>
                <w:szCs w:val="20"/>
                <w:lang w:eastAsia="en-GB" w:bidi="bn-BD"/>
              </w:rPr>
              <w:t>5%</w:t>
            </w:r>
          </w:p>
        </w:tc>
        <w:tc>
          <w:tcPr>
            <w:tcW w:w="1985" w:type="dxa"/>
            <w:noWrap/>
            <w:hideMark/>
          </w:tcPr>
          <w:p w14:paraId="7E33F5C3" w14:textId="463C1219" w:rsidR="00017C71" w:rsidRPr="00017C71" w:rsidRDefault="00A12652" w:rsidP="00017C71">
            <w:pPr>
              <w:jc w:val="center"/>
              <w:rPr>
                <w:szCs w:val="20"/>
                <w:lang w:eastAsia="en-GB" w:bidi="bn-BD"/>
              </w:rPr>
            </w:pPr>
            <w:r>
              <w:rPr>
                <w:szCs w:val="20"/>
                <w:lang w:eastAsia="en-GB" w:bidi="bn-BD"/>
              </w:rPr>
              <w:t>11%</w:t>
            </w:r>
          </w:p>
        </w:tc>
        <w:tc>
          <w:tcPr>
            <w:tcW w:w="2126" w:type="dxa"/>
            <w:noWrap/>
            <w:hideMark/>
          </w:tcPr>
          <w:p w14:paraId="2A6825E3" w14:textId="7C39801C" w:rsidR="00017C71" w:rsidRPr="00017C71" w:rsidRDefault="00017C71" w:rsidP="00017C71">
            <w:pPr>
              <w:jc w:val="center"/>
              <w:rPr>
                <w:szCs w:val="20"/>
                <w:lang w:eastAsia="en-GB" w:bidi="bn-BD"/>
              </w:rPr>
            </w:pPr>
            <w:r>
              <w:rPr>
                <w:szCs w:val="20"/>
                <w:lang w:eastAsia="en-GB" w:bidi="bn-BD"/>
              </w:rPr>
              <w:t>3</w:t>
            </w:r>
          </w:p>
        </w:tc>
      </w:tr>
      <w:tr w:rsidR="00017C71" w:rsidRPr="00017C71" w14:paraId="6AD8D00A" w14:textId="77777777" w:rsidTr="00017C71">
        <w:trPr>
          <w:trHeight w:val="300"/>
          <w:jc w:val="center"/>
        </w:trPr>
        <w:tc>
          <w:tcPr>
            <w:tcW w:w="1668" w:type="dxa"/>
            <w:noWrap/>
            <w:hideMark/>
          </w:tcPr>
          <w:p w14:paraId="39C1B9AA" w14:textId="10C08A8C" w:rsidR="00017C71" w:rsidRPr="00017C71" w:rsidRDefault="00017C71" w:rsidP="00017C71">
            <w:pPr>
              <w:jc w:val="center"/>
              <w:rPr>
                <w:szCs w:val="20"/>
                <w:lang w:eastAsia="en-GB" w:bidi="bn-BD"/>
              </w:rPr>
            </w:pPr>
            <w:r w:rsidRPr="00017C71">
              <w:rPr>
                <w:szCs w:val="20"/>
                <w:lang w:eastAsia="en-GB" w:bidi="bn-BD"/>
              </w:rPr>
              <w:t>Scotland</w:t>
            </w:r>
          </w:p>
        </w:tc>
        <w:tc>
          <w:tcPr>
            <w:tcW w:w="1701" w:type="dxa"/>
            <w:noWrap/>
            <w:hideMark/>
          </w:tcPr>
          <w:p w14:paraId="57FC8333" w14:textId="7D82BFC6" w:rsidR="00017C71" w:rsidRPr="00017C71" w:rsidRDefault="00017C71" w:rsidP="00017C71">
            <w:pPr>
              <w:jc w:val="center"/>
              <w:rPr>
                <w:szCs w:val="20"/>
                <w:lang w:eastAsia="en-GB" w:bidi="bn-BD"/>
              </w:rPr>
            </w:pPr>
            <w:r>
              <w:rPr>
                <w:szCs w:val="20"/>
                <w:lang w:eastAsia="en-GB" w:bidi="bn-BD"/>
              </w:rPr>
              <w:t>275</w:t>
            </w:r>
          </w:p>
        </w:tc>
        <w:tc>
          <w:tcPr>
            <w:tcW w:w="1984" w:type="dxa"/>
            <w:noWrap/>
            <w:hideMark/>
          </w:tcPr>
          <w:p w14:paraId="0D423092" w14:textId="238CD861" w:rsidR="00017C71" w:rsidRPr="00017C71" w:rsidRDefault="00017C71" w:rsidP="00017C71">
            <w:pPr>
              <w:jc w:val="center"/>
              <w:rPr>
                <w:szCs w:val="20"/>
                <w:lang w:eastAsia="en-GB" w:bidi="bn-BD"/>
              </w:rPr>
            </w:pPr>
            <w:r>
              <w:rPr>
                <w:szCs w:val="20"/>
                <w:lang w:eastAsia="en-GB" w:bidi="bn-BD"/>
              </w:rPr>
              <w:t>9%</w:t>
            </w:r>
          </w:p>
        </w:tc>
        <w:tc>
          <w:tcPr>
            <w:tcW w:w="1985" w:type="dxa"/>
            <w:noWrap/>
            <w:hideMark/>
          </w:tcPr>
          <w:p w14:paraId="3F4DF9E0" w14:textId="6D5DFC5A" w:rsidR="00017C71" w:rsidRPr="00017C71" w:rsidRDefault="00A12652" w:rsidP="00017C71">
            <w:pPr>
              <w:jc w:val="center"/>
              <w:rPr>
                <w:szCs w:val="20"/>
                <w:lang w:eastAsia="en-GB" w:bidi="bn-BD"/>
              </w:rPr>
            </w:pPr>
            <w:r>
              <w:rPr>
                <w:szCs w:val="20"/>
                <w:lang w:eastAsia="en-GB" w:bidi="bn-BD"/>
              </w:rPr>
              <w:t>10%</w:t>
            </w:r>
          </w:p>
        </w:tc>
        <w:tc>
          <w:tcPr>
            <w:tcW w:w="2126" w:type="dxa"/>
            <w:noWrap/>
            <w:hideMark/>
          </w:tcPr>
          <w:p w14:paraId="2D77DFFE" w14:textId="44F4B8AB" w:rsidR="00017C71" w:rsidRPr="00017C71" w:rsidRDefault="00017C71" w:rsidP="00017C71">
            <w:pPr>
              <w:jc w:val="center"/>
              <w:rPr>
                <w:szCs w:val="20"/>
                <w:lang w:eastAsia="en-GB" w:bidi="bn-BD"/>
              </w:rPr>
            </w:pPr>
            <w:r>
              <w:rPr>
                <w:szCs w:val="20"/>
                <w:lang w:eastAsia="en-GB" w:bidi="bn-BD"/>
              </w:rPr>
              <w:t>3</w:t>
            </w:r>
          </w:p>
        </w:tc>
      </w:tr>
      <w:tr w:rsidR="00017C71" w:rsidRPr="00017C71" w14:paraId="298932E3" w14:textId="77777777" w:rsidTr="00017C71">
        <w:trPr>
          <w:trHeight w:val="300"/>
          <w:jc w:val="center"/>
        </w:trPr>
        <w:tc>
          <w:tcPr>
            <w:tcW w:w="1668" w:type="dxa"/>
            <w:noWrap/>
            <w:hideMark/>
          </w:tcPr>
          <w:p w14:paraId="1AB1F563" w14:textId="18D035BA" w:rsidR="00017C71" w:rsidRPr="00017C71" w:rsidRDefault="00017C71" w:rsidP="00017C71">
            <w:pPr>
              <w:jc w:val="center"/>
              <w:rPr>
                <w:szCs w:val="20"/>
                <w:lang w:eastAsia="en-GB" w:bidi="bn-BD"/>
              </w:rPr>
            </w:pPr>
            <w:r w:rsidRPr="00017C71">
              <w:rPr>
                <w:szCs w:val="20"/>
                <w:lang w:eastAsia="en-GB" w:bidi="bn-BD"/>
              </w:rPr>
              <w:t>Northern Ireland</w:t>
            </w:r>
          </w:p>
        </w:tc>
        <w:tc>
          <w:tcPr>
            <w:tcW w:w="1701" w:type="dxa"/>
            <w:noWrap/>
            <w:hideMark/>
          </w:tcPr>
          <w:p w14:paraId="381FA437" w14:textId="61FC2626" w:rsidR="00017C71" w:rsidRPr="00017C71" w:rsidRDefault="00017C71" w:rsidP="00017C71">
            <w:pPr>
              <w:jc w:val="center"/>
              <w:rPr>
                <w:szCs w:val="20"/>
                <w:lang w:eastAsia="en-GB" w:bidi="bn-BD"/>
              </w:rPr>
            </w:pPr>
            <w:r>
              <w:rPr>
                <w:szCs w:val="20"/>
                <w:lang w:eastAsia="en-GB" w:bidi="bn-BD"/>
              </w:rPr>
              <w:t>73</w:t>
            </w:r>
          </w:p>
        </w:tc>
        <w:tc>
          <w:tcPr>
            <w:tcW w:w="1984" w:type="dxa"/>
            <w:noWrap/>
            <w:hideMark/>
          </w:tcPr>
          <w:p w14:paraId="30EBB63C" w14:textId="1091BB79" w:rsidR="00017C71" w:rsidRPr="00017C71" w:rsidRDefault="00017C71" w:rsidP="00017C71">
            <w:pPr>
              <w:jc w:val="center"/>
              <w:rPr>
                <w:szCs w:val="20"/>
                <w:lang w:eastAsia="en-GB" w:bidi="bn-BD"/>
              </w:rPr>
            </w:pPr>
            <w:r>
              <w:rPr>
                <w:szCs w:val="20"/>
                <w:lang w:eastAsia="en-GB" w:bidi="bn-BD"/>
              </w:rPr>
              <w:t>2%</w:t>
            </w:r>
          </w:p>
        </w:tc>
        <w:tc>
          <w:tcPr>
            <w:tcW w:w="1985" w:type="dxa"/>
            <w:noWrap/>
            <w:hideMark/>
          </w:tcPr>
          <w:p w14:paraId="5DBAF6FC" w14:textId="23C042C3" w:rsidR="00017C71" w:rsidRPr="00017C71" w:rsidRDefault="00A12652" w:rsidP="00017C71">
            <w:pPr>
              <w:jc w:val="center"/>
              <w:rPr>
                <w:szCs w:val="20"/>
                <w:lang w:eastAsia="en-GB" w:bidi="bn-BD"/>
              </w:rPr>
            </w:pPr>
            <w:r>
              <w:rPr>
                <w:szCs w:val="20"/>
                <w:lang w:eastAsia="en-GB" w:bidi="bn-BD"/>
              </w:rPr>
              <w:t>8%</w:t>
            </w:r>
          </w:p>
        </w:tc>
        <w:tc>
          <w:tcPr>
            <w:tcW w:w="2126" w:type="dxa"/>
            <w:noWrap/>
            <w:hideMark/>
          </w:tcPr>
          <w:p w14:paraId="68A1FD8F" w14:textId="7B5D53C1" w:rsidR="00017C71" w:rsidRPr="00017C71" w:rsidRDefault="00017C71" w:rsidP="00017C71">
            <w:pPr>
              <w:jc w:val="center"/>
              <w:rPr>
                <w:szCs w:val="20"/>
                <w:lang w:eastAsia="en-GB" w:bidi="bn-BD"/>
              </w:rPr>
            </w:pPr>
            <w:r>
              <w:rPr>
                <w:szCs w:val="20"/>
                <w:lang w:eastAsia="en-GB" w:bidi="bn-BD"/>
              </w:rPr>
              <w:t>5</w:t>
            </w:r>
          </w:p>
        </w:tc>
      </w:tr>
      <w:tr w:rsidR="00017C71" w:rsidRPr="00017C71" w14:paraId="7913F04B" w14:textId="77777777" w:rsidTr="00017C71">
        <w:trPr>
          <w:trHeight w:val="300"/>
          <w:jc w:val="center"/>
        </w:trPr>
        <w:tc>
          <w:tcPr>
            <w:tcW w:w="1668" w:type="dxa"/>
            <w:noWrap/>
            <w:hideMark/>
          </w:tcPr>
          <w:p w14:paraId="0F720370" w14:textId="45365415" w:rsidR="00017C71" w:rsidRPr="00017C71" w:rsidRDefault="00017C71" w:rsidP="00017C71">
            <w:pPr>
              <w:jc w:val="center"/>
              <w:rPr>
                <w:szCs w:val="20"/>
                <w:lang w:eastAsia="en-GB" w:bidi="bn-BD"/>
              </w:rPr>
            </w:pPr>
            <w:r w:rsidRPr="00017C71">
              <w:rPr>
                <w:szCs w:val="20"/>
                <w:lang w:eastAsia="en-GB" w:bidi="bn-BD"/>
              </w:rPr>
              <w:t>Total UK</w:t>
            </w:r>
          </w:p>
        </w:tc>
        <w:tc>
          <w:tcPr>
            <w:tcW w:w="1701" w:type="dxa"/>
            <w:noWrap/>
            <w:hideMark/>
          </w:tcPr>
          <w:p w14:paraId="23FA926A" w14:textId="6E017B66" w:rsidR="00017C71" w:rsidRPr="00017C71" w:rsidRDefault="00017C71" w:rsidP="00017C71">
            <w:pPr>
              <w:jc w:val="center"/>
              <w:rPr>
                <w:szCs w:val="20"/>
                <w:lang w:eastAsia="en-GB" w:bidi="bn-BD"/>
              </w:rPr>
            </w:pPr>
            <w:r>
              <w:rPr>
                <w:szCs w:val="20"/>
                <w:lang w:eastAsia="en-GB" w:bidi="bn-BD"/>
              </w:rPr>
              <w:t>3198</w:t>
            </w:r>
          </w:p>
        </w:tc>
        <w:tc>
          <w:tcPr>
            <w:tcW w:w="1984" w:type="dxa"/>
            <w:noWrap/>
            <w:hideMark/>
          </w:tcPr>
          <w:p w14:paraId="5ECFC539" w14:textId="2FD87253" w:rsidR="00017C71" w:rsidRPr="00017C71" w:rsidRDefault="00017C71" w:rsidP="00017C71">
            <w:pPr>
              <w:jc w:val="center"/>
              <w:rPr>
                <w:szCs w:val="20"/>
                <w:lang w:eastAsia="en-GB" w:bidi="bn-BD"/>
              </w:rPr>
            </w:pPr>
            <w:r>
              <w:rPr>
                <w:szCs w:val="20"/>
                <w:lang w:eastAsia="en-GB" w:bidi="bn-BD"/>
              </w:rPr>
              <w:t>100%</w:t>
            </w:r>
          </w:p>
        </w:tc>
        <w:tc>
          <w:tcPr>
            <w:tcW w:w="1985" w:type="dxa"/>
            <w:noWrap/>
            <w:hideMark/>
          </w:tcPr>
          <w:p w14:paraId="63CDF7F1" w14:textId="73CA1A6E" w:rsidR="00017C71" w:rsidRPr="00017C71" w:rsidRDefault="00A12652" w:rsidP="00017C71">
            <w:pPr>
              <w:jc w:val="center"/>
              <w:rPr>
                <w:szCs w:val="20"/>
                <w:lang w:eastAsia="en-GB" w:bidi="bn-BD"/>
              </w:rPr>
            </w:pPr>
            <w:r>
              <w:rPr>
                <w:szCs w:val="20"/>
                <w:lang w:eastAsia="en-GB" w:bidi="bn-BD"/>
              </w:rPr>
              <w:t>9%</w:t>
            </w:r>
          </w:p>
        </w:tc>
        <w:tc>
          <w:tcPr>
            <w:tcW w:w="2126" w:type="dxa"/>
            <w:noWrap/>
            <w:hideMark/>
          </w:tcPr>
          <w:p w14:paraId="6FADC964" w14:textId="0BF74A04" w:rsidR="00017C71" w:rsidRPr="00017C71" w:rsidRDefault="00017C71" w:rsidP="00017C71">
            <w:pPr>
              <w:jc w:val="center"/>
              <w:rPr>
                <w:szCs w:val="20"/>
                <w:lang w:eastAsia="en-GB" w:bidi="bn-BD"/>
              </w:rPr>
            </w:pPr>
            <w:r>
              <w:rPr>
                <w:szCs w:val="20"/>
                <w:lang w:eastAsia="en-GB" w:bidi="bn-BD"/>
              </w:rPr>
              <w:t>3</w:t>
            </w:r>
          </w:p>
        </w:tc>
      </w:tr>
    </w:tbl>
    <w:p w14:paraId="1A3E8D4D" w14:textId="7E2A32D1" w:rsidR="00017C71" w:rsidRDefault="00A12652" w:rsidP="00A12652">
      <w:pPr>
        <w:pStyle w:val="Heading2"/>
        <w:jc w:val="center"/>
      </w:pPr>
      <w:r>
        <w:t>Table: Hospitality employment on a regional level</w:t>
      </w:r>
    </w:p>
    <w:p w14:paraId="33EC7F93" w14:textId="2C548CA0" w:rsidR="00341D1D" w:rsidRPr="00341D1D" w:rsidRDefault="00341D1D" w:rsidP="00341D1D">
      <w:pPr>
        <w:jc w:val="center"/>
        <w:rPr>
          <w:lang w:val="en-US"/>
        </w:rPr>
      </w:pPr>
      <w:r>
        <w:rPr>
          <w:lang w:val="en-US"/>
        </w:rPr>
        <w:t>Source:(Author)</w:t>
      </w:r>
    </w:p>
    <w:p w14:paraId="00988DEA" w14:textId="245E8D10" w:rsidR="005741DB" w:rsidRDefault="005741DB" w:rsidP="005741DB">
      <w:r>
        <w:t>To tackle this problem, hotels should give workers with competitive compensation, a nice work environment, and career advancement chances. If hotels want to preserve their competitive advantage, continue to attract and retain skilled employees, and stay abreast of changes in customer preferences and business practices, they must be able to adapt to these changes</w:t>
      </w:r>
      <w:r w:rsidR="008539EB">
        <w:t xml:space="preserve"> </w:t>
      </w:r>
      <w:r w:rsidR="008539EB" w:rsidRPr="008539EB">
        <w:t>(Suharti and Setiawati, 2018)</w:t>
      </w:r>
      <w:r>
        <w:t xml:space="preserve">. Providing competitive pay and </w:t>
      </w:r>
      <w:r>
        <w:lastRenderedPageBreak/>
        <w:t>giving comparable benefits to those offered by rival companies is one technique for attracting and keeping the most brilliant employees</w:t>
      </w:r>
      <w:r w:rsidR="008539EB">
        <w:t xml:space="preserve"> </w:t>
      </w:r>
      <w:r w:rsidR="008539EB" w:rsidRPr="008539EB">
        <w:t>(Schuster and Zingheim, 1996)</w:t>
      </w:r>
      <w:r>
        <w:t>. If hotels paid their workers an hourly pay over the national average, they might recruit and keep personnel for longer periods, as well as charge higher prices for their services. For instance, the high number of long-term employees at The Ritz-Carlton may be due in significant part to the hotel's extensive benefits package and professional progression chances</w:t>
      </w:r>
      <w:r w:rsidR="008539EB">
        <w:t xml:space="preserve"> </w:t>
      </w:r>
      <w:r w:rsidR="008539EB" w:rsidRPr="008539EB">
        <w:t>(Gibson, 2013)</w:t>
      </w:r>
      <w:r>
        <w:t>. The issue of employee burnout and absenteeism might also be addressed by altering the ambience of the workplace. To achieve this objective, hotels will need to give their workers a better work-life balance by reducing the number of consecutive days that employees are needed to work and the number of hours that employees are expected to put in each day. The four-day workweek established at Premier Inn has dramatically decreased the number of sick days used by workers and improved employee morale</w:t>
      </w:r>
      <w:r w:rsidR="008539EB">
        <w:t xml:space="preserve"> </w:t>
      </w:r>
      <w:r w:rsidR="008539EB" w:rsidRPr="008539EB">
        <w:t>(Reidhead, 2022)</w:t>
      </w:r>
      <w:r>
        <w:t>. In the UK hotel industry, there is a high rate of employee turnover; this issue might be mitigated by providing personnel with opportunities to improve their skills. If hotel employers provide possibilities for professional improvement and the development of new skills, they can maintain an engaged and motivated staff</w:t>
      </w:r>
      <w:r w:rsidR="008539EB">
        <w:t xml:space="preserve"> </w:t>
      </w:r>
      <w:r w:rsidR="008539EB" w:rsidRPr="008539EB">
        <w:t>(Iversen, 2022)</w:t>
      </w:r>
      <w:r>
        <w:t>. Hilton Worldwide, for instance, launched Hilton University, an online learning centre that gives employees access to a variety of resources meant to further their careers. Lastly, hotels must give their employees opportunities to further their careers inside the organisation</w:t>
      </w:r>
      <w:r w:rsidR="008539EB">
        <w:t xml:space="preserve"> </w:t>
      </w:r>
      <w:r w:rsidR="008539EB" w:rsidRPr="008539EB">
        <w:t>(Ivanova, Ivanov and Magnini, 2016)</w:t>
      </w:r>
      <w:r>
        <w:t>. When an employer encourages workers to improve their careers and assume more responsibilities, they are more likely to stay with the firm for a longer amount of time. Marriott International, for instance, offers its employees access to the Marriott Management Development Program so that they may acquire the essential skills to progress their careers within the organisation.</w:t>
      </w:r>
    </w:p>
    <w:p w14:paraId="681DD91D" w14:textId="77777777" w:rsidR="006561D2" w:rsidRDefault="006561D2" w:rsidP="006561D2">
      <w:pPr>
        <w:pStyle w:val="Heading1"/>
      </w:pPr>
      <w:bookmarkStart w:id="3" w:name="_Toc128613695"/>
      <w:r>
        <w:t>Evaluation</w:t>
      </w:r>
      <w:bookmarkEnd w:id="3"/>
    </w:p>
    <w:p w14:paraId="43B79FE1" w14:textId="0689A8FA" w:rsidR="000B40F0" w:rsidRDefault="000B40F0" w:rsidP="000B40F0">
      <w:r>
        <w:t xml:space="preserve">The high turnover rate at Seaham Hall Hotel, as well as the high turnover rate in the hotel industry as a whole in the United Kingdom, can be attributed to a number of factors, including but not limited to: low pay, long and unpleasant hours, restricted promotion opportunities, Brexit, Covid, and inflation, to name just a few. As a </w:t>
      </w:r>
      <w:r>
        <w:lastRenderedPageBreak/>
        <w:t>consequence of this, hotels are having problems recruiting and retaining skilled workers, which has a domino effect on the overall quality of service and productivity in the industry</w:t>
      </w:r>
      <w:r w:rsidR="008539EB">
        <w:t xml:space="preserve"> </w:t>
      </w:r>
      <w:r w:rsidR="008539EB" w:rsidRPr="008539EB">
        <w:t>(Bernard et al., 2022)</w:t>
      </w:r>
      <w:r>
        <w:t>.</w:t>
      </w:r>
    </w:p>
    <w:p w14:paraId="767D4D88" w14:textId="00AA0F6F" w:rsidR="000B40F0" w:rsidRDefault="000B40F0" w:rsidP="000B40F0">
      <w:r>
        <w:t>The Seaham Hall Hotel offers a variety of solutions to choose from in order to deal with these difficulties. It is possible that the hotel's ability to compete in the market may be improved by increasing the staff's pay and giving additional benefits. Some examples of desirable benefits include monetary compensation, the opportunity to shape one's own work schedule, and access to medical insurance. Second, the firm may make it a top priority to give its employees a nice and inviting work environment that stimulates both personal and professional development. This may be a benefit that the company offers. In order to maintain the employees' interest in their work and their dedication to the success of the hotel, management at the establishment may provide the staff members with opportunities for professional development and advancement. This might be accomplished via a variety of means, including alternate work schedules, mentorship programmes, and frequent performance reviews.</w:t>
      </w:r>
    </w:p>
    <w:p w14:paraId="32C0221E" w14:textId="171ED2D8" w:rsidR="006561D2" w:rsidRDefault="000B40F0" w:rsidP="000B40F0">
      <w:r>
        <w:t>In addition, the Seaham Hall Hotel is able to streamline its company operations via the use of modern technology and the execution of automated processes, therefore minimising the amount of stress placed on its workforce. One illustration of this would be the use of digital resources to perform tasks like scheduling, inventory management, and customer support.</w:t>
      </w:r>
    </w:p>
    <w:p w14:paraId="6CAD2539" w14:textId="77777777" w:rsidR="007C4E93" w:rsidRDefault="007C4E93">
      <w:pPr>
        <w:spacing w:after="160" w:line="259" w:lineRule="auto"/>
        <w:jc w:val="left"/>
        <w:rPr>
          <w:rFonts w:eastAsiaTheme="majorEastAsia" w:cstheme="majorBidi"/>
          <w:b/>
          <w:sz w:val="32"/>
          <w:szCs w:val="32"/>
        </w:rPr>
      </w:pPr>
      <w:r>
        <w:br w:type="page"/>
      </w:r>
    </w:p>
    <w:p w14:paraId="741F5089" w14:textId="1727CB40" w:rsidR="006561D2" w:rsidRDefault="006561D2" w:rsidP="006561D2">
      <w:pPr>
        <w:pStyle w:val="Heading1"/>
      </w:pPr>
      <w:bookmarkStart w:id="4" w:name="_Toc128613696"/>
      <w:r>
        <w:lastRenderedPageBreak/>
        <w:t>Conclusion</w:t>
      </w:r>
      <w:bookmarkEnd w:id="4"/>
    </w:p>
    <w:p w14:paraId="42338587" w14:textId="1BDF9685" w:rsidR="007C4E93" w:rsidRDefault="00F32306">
      <w:r w:rsidRPr="00F32306">
        <w:t xml:space="preserve">The hospitality business in the United Kingdom has substantial difficulty in the form of high staff turnover; overcoming this problem will need a multifaceted strategy that </w:t>
      </w:r>
      <w:proofErr w:type="gramStart"/>
      <w:r w:rsidRPr="00F32306">
        <w:t>takes into account</w:t>
      </w:r>
      <w:proofErr w:type="gramEnd"/>
      <w:r w:rsidRPr="00F32306">
        <w:t xml:space="preserve"> aspects such as remuneration, working conditions, corporate culture, and the use of technology. If Seaham Hall Hotel makes these improvements, it will be able to increase its productivity, retain more of its most talented employees, and give its customers improved service.</w:t>
      </w:r>
    </w:p>
    <w:p w14:paraId="6B9E3FDC" w14:textId="77777777" w:rsidR="007C4E93" w:rsidRDefault="007C4E93">
      <w:pPr>
        <w:spacing w:after="160" w:line="259" w:lineRule="auto"/>
        <w:jc w:val="left"/>
      </w:pPr>
      <w:r>
        <w:br w:type="page"/>
      </w:r>
    </w:p>
    <w:p w14:paraId="127C5583" w14:textId="77777777" w:rsidR="008539EB" w:rsidRDefault="008539EB" w:rsidP="008539EB">
      <w:pPr>
        <w:pStyle w:val="Heading1"/>
        <w:rPr>
          <w:rFonts w:ascii="Times New Roman" w:hAnsi="Times New Roman"/>
        </w:rPr>
      </w:pPr>
      <w:bookmarkStart w:id="5" w:name="_Toc128613697"/>
      <w:r>
        <w:lastRenderedPageBreak/>
        <w:t>Reference list</w:t>
      </w:r>
      <w:bookmarkEnd w:id="5"/>
    </w:p>
    <w:p w14:paraId="46E9486C" w14:textId="77777777" w:rsidR="008539EB" w:rsidRDefault="008539EB" w:rsidP="008539EB">
      <w:pPr>
        <w:jc w:val="left"/>
        <w:rPr>
          <w:szCs w:val="24"/>
        </w:rPr>
      </w:pPr>
      <w:r>
        <w:t xml:space="preserve">Alshurideh, M.T., Hassanien, A.E. and Masa’deh, R. (2021). </w:t>
      </w:r>
      <w:r>
        <w:rPr>
          <w:i/>
          <w:iCs/>
        </w:rPr>
        <w:t>The effect of coronavirus disease (COVID-19) on business intelligence</w:t>
      </w:r>
      <w:r>
        <w:t>. Cham: Springer.</w:t>
      </w:r>
    </w:p>
    <w:p w14:paraId="7E8C3C29" w14:textId="77777777" w:rsidR="008539EB" w:rsidRDefault="008539EB" w:rsidP="008539EB">
      <w:pPr>
        <w:jc w:val="left"/>
      </w:pPr>
      <w:r>
        <w:t xml:space="preserve">Bernard, S., Rahman, I., Liu, S. and Nanu, L. (2022). COVID-19 and hospitality services: The role of information sources, believability, fear, and behavioral intentions. </w:t>
      </w:r>
      <w:r>
        <w:rPr>
          <w:i/>
          <w:iCs/>
        </w:rPr>
        <w:t>Journal of Global Hospitality and Tourism</w:t>
      </w:r>
      <w:r>
        <w:t>, 1(2), pp.110–127. doi:https://doi.org/10.5038/2771-5957.1.2.1009.</w:t>
      </w:r>
    </w:p>
    <w:p w14:paraId="64ECE46F" w14:textId="77777777" w:rsidR="008539EB" w:rsidRDefault="008539EB" w:rsidP="008539EB">
      <w:pPr>
        <w:jc w:val="left"/>
      </w:pPr>
      <w:r>
        <w:t xml:space="preserve">Crosse, N. (2014). </w:t>
      </w:r>
      <w:r>
        <w:rPr>
          <w:i/>
          <w:iCs/>
        </w:rPr>
        <w:t>British Hotels, Inns, and Other Places</w:t>
      </w:r>
      <w:r>
        <w:t>. Alastair Sawday Publishing Company Limited.</w:t>
      </w:r>
    </w:p>
    <w:p w14:paraId="6F0453C2" w14:textId="77777777" w:rsidR="008539EB" w:rsidRDefault="008539EB" w:rsidP="008539EB">
      <w:pPr>
        <w:jc w:val="left"/>
      </w:pPr>
      <w:r>
        <w:t xml:space="preserve">Drahokoupil, J. and Müller, T. (2021). Job retention schemes in Europe: a lifeline during the Covid-19 pandemic. </w:t>
      </w:r>
      <w:r>
        <w:rPr>
          <w:i/>
          <w:iCs/>
        </w:rPr>
        <w:t>SSRN Electronic Journal</w:t>
      </w:r>
      <w:r>
        <w:t>. doi:https://doi.org/10.2139/ssrn.3931230.</w:t>
      </w:r>
    </w:p>
    <w:p w14:paraId="140E26BA" w14:textId="77777777" w:rsidR="008539EB" w:rsidRDefault="008539EB" w:rsidP="008539EB">
      <w:pPr>
        <w:jc w:val="left"/>
      </w:pPr>
      <w:r>
        <w:t xml:space="preserve">Ghani, B., Zada, M. and Memon, K.R. (2022). Challenges and Strategies for Employee Retention in the Hospitality Industry: A Review. </w:t>
      </w:r>
      <w:r>
        <w:rPr>
          <w:i/>
          <w:iCs/>
        </w:rPr>
        <w:t>Sustainability</w:t>
      </w:r>
      <w:r>
        <w:t>, [online] 14(5), p.2885. doi:https://doi.org/10.3390/su14052885.</w:t>
      </w:r>
    </w:p>
    <w:p w14:paraId="7DF05AC0" w14:textId="77777777" w:rsidR="008539EB" w:rsidRDefault="008539EB" w:rsidP="008539EB">
      <w:pPr>
        <w:jc w:val="left"/>
      </w:pPr>
      <w:r>
        <w:t xml:space="preserve">Gibson, P. (2013). </w:t>
      </w:r>
      <w:r>
        <w:rPr>
          <w:i/>
          <w:iCs/>
        </w:rPr>
        <w:t>The World of Customer Service</w:t>
      </w:r>
      <w:r>
        <w:t>. Cengage Learning.</w:t>
      </w:r>
    </w:p>
    <w:p w14:paraId="08D665E6" w14:textId="77777777" w:rsidR="008539EB" w:rsidRDefault="008539EB" w:rsidP="008539EB">
      <w:pPr>
        <w:jc w:val="left"/>
      </w:pPr>
      <w:r>
        <w:t xml:space="preserve">Goldstein, H.W., Pulakos, E.D., Passmore, J. and Semedo, C. (2017). </w:t>
      </w:r>
      <w:r>
        <w:rPr>
          <w:i/>
          <w:iCs/>
        </w:rPr>
        <w:t>The Wiley Blackwell handbook of the psychology of recruitment, selection and employee retention</w:t>
      </w:r>
      <w:r>
        <w:t>. Chichester, West Sussex Wiley Blackwell.</w:t>
      </w:r>
    </w:p>
    <w:p w14:paraId="240FDCA2" w14:textId="77777777" w:rsidR="008539EB" w:rsidRDefault="008539EB" w:rsidP="008539EB">
      <w:pPr>
        <w:jc w:val="left"/>
      </w:pPr>
      <w:r>
        <w:t xml:space="preserve">Ishchy, U.B. (2018). Financial Impact of Brexit. </w:t>
      </w:r>
      <w:r>
        <w:rPr>
          <w:i/>
          <w:iCs/>
        </w:rPr>
        <w:t>SSRN Electronic Journal</w:t>
      </w:r>
      <w:r>
        <w:t>. doi:https://doi.org/10.2139/ssrn.3308398.</w:t>
      </w:r>
    </w:p>
    <w:p w14:paraId="0F8FEF8C" w14:textId="77777777" w:rsidR="008539EB" w:rsidRDefault="008539EB" w:rsidP="008539EB">
      <w:pPr>
        <w:jc w:val="left"/>
      </w:pPr>
      <w:r>
        <w:t xml:space="preserve">Ivanova, M., Ivanov, S. and Magnini, V.P. (2016). </w:t>
      </w:r>
      <w:r>
        <w:rPr>
          <w:i/>
          <w:iCs/>
        </w:rPr>
        <w:t>The Routledge Handbook of Hotel Chain Management</w:t>
      </w:r>
      <w:r>
        <w:t>. Routledge.</w:t>
      </w:r>
    </w:p>
    <w:p w14:paraId="1FE58648" w14:textId="77777777" w:rsidR="008539EB" w:rsidRDefault="008539EB" w:rsidP="008539EB">
      <w:pPr>
        <w:jc w:val="left"/>
      </w:pPr>
      <w:r>
        <w:t xml:space="preserve">Iversen, R. (2022). </w:t>
      </w:r>
      <w:r>
        <w:rPr>
          <w:i/>
          <w:iCs/>
        </w:rPr>
        <w:t>What Workers Say</w:t>
      </w:r>
      <w:r>
        <w:t>. Temple University Press.</w:t>
      </w:r>
    </w:p>
    <w:p w14:paraId="435D4961" w14:textId="77777777" w:rsidR="008539EB" w:rsidRDefault="008539EB" w:rsidP="008539EB">
      <w:pPr>
        <w:jc w:val="left"/>
      </w:pPr>
      <w:r>
        <w:t xml:space="preserve">Lisauskaite, E. (2022). Matching Efficiency and Heterogeneous Workers in the UK. </w:t>
      </w:r>
      <w:r>
        <w:rPr>
          <w:i/>
          <w:iCs/>
        </w:rPr>
        <w:t>SSRN Electronic Journal</w:t>
      </w:r>
      <w:r>
        <w:t>. doi:https://doi.org/10.2139/ssrn.4241588.</w:t>
      </w:r>
    </w:p>
    <w:p w14:paraId="6CD4E42E" w14:textId="77777777" w:rsidR="008539EB" w:rsidRDefault="008539EB" w:rsidP="008539EB">
      <w:pPr>
        <w:jc w:val="left"/>
      </w:pPr>
      <w:r>
        <w:lastRenderedPageBreak/>
        <w:t xml:space="preserve">McGunnigle, P.J. and Jameson, S.M. (2014). HRM in UK hotels: a focus on commitment. </w:t>
      </w:r>
      <w:r>
        <w:rPr>
          <w:i/>
          <w:iCs/>
        </w:rPr>
        <w:t>Employee Relations</w:t>
      </w:r>
      <w:r>
        <w:t>, 22(4), pp.403–422. doi:https://doi.org/10.1108/01425450010340380.</w:t>
      </w:r>
    </w:p>
    <w:p w14:paraId="3E429FAA" w14:textId="77777777" w:rsidR="008539EB" w:rsidRDefault="008539EB" w:rsidP="008539EB">
      <w:pPr>
        <w:jc w:val="left"/>
      </w:pPr>
      <w:r>
        <w:t xml:space="preserve">Mehta, K. and Panse, C. (2022). Effect of Covid-19 pandemic: tourism and hospitality industry. </w:t>
      </w:r>
      <w:r>
        <w:rPr>
          <w:i/>
          <w:iCs/>
        </w:rPr>
        <w:t>CARDIOMETRY</w:t>
      </w:r>
      <w:r>
        <w:t>, (22), pp.406–414. doi:https://doi.org/10.18137/cardiometry.2022.22.406414.</w:t>
      </w:r>
    </w:p>
    <w:p w14:paraId="1CF4066A" w14:textId="77777777" w:rsidR="008539EB" w:rsidRDefault="008539EB" w:rsidP="008539EB">
      <w:pPr>
        <w:jc w:val="left"/>
      </w:pPr>
      <w:r>
        <w:t xml:space="preserve">Polinkevych, O. (2021). SMM-Promotion of Innovative Services in the Hotel and Restaurant Business During the COVID-19 Pandemic. </w:t>
      </w:r>
      <w:r>
        <w:rPr>
          <w:i/>
          <w:iCs/>
        </w:rPr>
        <w:t>Restaurant and hotel consulting. Innovations</w:t>
      </w:r>
      <w:r>
        <w:t>, 4(2), pp.206–222. doi:https://doi.org/10.31866/2616-7468.4.2.2021.249066.</w:t>
      </w:r>
    </w:p>
    <w:p w14:paraId="58A6D930" w14:textId="77777777" w:rsidR="008539EB" w:rsidRDefault="008539EB" w:rsidP="008539EB">
      <w:pPr>
        <w:jc w:val="left"/>
      </w:pPr>
      <w:r>
        <w:t xml:space="preserve">Reidhead, C. (2022). Competency and Ability of Workers in Four Day Work Week. </w:t>
      </w:r>
      <w:r>
        <w:rPr>
          <w:i/>
          <w:iCs/>
        </w:rPr>
        <w:t>International Journal of Multidisciplinary Research and Analysis</w:t>
      </w:r>
      <w:r>
        <w:t>, 05(08). doi:https://doi.org/10.47191/ijmra/v5-i8-04.</w:t>
      </w:r>
    </w:p>
    <w:p w14:paraId="13E6E79F" w14:textId="77777777" w:rsidR="008539EB" w:rsidRDefault="008539EB" w:rsidP="008539EB">
      <w:pPr>
        <w:jc w:val="left"/>
      </w:pPr>
      <w:r>
        <w:t xml:space="preserve">Saridakis, G. (2016). </w:t>
      </w:r>
      <w:r>
        <w:rPr>
          <w:i/>
          <w:iCs/>
        </w:rPr>
        <w:t>Research Handbook on Employee Turnover</w:t>
      </w:r>
      <w:r>
        <w:t>. Edward Elgar Publishing.</w:t>
      </w:r>
    </w:p>
    <w:p w14:paraId="1C5088CB" w14:textId="77777777" w:rsidR="008539EB" w:rsidRDefault="008539EB" w:rsidP="008539EB">
      <w:pPr>
        <w:jc w:val="left"/>
      </w:pPr>
      <w:r>
        <w:t xml:space="preserve">Schuster, J.R. and Zingheim, P.K. (1996). </w:t>
      </w:r>
      <w:r>
        <w:rPr>
          <w:i/>
          <w:iCs/>
        </w:rPr>
        <w:t>The new pay : linking employee and organizational performance</w:t>
      </w:r>
      <w:r>
        <w:t>. San Francisco: Jossey-Bass Publishers.</w:t>
      </w:r>
    </w:p>
    <w:p w14:paraId="589C98E7" w14:textId="77777777" w:rsidR="008539EB" w:rsidRDefault="008539EB" w:rsidP="008539EB">
      <w:pPr>
        <w:jc w:val="left"/>
      </w:pPr>
      <w:r>
        <w:t xml:space="preserve">seaham (2017). </w:t>
      </w:r>
      <w:r>
        <w:rPr>
          <w:i/>
          <w:iCs/>
        </w:rPr>
        <w:t>Seaham Hall</w:t>
      </w:r>
      <w:r>
        <w:t>. [online] Seaham Hall. Available at: https://www.seaham-hall.co.uk/.</w:t>
      </w:r>
    </w:p>
    <w:p w14:paraId="0AA2C8DD" w14:textId="77777777" w:rsidR="008539EB" w:rsidRDefault="008539EB" w:rsidP="008539EB">
      <w:pPr>
        <w:jc w:val="left"/>
      </w:pPr>
      <w:r>
        <w:t xml:space="preserve">Suharti, L. and Setiawati, C. (2018). Employee Turn Over Intention: The Roles of Supervisor Leadership Style, Perceived Supervisor Support and Motivation. </w:t>
      </w:r>
      <w:r>
        <w:rPr>
          <w:i/>
          <w:iCs/>
        </w:rPr>
        <w:t>Indonesian Journal Of Business And Economics</w:t>
      </w:r>
      <w:r>
        <w:t>, 1(2). doi:https://doi.org/10.25134/ijbe.v1i2.1410.</w:t>
      </w:r>
    </w:p>
    <w:p w14:paraId="22006BD4" w14:textId="77777777" w:rsidR="008539EB" w:rsidRDefault="008539EB" w:rsidP="008539EB">
      <w:pPr>
        <w:jc w:val="left"/>
      </w:pPr>
      <w:r>
        <w:t xml:space="preserve">Vargas-Silva, C. (2016). EU Migration to and from the UK After Brexit. </w:t>
      </w:r>
      <w:r>
        <w:rPr>
          <w:i/>
          <w:iCs/>
        </w:rPr>
        <w:t>Intereconomics</w:t>
      </w:r>
      <w:r>
        <w:t>, 51(5), pp.251–255. doi:https://doi.org/10.1007/s10272-016-0613-z.</w:t>
      </w:r>
    </w:p>
    <w:p w14:paraId="64974FDC" w14:textId="77777777" w:rsidR="001F2AFA" w:rsidRDefault="001F2AFA"/>
    <w:sectPr w:rsidR="001F2AFA" w:rsidSect="00E75B1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642A3" w14:textId="77777777" w:rsidR="00A05089" w:rsidRDefault="00A05089" w:rsidP="0006738A">
      <w:pPr>
        <w:spacing w:after="0" w:line="240" w:lineRule="auto"/>
      </w:pPr>
      <w:r>
        <w:separator/>
      </w:r>
    </w:p>
  </w:endnote>
  <w:endnote w:type="continuationSeparator" w:id="0">
    <w:p w14:paraId="5B6317CB" w14:textId="77777777" w:rsidR="00A05089" w:rsidRDefault="00A05089" w:rsidP="00067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1383A" w14:textId="77777777" w:rsidR="0006738A" w:rsidRDefault="000673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024603"/>
      <w:docPartObj>
        <w:docPartGallery w:val="Page Numbers (Bottom of Page)"/>
        <w:docPartUnique/>
      </w:docPartObj>
    </w:sdtPr>
    <w:sdtEndPr>
      <w:rPr>
        <w:noProof/>
      </w:rPr>
    </w:sdtEndPr>
    <w:sdtContent>
      <w:p w14:paraId="19F0CC2E" w14:textId="317A121A" w:rsidR="0006738A" w:rsidRDefault="000673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24C28B" w14:textId="77777777" w:rsidR="0006738A" w:rsidRDefault="000673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FC0B5" w14:textId="77777777" w:rsidR="0006738A" w:rsidRDefault="00067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6D1BF" w14:textId="77777777" w:rsidR="00A05089" w:rsidRDefault="00A05089" w:rsidP="0006738A">
      <w:pPr>
        <w:spacing w:after="0" w:line="240" w:lineRule="auto"/>
      </w:pPr>
      <w:r>
        <w:separator/>
      </w:r>
    </w:p>
  </w:footnote>
  <w:footnote w:type="continuationSeparator" w:id="0">
    <w:p w14:paraId="70335F27" w14:textId="77777777" w:rsidR="00A05089" w:rsidRDefault="00A05089" w:rsidP="000673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E57FC" w14:textId="77777777" w:rsidR="0006738A" w:rsidRDefault="000673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FA02B" w14:textId="77777777" w:rsidR="0006738A" w:rsidRDefault="000673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D8CCE" w14:textId="77777777" w:rsidR="0006738A" w:rsidRDefault="000673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0M7I0sDQxMTMxsDBT0lEKTi0uzszPAykwqgUA945NeiwAAAA="/>
  </w:docVars>
  <w:rsids>
    <w:rsidRoot w:val="00A43E76"/>
    <w:rsid w:val="00004681"/>
    <w:rsid w:val="00016A5F"/>
    <w:rsid w:val="00017C71"/>
    <w:rsid w:val="00030EE5"/>
    <w:rsid w:val="00034A67"/>
    <w:rsid w:val="00034DB3"/>
    <w:rsid w:val="00040476"/>
    <w:rsid w:val="00043A32"/>
    <w:rsid w:val="000469B7"/>
    <w:rsid w:val="00050BE5"/>
    <w:rsid w:val="000575D7"/>
    <w:rsid w:val="0006738A"/>
    <w:rsid w:val="000708C7"/>
    <w:rsid w:val="00071AF9"/>
    <w:rsid w:val="000869BC"/>
    <w:rsid w:val="00087EEC"/>
    <w:rsid w:val="0009012A"/>
    <w:rsid w:val="000A354A"/>
    <w:rsid w:val="000A605F"/>
    <w:rsid w:val="000B40F0"/>
    <w:rsid w:val="000C3C80"/>
    <w:rsid w:val="000C5803"/>
    <w:rsid w:val="000D1F1E"/>
    <w:rsid w:val="000D2647"/>
    <w:rsid w:val="000E16AB"/>
    <w:rsid w:val="000F28DC"/>
    <w:rsid w:val="000F4A0D"/>
    <w:rsid w:val="000F6E06"/>
    <w:rsid w:val="0010473A"/>
    <w:rsid w:val="00105501"/>
    <w:rsid w:val="001132E0"/>
    <w:rsid w:val="00121C12"/>
    <w:rsid w:val="001240DB"/>
    <w:rsid w:val="00145A25"/>
    <w:rsid w:val="0015305E"/>
    <w:rsid w:val="00160856"/>
    <w:rsid w:val="0017579E"/>
    <w:rsid w:val="0017606B"/>
    <w:rsid w:val="001811AB"/>
    <w:rsid w:val="001830D6"/>
    <w:rsid w:val="00191378"/>
    <w:rsid w:val="00191761"/>
    <w:rsid w:val="001917C8"/>
    <w:rsid w:val="001A0657"/>
    <w:rsid w:val="001F0942"/>
    <w:rsid w:val="001F2AFA"/>
    <w:rsid w:val="001F6926"/>
    <w:rsid w:val="00202B9A"/>
    <w:rsid w:val="00204192"/>
    <w:rsid w:val="00215A0E"/>
    <w:rsid w:val="00221ADA"/>
    <w:rsid w:val="00255C8B"/>
    <w:rsid w:val="0025739C"/>
    <w:rsid w:val="002578B3"/>
    <w:rsid w:val="00265FA0"/>
    <w:rsid w:val="00272A75"/>
    <w:rsid w:val="002809BF"/>
    <w:rsid w:val="00282CDC"/>
    <w:rsid w:val="0028400E"/>
    <w:rsid w:val="00292655"/>
    <w:rsid w:val="002A2B66"/>
    <w:rsid w:val="002A39E5"/>
    <w:rsid w:val="002C17EF"/>
    <w:rsid w:val="002D2262"/>
    <w:rsid w:val="002D25B0"/>
    <w:rsid w:val="002F21FD"/>
    <w:rsid w:val="002F79DA"/>
    <w:rsid w:val="0031167A"/>
    <w:rsid w:val="003163F0"/>
    <w:rsid w:val="0034074D"/>
    <w:rsid w:val="00341D1D"/>
    <w:rsid w:val="00342D54"/>
    <w:rsid w:val="00342DA3"/>
    <w:rsid w:val="00354267"/>
    <w:rsid w:val="00354DC9"/>
    <w:rsid w:val="00360342"/>
    <w:rsid w:val="0036298B"/>
    <w:rsid w:val="0036331E"/>
    <w:rsid w:val="00370EF1"/>
    <w:rsid w:val="00374F38"/>
    <w:rsid w:val="0037665A"/>
    <w:rsid w:val="00383D3E"/>
    <w:rsid w:val="00392127"/>
    <w:rsid w:val="003928F8"/>
    <w:rsid w:val="003A2177"/>
    <w:rsid w:val="003C6B1F"/>
    <w:rsid w:val="003D14D1"/>
    <w:rsid w:val="003F7359"/>
    <w:rsid w:val="00421AE2"/>
    <w:rsid w:val="00432ECE"/>
    <w:rsid w:val="0043446A"/>
    <w:rsid w:val="0044034B"/>
    <w:rsid w:val="00444447"/>
    <w:rsid w:val="00445E97"/>
    <w:rsid w:val="00453AFA"/>
    <w:rsid w:val="00466E7B"/>
    <w:rsid w:val="004720E4"/>
    <w:rsid w:val="00474F84"/>
    <w:rsid w:val="00476738"/>
    <w:rsid w:val="004863BA"/>
    <w:rsid w:val="004A2738"/>
    <w:rsid w:val="004B35A8"/>
    <w:rsid w:val="004B411D"/>
    <w:rsid w:val="004C4C41"/>
    <w:rsid w:val="004D6B7D"/>
    <w:rsid w:val="005026B2"/>
    <w:rsid w:val="00504674"/>
    <w:rsid w:val="00516097"/>
    <w:rsid w:val="0052653C"/>
    <w:rsid w:val="00543B46"/>
    <w:rsid w:val="005558DE"/>
    <w:rsid w:val="0056124B"/>
    <w:rsid w:val="0056780A"/>
    <w:rsid w:val="00570127"/>
    <w:rsid w:val="005741DB"/>
    <w:rsid w:val="0057568F"/>
    <w:rsid w:val="0058150C"/>
    <w:rsid w:val="00582F22"/>
    <w:rsid w:val="005B0304"/>
    <w:rsid w:val="005B56E1"/>
    <w:rsid w:val="005B76D6"/>
    <w:rsid w:val="005B7BD4"/>
    <w:rsid w:val="005C5683"/>
    <w:rsid w:val="005C64EF"/>
    <w:rsid w:val="005D7F7A"/>
    <w:rsid w:val="005F05FE"/>
    <w:rsid w:val="005F4F8A"/>
    <w:rsid w:val="00605A78"/>
    <w:rsid w:val="00607A3C"/>
    <w:rsid w:val="0061110B"/>
    <w:rsid w:val="00613962"/>
    <w:rsid w:val="00614D6D"/>
    <w:rsid w:val="00620CBC"/>
    <w:rsid w:val="00630D2F"/>
    <w:rsid w:val="00632BEC"/>
    <w:rsid w:val="006407CE"/>
    <w:rsid w:val="0065595E"/>
    <w:rsid w:val="006561D2"/>
    <w:rsid w:val="006817FB"/>
    <w:rsid w:val="00686D92"/>
    <w:rsid w:val="00695BDA"/>
    <w:rsid w:val="006A1AD1"/>
    <w:rsid w:val="006B66F8"/>
    <w:rsid w:val="006C38AC"/>
    <w:rsid w:val="006D7652"/>
    <w:rsid w:val="006E0FC2"/>
    <w:rsid w:val="006E156B"/>
    <w:rsid w:val="006E177E"/>
    <w:rsid w:val="006E2DCF"/>
    <w:rsid w:val="0070067C"/>
    <w:rsid w:val="00712B40"/>
    <w:rsid w:val="0072686E"/>
    <w:rsid w:val="007275C3"/>
    <w:rsid w:val="007323DE"/>
    <w:rsid w:val="00741E99"/>
    <w:rsid w:val="00743A74"/>
    <w:rsid w:val="00747B2C"/>
    <w:rsid w:val="00756815"/>
    <w:rsid w:val="00765958"/>
    <w:rsid w:val="007729D4"/>
    <w:rsid w:val="0077377A"/>
    <w:rsid w:val="00773C86"/>
    <w:rsid w:val="00780BAD"/>
    <w:rsid w:val="00780F72"/>
    <w:rsid w:val="007B3984"/>
    <w:rsid w:val="007C4E93"/>
    <w:rsid w:val="007D0383"/>
    <w:rsid w:val="007D0C9D"/>
    <w:rsid w:val="007E6BBC"/>
    <w:rsid w:val="007F22E4"/>
    <w:rsid w:val="00802921"/>
    <w:rsid w:val="008109C7"/>
    <w:rsid w:val="00833E4D"/>
    <w:rsid w:val="00840427"/>
    <w:rsid w:val="00843444"/>
    <w:rsid w:val="00852B9F"/>
    <w:rsid w:val="008539EB"/>
    <w:rsid w:val="00854A52"/>
    <w:rsid w:val="00854EB7"/>
    <w:rsid w:val="00862830"/>
    <w:rsid w:val="00871916"/>
    <w:rsid w:val="00874CAF"/>
    <w:rsid w:val="008777D1"/>
    <w:rsid w:val="008906BB"/>
    <w:rsid w:val="00895576"/>
    <w:rsid w:val="008A1A95"/>
    <w:rsid w:val="008C1F64"/>
    <w:rsid w:val="008C35BD"/>
    <w:rsid w:val="008C5FCC"/>
    <w:rsid w:val="008D4BD1"/>
    <w:rsid w:val="008E13DF"/>
    <w:rsid w:val="008F3693"/>
    <w:rsid w:val="00906000"/>
    <w:rsid w:val="009115B5"/>
    <w:rsid w:val="009204EC"/>
    <w:rsid w:val="00934DEA"/>
    <w:rsid w:val="0093590F"/>
    <w:rsid w:val="00936E07"/>
    <w:rsid w:val="00957D45"/>
    <w:rsid w:val="0098240B"/>
    <w:rsid w:val="009829DC"/>
    <w:rsid w:val="00997892"/>
    <w:rsid w:val="009B1298"/>
    <w:rsid w:val="009B510B"/>
    <w:rsid w:val="009B7305"/>
    <w:rsid w:val="009B7EF2"/>
    <w:rsid w:val="009D186D"/>
    <w:rsid w:val="009E2C56"/>
    <w:rsid w:val="009F282F"/>
    <w:rsid w:val="00A05089"/>
    <w:rsid w:val="00A051B0"/>
    <w:rsid w:val="00A12652"/>
    <w:rsid w:val="00A14EB1"/>
    <w:rsid w:val="00A346AA"/>
    <w:rsid w:val="00A407B1"/>
    <w:rsid w:val="00A41400"/>
    <w:rsid w:val="00A43E76"/>
    <w:rsid w:val="00A44DA1"/>
    <w:rsid w:val="00A51334"/>
    <w:rsid w:val="00A52F72"/>
    <w:rsid w:val="00A70B01"/>
    <w:rsid w:val="00A9327D"/>
    <w:rsid w:val="00AA0C8A"/>
    <w:rsid w:val="00AA76B6"/>
    <w:rsid w:val="00AB1D8C"/>
    <w:rsid w:val="00AC615C"/>
    <w:rsid w:val="00AF2F6F"/>
    <w:rsid w:val="00B03C4E"/>
    <w:rsid w:val="00B11F6C"/>
    <w:rsid w:val="00B3603C"/>
    <w:rsid w:val="00B36807"/>
    <w:rsid w:val="00B4408F"/>
    <w:rsid w:val="00B463AE"/>
    <w:rsid w:val="00B6504C"/>
    <w:rsid w:val="00B65576"/>
    <w:rsid w:val="00B65994"/>
    <w:rsid w:val="00B82797"/>
    <w:rsid w:val="00B832B3"/>
    <w:rsid w:val="00B87EAF"/>
    <w:rsid w:val="00BA0427"/>
    <w:rsid w:val="00BA0FCF"/>
    <w:rsid w:val="00BB2268"/>
    <w:rsid w:val="00BB75AD"/>
    <w:rsid w:val="00BC237F"/>
    <w:rsid w:val="00BC26D2"/>
    <w:rsid w:val="00BC4B4A"/>
    <w:rsid w:val="00BC659B"/>
    <w:rsid w:val="00BD4234"/>
    <w:rsid w:val="00BF12A4"/>
    <w:rsid w:val="00C21110"/>
    <w:rsid w:val="00C2381A"/>
    <w:rsid w:val="00C23C26"/>
    <w:rsid w:val="00C46C37"/>
    <w:rsid w:val="00C618A0"/>
    <w:rsid w:val="00C756B8"/>
    <w:rsid w:val="00C925C8"/>
    <w:rsid w:val="00C95F51"/>
    <w:rsid w:val="00CB14C9"/>
    <w:rsid w:val="00CB335E"/>
    <w:rsid w:val="00CB6603"/>
    <w:rsid w:val="00CC617A"/>
    <w:rsid w:val="00CE08C4"/>
    <w:rsid w:val="00CE0F2F"/>
    <w:rsid w:val="00CE4AAC"/>
    <w:rsid w:val="00CE4C7D"/>
    <w:rsid w:val="00D10AC0"/>
    <w:rsid w:val="00D11FAB"/>
    <w:rsid w:val="00D12ACC"/>
    <w:rsid w:val="00D14287"/>
    <w:rsid w:val="00D15D30"/>
    <w:rsid w:val="00D67D70"/>
    <w:rsid w:val="00D866C8"/>
    <w:rsid w:val="00D86ACF"/>
    <w:rsid w:val="00D90BFC"/>
    <w:rsid w:val="00D91545"/>
    <w:rsid w:val="00D94000"/>
    <w:rsid w:val="00D94687"/>
    <w:rsid w:val="00D96880"/>
    <w:rsid w:val="00DA0BAA"/>
    <w:rsid w:val="00DC42FA"/>
    <w:rsid w:val="00DD095B"/>
    <w:rsid w:val="00DF1601"/>
    <w:rsid w:val="00DF25EE"/>
    <w:rsid w:val="00DF26B5"/>
    <w:rsid w:val="00E04527"/>
    <w:rsid w:val="00E0629D"/>
    <w:rsid w:val="00E1572E"/>
    <w:rsid w:val="00E166E0"/>
    <w:rsid w:val="00E20160"/>
    <w:rsid w:val="00E3232D"/>
    <w:rsid w:val="00E37A70"/>
    <w:rsid w:val="00E44B57"/>
    <w:rsid w:val="00E44B9D"/>
    <w:rsid w:val="00E7469D"/>
    <w:rsid w:val="00E75B13"/>
    <w:rsid w:val="00E9052D"/>
    <w:rsid w:val="00E93F43"/>
    <w:rsid w:val="00EA0920"/>
    <w:rsid w:val="00EA2CAC"/>
    <w:rsid w:val="00EA665F"/>
    <w:rsid w:val="00EA7A6B"/>
    <w:rsid w:val="00EB11AC"/>
    <w:rsid w:val="00EB1428"/>
    <w:rsid w:val="00EB5033"/>
    <w:rsid w:val="00EE2A10"/>
    <w:rsid w:val="00EF0DC6"/>
    <w:rsid w:val="00EF224B"/>
    <w:rsid w:val="00F14FDB"/>
    <w:rsid w:val="00F21C27"/>
    <w:rsid w:val="00F257BA"/>
    <w:rsid w:val="00F32306"/>
    <w:rsid w:val="00F57ED1"/>
    <w:rsid w:val="00F63F2A"/>
    <w:rsid w:val="00F663D4"/>
    <w:rsid w:val="00F70539"/>
    <w:rsid w:val="00F70C5E"/>
    <w:rsid w:val="00F7219B"/>
    <w:rsid w:val="00F7342F"/>
    <w:rsid w:val="00F759DC"/>
    <w:rsid w:val="00F7664B"/>
    <w:rsid w:val="00F86EB0"/>
    <w:rsid w:val="00F90307"/>
    <w:rsid w:val="00FB5190"/>
    <w:rsid w:val="00FC496D"/>
    <w:rsid w:val="00FD51BE"/>
    <w:rsid w:val="00FD6A05"/>
    <w:rsid w:val="00FD704F"/>
    <w:rsid w:val="00FE2DDF"/>
    <w:rsid w:val="00FF1D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3EA12"/>
  <w15:chartTrackingRefBased/>
  <w15:docId w15:val="{83F1838A-6055-45C6-B34A-2F43818AA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FCC"/>
    <w:pPr>
      <w:spacing w:after="200" w:line="360" w:lineRule="auto"/>
      <w:jc w:val="both"/>
    </w:pPr>
    <w:rPr>
      <w:rFonts w:asciiTheme="minorBidi" w:hAnsiTheme="minorBidi"/>
      <w:sz w:val="24"/>
    </w:rPr>
  </w:style>
  <w:style w:type="paragraph" w:styleId="Heading1">
    <w:name w:val="heading 1"/>
    <w:basedOn w:val="Normal"/>
    <w:next w:val="Normal"/>
    <w:link w:val="Heading1Char"/>
    <w:autoRedefine/>
    <w:uiPriority w:val="9"/>
    <w:qFormat/>
    <w:rsid w:val="008C5FC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202B9A"/>
    <w:pPr>
      <w:keepNext/>
      <w:keepLines/>
      <w:spacing w:before="40" w:after="0"/>
      <w:outlineLvl w:val="1"/>
    </w:pPr>
    <w:rPr>
      <w:rFonts w:eastAsiaTheme="majorEastAsia"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FCC"/>
    <w:rPr>
      <w:rFonts w:asciiTheme="minorBidi" w:eastAsiaTheme="majorEastAsia" w:hAnsiTheme="minorBidi" w:cstheme="majorBidi"/>
      <w:b/>
      <w:sz w:val="32"/>
      <w:szCs w:val="32"/>
    </w:rPr>
  </w:style>
  <w:style w:type="character" w:customStyle="1" w:styleId="Heading2Char">
    <w:name w:val="Heading 2 Char"/>
    <w:basedOn w:val="DefaultParagraphFont"/>
    <w:link w:val="Heading2"/>
    <w:uiPriority w:val="9"/>
    <w:rsid w:val="00202B9A"/>
    <w:rPr>
      <w:rFonts w:ascii="Times New Roman" w:eastAsiaTheme="majorEastAsia" w:hAnsi="Times New Roman" w:cstheme="majorBidi"/>
      <w:b/>
      <w:sz w:val="28"/>
      <w:szCs w:val="26"/>
      <w:lang w:val="en-US"/>
    </w:rPr>
  </w:style>
  <w:style w:type="paragraph" w:styleId="Header">
    <w:name w:val="header"/>
    <w:basedOn w:val="Normal"/>
    <w:link w:val="HeaderChar"/>
    <w:uiPriority w:val="99"/>
    <w:unhideWhenUsed/>
    <w:rsid w:val="00067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38A"/>
    <w:rPr>
      <w:rFonts w:asciiTheme="minorBidi" w:hAnsiTheme="minorBidi"/>
      <w:sz w:val="24"/>
    </w:rPr>
  </w:style>
  <w:style w:type="paragraph" w:styleId="Footer">
    <w:name w:val="footer"/>
    <w:basedOn w:val="Normal"/>
    <w:link w:val="FooterChar"/>
    <w:uiPriority w:val="99"/>
    <w:unhideWhenUsed/>
    <w:rsid w:val="00067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38A"/>
    <w:rPr>
      <w:rFonts w:asciiTheme="minorBidi" w:hAnsiTheme="minorBidi"/>
      <w:sz w:val="24"/>
    </w:rPr>
  </w:style>
  <w:style w:type="paragraph" w:styleId="TOCHeading">
    <w:name w:val="TOC Heading"/>
    <w:basedOn w:val="Heading1"/>
    <w:next w:val="Normal"/>
    <w:uiPriority w:val="39"/>
    <w:unhideWhenUsed/>
    <w:qFormat/>
    <w:rsid w:val="0006738A"/>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06738A"/>
    <w:pPr>
      <w:spacing w:after="100"/>
    </w:pPr>
  </w:style>
  <w:style w:type="character" w:styleId="Hyperlink">
    <w:name w:val="Hyperlink"/>
    <w:basedOn w:val="DefaultParagraphFont"/>
    <w:uiPriority w:val="99"/>
    <w:unhideWhenUsed/>
    <w:rsid w:val="0006738A"/>
    <w:rPr>
      <w:color w:val="0000FF" w:themeColor="hyperlink"/>
      <w:u w:val="single"/>
    </w:rPr>
  </w:style>
  <w:style w:type="paragraph" w:styleId="NormalWeb">
    <w:name w:val="Normal (Web)"/>
    <w:basedOn w:val="Normal"/>
    <w:uiPriority w:val="99"/>
    <w:semiHidden/>
    <w:unhideWhenUsed/>
    <w:rsid w:val="008539EB"/>
    <w:pPr>
      <w:spacing w:before="100" w:beforeAutospacing="1" w:after="100" w:afterAutospacing="1" w:line="240" w:lineRule="auto"/>
      <w:jc w:val="left"/>
    </w:pPr>
    <w:rPr>
      <w:rFonts w:ascii="Times New Roman" w:eastAsia="Times New Roman" w:hAnsi="Times New Roman" w:cs="Times New Roman"/>
      <w:szCs w:val="24"/>
      <w:lang w:eastAsia="en-GB" w:bidi="bn-BD"/>
    </w:rPr>
  </w:style>
  <w:style w:type="table" w:styleId="TableGrid">
    <w:name w:val="Table Grid"/>
    <w:basedOn w:val="TableNormal"/>
    <w:uiPriority w:val="59"/>
    <w:rsid w:val="00017C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665236">
      <w:bodyDiv w:val="1"/>
      <w:marLeft w:val="0"/>
      <w:marRight w:val="0"/>
      <w:marTop w:val="0"/>
      <w:marBottom w:val="0"/>
      <w:divBdr>
        <w:top w:val="none" w:sz="0" w:space="0" w:color="auto"/>
        <w:left w:val="none" w:sz="0" w:space="0" w:color="auto"/>
        <w:bottom w:val="none" w:sz="0" w:space="0" w:color="auto"/>
        <w:right w:val="none" w:sz="0" w:space="0" w:color="auto"/>
      </w:divBdr>
      <w:divsChild>
        <w:div w:id="2005814244">
          <w:marLeft w:val="0"/>
          <w:marRight w:val="0"/>
          <w:marTop w:val="0"/>
          <w:marBottom w:val="0"/>
          <w:divBdr>
            <w:top w:val="none" w:sz="0" w:space="0" w:color="auto"/>
            <w:left w:val="none" w:sz="0" w:space="0" w:color="auto"/>
            <w:bottom w:val="none" w:sz="0" w:space="0" w:color="auto"/>
            <w:right w:val="none" w:sz="0" w:space="0" w:color="auto"/>
          </w:divBdr>
        </w:div>
      </w:divsChild>
    </w:div>
    <w:div w:id="1940067585">
      <w:bodyDiv w:val="1"/>
      <w:marLeft w:val="0"/>
      <w:marRight w:val="0"/>
      <w:marTop w:val="0"/>
      <w:marBottom w:val="0"/>
      <w:divBdr>
        <w:top w:val="none" w:sz="0" w:space="0" w:color="auto"/>
        <w:left w:val="none" w:sz="0" w:space="0" w:color="auto"/>
        <w:bottom w:val="none" w:sz="0" w:space="0" w:color="auto"/>
        <w:right w:val="none" w:sz="0" w:space="0" w:color="auto"/>
      </w:divBdr>
    </w:div>
    <w:div w:id="1999646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Stuff turnover</a:t>
            </a:r>
            <a:r>
              <a:rPr lang="en-US" baseline="0"/>
              <a:t> rate in the UK</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Hotel Staff Turnover</c:v>
                </c:pt>
                <c:pt idx="1">
                  <c:v>Restaurant Staff Turnover</c:v>
                </c:pt>
                <c:pt idx="2">
                  <c:v>Pub Staff Turnover</c:v>
                </c:pt>
                <c:pt idx="3">
                  <c:v>Catering Staff Turnover</c:v>
                </c:pt>
              </c:strCache>
            </c:strRef>
          </c:cat>
          <c:val>
            <c:numRef>
              <c:f>Sheet1!$B$2:$B$5</c:f>
              <c:numCache>
                <c:formatCode>0%</c:formatCode>
                <c:ptCount val="4"/>
                <c:pt idx="0">
                  <c:v>0.35</c:v>
                </c:pt>
                <c:pt idx="1">
                  <c:v>0.3</c:v>
                </c:pt>
                <c:pt idx="2">
                  <c:v>0.3</c:v>
                </c:pt>
                <c:pt idx="3">
                  <c:v>0.4</c:v>
                </c:pt>
              </c:numCache>
            </c:numRef>
          </c:val>
          <c:extLst>
            <c:ext xmlns:c16="http://schemas.microsoft.com/office/drawing/2014/chart" uri="{C3380CC4-5D6E-409C-BE32-E72D297353CC}">
              <c16:uniqueId val="{00000000-A3F2-4DEA-B6B9-3D2476A06A53}"/>
            </c:ext>
          </c:extLst>
        </c:ser>
        <c:dLbls>
          <c:showLegendKey val="0"/>
          <c:showVal val="0"/>
          <c:showCatName val="0"/>
          <c:showSerName val="0"/>
          <c:showPercent val="0"/>
          <c:showBubbleSize val="0"/>
        </c:dLbls>
        <c:gapWidth val="219"/>
        <c:overlap val="-27"/>
        <c:axId val="501479280"/>
        <c:axId val="501476328"/>
      </c:barChart>
      <c:catAx>
        <c:axId val="501479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476328"/>
        <c:crosses val="autoZero"/>
        <c:auto val="1"/>
        <c:lblAlgn val="ctr"/>
        <c:lblOffset val="100"/>
        <c:noMultiLvlLbl val="0"/>
      </c:catAx>
      <c:valAx>
        <c:axId val="5014763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479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1C891-D5E5-4ED8-83ED-A90CFB7B8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2578</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Hussain (2123212)</dc:creator>
  <cp:keywords/>
  <dc:description/>
  <cp:lastModifiedBy>Shabna Hussain (2123212)</cp:lastModifiedBy>
  <cp:revision>2</cp:revision>
  <dcterms:created xsi:type="dcterms:W3CDTF">2023-03-04T21:25:00Z</dcterms:created>
  <dcterms:modified xsi:type="dcterms:W3CDTF">2023-03-04T21:25:00Z</dcterms:modified>
</cp:coreProperties>
</file>