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w:t>
      </w:r>
      <w:r>
        <w:rPr>
          <w:rFonts w:ascii="Tahoma" w:hAnsi="Tahoma" w:cs="Tahoma" w:eastAsia="Tahoma"/>
          <w:b/>
          <w:color w:val="auto"/>
          <w:spacing w:val="0"/>
          <w:position w:val="0"/>
          <w:sz w:val="24"/>
          <w:u w:val="single"/>
          <w:shd w:fill="auto" w:val="clear"/>
        </w:rPr>
        <w:t xml:space="preserve">–</w:t>
      </w:r>
      <w:r>
        <w:rPr>
          <w:rFonts w:ascii="Tahoma" w:hAnsi="Tahoma" w:cs="Tahoma" w:eastAsia="Tahoma"/>
          <w:b/>
          <w:color w:val="auto"/>
          <w:spacing w:val="0"/>
          <w:position w:val="0"/>
          <w:sz w:val="24"/>
          <w:u w:val="single"/>
          <w:shd w:fill="auto" w:val="clear"/>
        </w:rPr>
        <w:t xml:space="preserve"> Student Journal </w:t>
      </w:r>
    </w:p>
    <w:p>
      <w:pPr>
        <w:spacing w:before="0" w:after="0" w:line="240"/>
        <w:ind w:right="0" w:left="0" w:firstLine="0"/>
        <w:jc w:val="both"/>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You are required to complete a journal entry to capture the learning experience and knowledge you have acquiring during a particular lecture.  You may choose from the following topics:</w:t>
      </w:r>
    </w:p>
    <w:p>
      <w:pPr>
        <w:numPr>
          <w:ilvl w:val="0"/>
          <w:numId w:val="3"/>
        </w:numPr>
        <w:tabs>
          <w:tab w:val="left" w:pos="720" w:leader="none"/>
        </w:tabs>
        <w:spacing w:before="100" w:after="100" w:line="240"/>
        <w:ind w:right="0" w:left="720" w:hanging="360"/>
        <w:jc w:val="left"/>
        <w:rPr>
          <w:rFonts w:ascii="SymbolMT" w:hAnsi="SymbolMT" w:cs="SymbolMT" w:eastAsia="SymbolMT"/>
          <w:color w:val="auto"/>
          <w:spacing w:val="0"/>
          <w:position w:val="0"/>
          <w:sz w:val="24"/>
          <w:shd w:fill="auto" w:val="clear"/>
        </w:rPr>
      </w:pPr>
      <w:r>
        <w:rPr>
          <w:rFonts w:ascii="Calibri" w:hAnsi="Calibri" w:cs="Calibri" w:eastAsia="Calibri"/>
          <w:color w:val="auto"/>
          <w:spacing w:val="0"/>
          <w:position w:val="0"/>
          <w:sz w:val="24"/>
          <w:shd w:fill="auto" w:val="clear"/>
        </w:rPr>
        <w:t xml:space="preserve">Allergies and Intolerances and the importance within the industry </w:t>
      </w:r>
    </w:p>
    <w:p>
      <w:pPr>
        <w:numPr>
          <w:ilvl w:val="0"/>
          <w:numId w:val="3"/>
        </w:numPr>
        <w:tabs>
          <w:tab w:val="left" w:pos="720" w:leader="none"/>
        </w:tabs>
        <w:spacing w:before="100" w:after="100" w:line="240"/>
        <w:ind w:right="0" w:left="720" w:hanging="360"/>
        <w:jc w:val="left"/>
        <w:rPr>
          <w:rFonts w:ascii="SymbolMT" w:hAnsi="SymbolMT" w:cs="SymbolMT" w:eastAsia="SymbolMT"/>
          <w:color w:val="auto"/>
          <w:spacing w:val="0"/>
          <w:position w:val="0"/>
          <w:sz w:val="24"/>
          <w:shd w:fill="auto" w:val="clear"/>
        </w:rPr>
      </w:pPr>
      <w:r>
        <w:rPr>
          <w:rFonts w:ascii="Calibri" w:hAnsi="Calibri" w:cs="Calibri" w:eastAsia="Calibri"/>
          <w:color w:val="auto"/>
          <w:spacing w:val="0"/>
          <w:position w:val="0"/>
          <w:sz w:val="24"/>
          <w:shd w:fill="auto" w:val="clear"/>
        </w:rPr>
        <w:t xml:space="preserve">Food Safety Fundamentals (The 4 C’s) </w:t>
      </w:r>
    </w:p>
    <w:p>
      <w:pPr>
        <w:numPr>
          <w:ilvl w:val="0"/>
          <w:numId w:val="3"/>
        </w:numPr>
        <w:tabs>
          <w:tab w:val="left" w:pos="720" w:leader="none"/>
        </w:tabs>
        <w:spacing w:before="100" w:after="100" w:line="240"/>
        <w:ind w:right="0" w:left="720" w:hanging="360"/>
        <w:jc w:val="left"/>
        <w:rPr>
          <w:rFonts w:ascii="SymbolMT" w:hAnsi="SymbolMT" w:cs="SymbolMT" w:eastAsia="SymbolMT"/>
          <w:color w:val="auto"/>
          <w:spacing w:val="0"/>
          <w:position w:val="0"/>
          <w:sz w:val="24"/>
          <w:shd w:fill="auto" w:val="clear"/>
        </w:rPr>
      </w:pPr>
      <w:r>
        <w:rPr>
          <w:rFonts w:ascii="Calibri" w:hAnsi="Calibri" w:cs="Calibri" w:eastAsia="Calibri"/>
          <w:color w:val="auto"/>
          <w:spacing w:val="0"/>
          <w:position w:val="0"/>
          <w:sz w:val="24"/>
          <w:shd w:fill="auto" w:val="clear"/>
        </w:rPr>
        <w:t xml:space="preserve">Ratings, Inspections and Reporting Procedures </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Consider the appropriate lectures. What was the topic and what have you learnt? Provide a brief summary. What new skills / knowledge have you acquired? How will you apply your knowledge in the future? What are your personal reflections? </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987"/>
        <w:gridCol w:w="7195"/>
      </w:tblGrid>
      <w:tr>
        <w:trPr>
          <w:trHeight w:val="1" w:hRule="atLeast"/>
          <w:jc w:val="left"/>
        </w:trPr>
        <w:tc>
          <w:tcPr>
            <w:tcW w:w="3987"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Student Name: Andreea Vasilache</w:t>
            </w:r>
          </w:p>
          <w:p>
            <w:pPr>
              <w:spacing w:before="0" w:after="0" w:line="240"/>
              <w:ind w:right="0" w:left="0" w:firstLine="0"/>
              <w:jc w:val="left"/>
              <w:rPr>
                <w:rFonts w:ascii="Tahoma" w:hAnsi="Tahoma" w:cs="Tahoma" w:eastAsia="Tahoma"/>
                <w:b/>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Student Number: 2013580</w:t>
            </w:r>
          </w:p>
          <w:p>
            <w:pPr>
              <w:spacing w:before="0" w:after="0" w:line="240"/>
              <w:ind w:right="0" w:left="0" w:firstLine="0"/>
              <w:jc w:val="left"/>
              <w:rPr>
                <w:color w:val="auto"/>
                <w:spacing w:val="0"/>
                <w:position w:val="0"/>
              </w:rPr>
            </w:pPr>
          </w:p>
        </w:tc>
        <w:tc>
          <w:tcPr>
            <w:tcW w:w="7195"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Module: BMIH4002</w:t>
            </w:r>
          </w:p>
          <w:p>
            <w:pPr>
              <w:spacing w:before="0" w:after="0" w:line="240"/>
              <w:ind w:right="0" w:left="0" w:firstLine="0"/>
              <w:jc w:val="left"/>
              <w:rPr>
                <w:rFonts w:ascii="Tahoma" w:hAnsi="Tahoma" w:cs="Tahoma" w:eastAsia="Tahoma"/>
                <w:b/>
                <w:color w:val="auto"/>
                <w:spacing w:val="0"/>
                <w:position w:val="0"/>
                <w:sz w:val="20"/>
                <w:shd w:fill="auto" w:val="clear"/>
              </w:rPr>
            </w:pPr>
          </w:p>
          <w:p>
            <w:pPr>
              <w:spacing w:before="0" w:after="0" w:line="240"/>
              <w:ind w:right="0" w:left="0" w:firstLine="0"/>
              <w:jc w:val="left"/>
              <w:rPr>
                <w:color w:val="auto"/>
                <w:spacing w:val="0"/>
                <w:position w:val="0"/>
              </w:rPr>
            </w:pPr>
            <w:r>
              <w:rPr>
                <w:rFonts w:ascii="Tahoma" w:hAnsi="Tahoma" w:cs="Tahoma" w:eastAsia="Tahoma"/>
                <w:b/>
                <w:color w:val="auto"/>
                <w:spacing w:val="0"/>
                <w:position w:val="0"/>
                <w:sz w:val="20"/>
                <w:shd w:fill="auto" w:val="clear"/>
              </w:rPr>
              <w:t xml:space="preserve">Lecturer: Ryan</w:t>
            </w:r>
          </w:p>
        </w:tc>
      </w:tr>
    </w:tbl>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983"/>
        <w:gridCol w:w="7199"/>
      </w:tblGrid>
      <w:tr>
        <w:trPr>
          <w:trHeight w:val="1" w:hRule="atLeast"/>
          <w:jc w:val="left"/>
        </w:trPr>
        <w:tc>
          <w:tcPr>
            <w:tcW w:w="39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100" w:after="100" w:line="240"/>
              <w:ind w:right="0" w:left="0" w:firstLine="0"/>
              <w:jc w:val="left"/>
              <w:rPr>
                <w:color w:val="auto"/>
                <w:spacing w:val="0"/>
                <w:position w:val="0"/>
              </w:rPr>
            </w:pPr>
            <w:r>
              <w:rPr>
                <w:rFonts w:ascii="Tahoma" w:hAnsi="Tahoma" w:cs="Tahoma" w:eastAsia="Tahoma"/>
                <w:b/>
                <w:color w:val="auto"/>
                <w:spacing w:val="0"/>
                <w:position w:val="0"/>
                <w:sz w:val="20"/>
                <w:shd w:fill="auto" w:val="clear"/>
              </w:rPr>
              <w:t xml:space="preserve">Topic of choice: </w:t>
            </w:r>
            <w:r>
              <w:rPr>
                <w:rFonts w:ascii="Calibri" w:hAnsi="Calibri" w:cs="Calibri" w:eastAsia="Calibri"/>
                <w:color w:val="auto"/>
                <w:spacing w:val="0"/>
                <w:position w:val="0"/>
                <w:sz w:val="24"/>
                <w:shd w:fill="auto" w:val="clear"/>
              </w:rPr>
              <w:t xml:space="preserve">Allergies and Intolerances and the importance within the industry </w:t>
            </w:r>
          </w:p>
        </w:tc>
        <w:tc>
          <w:tcPr>
            <w:tcW w:w="7199"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Date Completed: 21.10.2021</w:t>
            </w:r>
          </w:p>
          <w:p>
            <w:pPr>
              <w:spacing w:before="0" w:after="0" w:line="240"/>
              <w:ind w:right="0" w:left="0" w:firstLine="0"/>
              <w:jc w:val="center"/>
              <w:rPr>
                <w:rFonts w:ascii="Tahoma" w:hAnsi="Tahoma" w:cs="Tahoma" w:eastAsia="Tahoma"/>
                <w:b/>
                <w:color w:val="auto"/>
                <w:spacing w:val="0"/>
                <w:position w:val="0"/>
                <w:sz w:val="20"/>
                <w:shd w:fill="auto" w:val="clear"/>
              </w:rPr>
            </w:pPr>
          </w:p>
          <w:p>
            <w:pPr>
              <w:spacing w:before="0" w:after="0" w:line="240"/>
              <w:ind w:right="0" w:left="0" w:firstLine="0"/>
              <w:jc w:val="center"/>
              <w:rPr>
                <w:color w:val="auto"/>
                <w:spacing w:val="0"/>
                <w:position w:val="0"/>
              </w:rPr>
            </w:pPr>
          </w:p>
        </w:tc>
      </w:tr>
      <w:tr>
        <w:trPr>
          <w:trHeight w:val="2494" w:hRule="auto"/>
          <w:jc w:val="left"/>
        </w:trPr>
        <w:tc>
          <w:tcPr>
            <w:tcW w:w="1118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important to understand the relevancy and importance of allergies as well as intolerance within the industry. It is considered as the key health and safety elements that would focus in developing as well as handling the ingredients. Within the industry, the employees, workers, as well as other employees must work within the environment and employer must provide the effective environment. It has been found that allergies may result in severe health consequences starting from food allergies from fish, peanuts or wheat and soy (Lee and Sozen 2016). Therefore, it is important to understand that some of the allergies becomes intolerance to people and may result in severe health consequences. It is important to understand the relevancy towards the food industry or any other industry is that food consumption should be appropriately manage for improving and protecting the consumer health along with employee health.</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learnt that food allergies are the most common type of allergies and it also results in intolerances that would have significant impact on the industry. It is essential to educate the staffs and workers of the industry about the importance of allergies that would help in developing the relevant strategies or prevention approaches for the allergies (Eren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 For instance, the education about allergies should be stated that overreaction to the allergies will result in causing sneezing, blocked sinuses as well as runny nose. However, I have also understood that these identified examples are minors and will not develop intolerance. The intolerance to the consumer will result in seeking medical services or emergency services. Therefore, it is important to preserve certain medication within the industry that would help in developing the preventive approach for addressing the minor allergies (Foskett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gained knowledge about the allergen management within the industry that will help in improving the overall key health outcome. The management in food management is important as food safety issues has been recognised within the manufacturers as well as industrial sector. Therefore, it is important to understand the optimal shared responsibility among the food manufacturers as well as government agencies and consumers. There are multiple national as well as international regulation bodies are coming forward to develop the essential requirement for managing the importance of allergen in the industry (Serdar n.d). I have also gained knowledge on ISO 22000:2007, which is the international standards for enhancing as well as promoting the food safety to the people and community. The allergen management program would focus on developing the physical segregation of any form of allergic food. It is always important to serve or offer food after asking or seeking feedback about food preferences and any form of history in allergic reactions. Such as certain food like sea fish, mushroom and other food items may possess severe intolerance towards the allergies.</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Education and training are the universal and most effective approach for managing the food allergen as well as intolerance among the people. Staffs should get complete information about the risks associated with the allergen and also develop the approach of providing the basic or initial care towards the allergen. Communication is considered as the priority and initial key element that would focus in developing the optimal level of care (Jankovic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There should be open and dialect communication with food providers as they would focus in providing the top priority towards the management of food products. While packaging or serving, it is essential to declare the presents of allergens within the food products. The food providers or the manufacturing gross contact should identify such presents of allergens that would be needed within the products. The documentation for the products is essential that would help in preventing any such allergic or intolerance incidents among the consumers (Bryan Endres, Endres and Ni</w:t>
            </w:r>
            <w:r>
              <w:rPr>
                <w:rFonts w:ascii="Arial" w:hAnsi="Arial" w:cs="Arial" w:eastAsia="Arial"/>
                <w:color w:val="auto"/>
                <w:spacing w:val="0"/>
                <w:position w:val="0"/>
                <w:sz w:val="24"/>
                <w:shd w:fill="auto" w:val="clear"/>
              </w:rPr>
              <w:t xml:space="preserve">žić0 2021). The benefits for the pee safety training should include multiple certifications as well as training offers that would help in improving the key implementation of personal development.</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summarise and from the above discussion, I have understood and gained the knowledge that allergens within the food would develop adverse events or traumatic experience due to continual increase in the intolerance level would reduce the health status or health outcome. It is also essential to understand that management and effective strategies are essential that would be understood for better delivery of outcome. Therefore, I have reflected and represented the optimal level of management approach within the hotel industry for providing the safer practice in serving the consumers. Informing the consumer about the ingredient or usage of allergens in the food items would help them in making the decision towards consumption. Therefore, I have gained the knowledge that the management of safer food practice would be consider as the key beneficial outcome in improving the experiences of consumers.</w:t>
            </w:r>
          </w:p>
          <w:p>
            <w:pPr>
              <w:spacing w:before="0" w:after="0" w:line="240"/>
              <w:ind w:right="0" w:left="0" w:firstLine="0"/>
              <w:jc w:val="left"/>
              <w:rPr>
                <w:color w:val="auto"/>
                <w:spacing w:val="0"/>
                <w:position w:val="0"/>
              </w:rPr>
            </w:pPr>
          </w:p>
        </w:tc>
      </w:tr>
    </w:tbl>
    <w:p>
      <w:pPr>
        <w:spacing w:before="0" w:after="0" w:line="240"/>
        <w:ind w:right="0" w:left="0" w:firstLine="0"/>
        <w:jc w:val="left"/>
        <w:rPr>
          <w:rFonts w:ascii="Tahoma" w:hAnsi="Tahoma" w:cs="Tahoma" w:eastAsia="Tahoma"/>
          <w:b/>
          <w:color w:val="auto"/>
          <w:spacing w:val="0"/>
          <w:position w:val="0"/>
          <w:sz w:val="24"/>
          <w:shd w:fill="auto" w:val="clear"/>
        </w:rPr>
      </w:pPr>
    </w:p>
    <w:tbl>
      <w:tblPr/>
      <w:tblGrid>
        <w:gridCol w:w="10910"/>
        <w:gridCol w:w="272"/>
      </w:tblGrid>
      <w:tr>
        <w:trPr>
          <w:trHeight w:val="1" w:hRule="atLeast"/>
          <w:jc w:val="left"/>
        </w:trPr>
        <w:tc>
          <w:tcPr>
            <w:tcW w:w="1091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rPr>
            </w:pPr>
            <w:r>
              <w:rPr>
                <w:rFonts w:ascii="Tahoma" w:hAnsi="Tahoma" w:cs="Tahoma" w:eastAsia="Tahoma"/>
                <w:b/>
                <w:color w:val="auto"/>
                <w:spacing w:val="0"/>
                <w:position w:val="0"/>
                <w:sz w:val="20"/>
                <w:shd w:fill="auto" w:val="clear"/>
              </w:rPr>
              <w:t xml:space="preserve">REFERENCE LIST </w:t>
            </w:r>
          </w:p>
        </w:tc>
        <w:tc>
          <w:tcPr>
            <w:tcW w:w="272"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Tahoma" w:hAnsi="Tahoma" w:cs="Tahoma" w:eastAsia="Tahoma"/>
                <w:b/>
                <w:color w:val="auto"/>
                <w:spacing w:val="0"/>
                <w:position w:val="0"/>
                <w:sz w:val="20"/>
                <w:shd w:fill="auto" w:val="clear"/>
              </w:rPr>
            </w:pPr>
          </w:p>
          <w:p>
            <w:pPr>
              <w:spacing w:before="0" w:after="0" w:line="240"/>
              <w:ind w:right="0" w:left="0" w:firstLine="0"/>
              <w:jc w:val="center"/>
              <w:rPr>
                <w:color w:val="auto"/>
                <w:spacing w:val="0"/>
                <w:position w:val="0"/>
              </w:rPr>
            </w:pPr>
          </w:p>
        </w:tc>
      </w:tr>
      <w:tr>
        <w:trPr>
          <w:trHeight w:val="2494" w:hRule="auto"/>
          <w:jc w:val="left"/>
        </w:trPr>
        <w:tc>
          <w:tcPr>
            <w:tcW w:w="1118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Bryan Endres, A., Endres, R. and Ni</w:t>
            </w:r>
            <w:r>
              <w:rPr>
                <w:rFonts w:ascii="Arial" w:hAnsi="Arial" w:cs="Arial" w:eastAsia="Arial"/>
                <w:color w:val="auto"/>
                <w:spacing w:val="0"/>
                <w:position w:val="0"/>
                <w:sz w:val="24"/>
                <w:shd w:fill="auto" w:val="clear"/>
              </w:rPr>
              <w:t xml:space="preserve">žić, M.K., 2021. Restaurant disclosure of food allergens: Analysis and economic implications. Tourism and Hospitality Research, 21(2), pp.202-215.</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Eren, R., Çetin, M., Eren, A. and Çetin, K., 2021. Food allergy knowledge, attitude, and practices of chefs in resort hotels in Turkey. </w:t>
            </w:r>
            <w:r>
              <w:rPr>
                <w:rFonts w:ascii="Arial" w:hAnsi="Arial" w:cs="Arial" w:eastAsia="Arial"/>
                <w:i/>
                <w:color w:val="auto"/>
                <w:spacing w:val="0"/>
                <w:position w:val="0"/>
                <w:sz w:val="24"/>
                <w:shd w:fill="auto" w:val="clear"/>
              </w:rPr>
              <w:t xml:space="preserve">International Journal of Gastronomy and Food Science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24</w:t>
            </w:r>
            <w:r>
              <w:rPr>
                <w:rFonts w:ascii="Arial" w:hAnsi="Arial" w:cs="Arial" w:eastAsia="Arial"/>
                <w:color w:val="auto"/>
                <w:spacing w:val="0"/>
                <w:position w:val="0"/>
                <w:sz w:val="24"/>
                <w:shd w:fill="auto" w:val="clear"/>
              </w:rPr>
              <w:t xml:space="preserve">, p.100345.</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Foskett, D., Paskins, P., Pennington, A. and Rippington, N., 2021. </w:t>
            </w:r>
            <w:r>
              <w:rPr>
                <w:rFonts w:ascii="Arial" w:hAnsi="Arial" w:cs="Arial" w:eastAsia="Arial"/>
                <w:i/>
                <w:color w:val="auto"/>
                <w:spacing w:val="0"/>
                <w:position w:val="0"/>
                <w:sz w:val="24"/>
                <w:shd w:fill="auto" w:val="clear"/>
              </w:rPr>
              <w:t xml:space="preserve">The theory of hospitality and catering</w:t>
            </w:r>
            <w:r>
              <w:rPr>
                <w:rFonts w:ascii="Arial" w:hAnsi="Arial" w:cs="Arial" w:eastAsia="Arial"/>
                <w:color w:val="auto"/>
                <w:spacing w:val="0"/>
                <w:position w:val="0"/>
                <w:sz w:val="24"/>
                <w:shd w:fill="auto" w:val="clear"/>
              </w:rPr>
              <w:t xml:space="preserve">. Hachette UK.</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Jankovic, V.V., Raljic, J.P., Mitrovic, R.R., Velebit, B.M., Lakicevic, B.Z. and Milojevic, L.Z., 2019, September. Managing allergies in food service. In </w:t>
            </w:r>
            <w:r>
              <w:rPr>
                <w:rFonts w:ascii="Arial" w:hAnsi="Arial" w:cs="Arial" w:eastAsia="Arial"/>
                <w:i/>
                <w:color w:val="auto"/>
                <w:spacing w:val="0"/>
                <w:position w:val="0"/>
                <w:sz w:val="24"/>
                <w:shd w:fill="auto" w:val="clear"/>
              </w:rPr>
              <w:t xml:space="preserve">IOP Conference Series: Earth and Environmental Science</w:t>
            </w:r>
            <w:r>
              <w:rPr>
                <w:rFonts w:ascii="Arial" w:hAnsi="Arial" w:cs="Arial" w:eastAsia="Arial"/>
                <w:color w:val="auto"/>
                <w:spacing w:val="0"/>
                <w:position w:val="0"/>
                <w:sz w:val="24"/>
                <w:shd w:fill="auto" w:val="clear"/>
              </w:rPr>
              <w:t xml:space="preserve"> (Vol. 333, No. 1, p. 012040). IOP Publishing.</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Lee, Y.M. and Sozen, E., 2016. Food allergy knowledge and training among restaurant employees.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57</w:t>
            </w:r>
            <w:r>
              <w:rPr>
                <w:rFonts w:ascii="Arial" w:hAnsi="Arial" w:cs="Arial" w:eastAsia="Arial"/>
                <w:color w:val="auto"/>
                <w:spacing w:val="0"/>
                <w:position w:val="0"/>
                <w:sz w:val="24"/>
                <w:shd w:fill="auto" w:val="clear"/>
              </w:rPr>
              <w:t xml:space="preserve">, pp.52-59.</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Serdar, E.R.E.N., Food-Related Barriers to Gastronomy and Tourism: The Role of Food Allergies and Diet Preferences. </w:t>
            </w:r>
            <w:r>
              <w:rPr>
                <w:rFonts w:ascii="Arial" w:hAnsi="Arial" w:cs="Arial" w:eastAsia="Arial"/>
                <w:i/>
                <w:color w:val="auto"/>
                <w:spacing w:val="0"/>
                <w:position w:val="0"/>
                <w:sz w:val="24"/>
                <w:shd w:fill="auto" w:val="clear"/>
              </w:rPr>
              <w:t xml:space="preserve">MANAS Sosyal Ara</w:t>
            </w:r>
            <w:r>
              <w:rPr>
                <w:rFonts w:ascii="Arial" w:hAnsi="Arial" w:cs="Arial" w:eastAsia="Arial"/>
                <w:i/>
                <w:color w:val="auto"/>
                <w:spacing w:val="0"/>
                <w:position w:val="0"/>
                <w:sz w:val="24"/>
                <w:shd w:fill="auto" w:val="clear"/>
              </w:rPr>
              <w:t xml:space="preserve">ştırmalar Dergisi</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9</w:t>
            </w:r>
            <w:r>
              <w:rPr>
                <w:rFonts w:ascii="Arial" w:hAnsi="Arial" w:cs="Arial" w:eastAsia="Arial"/>
                <w:color w:val="auto"/>
                <w:spacing w:val="0"/>
                <w:position w:val="0"/>
                <w:sz w:val="24"/>
                <w:shd w:fill="auto" w:val="clear"/>
              </w:rPr>
              <w:t xml:space="preserve">(2), pp.1117-1129.</w:t>
            </w:r>
          </w:p>
          <w:p>
            <w:pPr>
              <w:spacing w:before="0" w:after="0" w:line="240"/>
              <w:ind w:right="0" w:left="0" w:firstLine="0"/>
              <w:jc w:val="left"/>
              <w:rPr>
                <w:color w:val="auto"/>
                <w:spacing w:val="0"/>
                <w:position w:val="0"/>
              </w:rPr>
            </w:pPr>
          </w:p>
        </w:tc>
      </w:tr>
    </w:tbl>
    <w:p>
      <w:pPr>
        <w:spacing w:before="0" w:after="0" w:line="240"/>
        <w:ind w:right="0" w:left="0" w:firstLine="0"/>
        <w:jc w:val="left"/>
        <w:rPr>
          <w:rFonts w:ascii="Tahoma" w:hAnsi="Tahoma" w:cs="Tahoma" w:eastAsia="Tahoma"/>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